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441" w:rsidRPr="0027034A" w:rsidRDefault="00AE7441" w:rsidP="00AE7441">
      <w:pPr>
        <w:spacing w:line="480" w:lineRule="auto"/>
        <w:ind w:firstLineChars="0" w:firstLine="0"/>
      </w:pPr>
      <w:r w:rsidRPr="003A4372">
        <w:rPr>
          <w:b/>
          <w:bCs/>
        </w:rPr>
        <w:t>Figure S1.</w:t>
      </w:r>
      <w:r w:rsidRPr="0027034A">
        <w:t xml:space="preserve">TheSV2A regulating virus infected into APPswe293T cells was used to generate SV2A </w:t>
      </w:r>
      <w:proofErr w:type="spellStart"/>
      <w:r w:rsidRPr="0027034A">
        <w:t>overexpressing</w:t>
      </w:r>
      <w:proofErr w:type="spellEnd"/>
      <w:r w:rsidRPr="0027034A">
        <w:t xml:space="preserve"> and s</w:t>
      </w:r>
      <w:r>
        <w:t>il</w:t>
      </w:r>
      <w:r w:rsidRPr="0027034A">
        <w:t>encing cells. (A)</w:t>
      </w:r>
      <w:r>
        <w:t xml:space="preserve"> </w:t>
      </w:r>
      <w:proofErr w:type="spellStart"/>
      <w:proofErr w:type="gramStart"/>
      <w:r>
        <w:t>qPCR</w:t>
      </w:r>
      <w:proofErr w:type="spellEnd"/>
      <w:proofErr w:type="gramEnd"/>
      <w:r>
        <w:t xml:space="preserve"> detection of SV2A at mRNA expression level in APPswe293T cells from Control, SV2A, </w:t>
      </w:r>
      <w:proofErr w:type="spellStart"/>
      <w:r>
        <w:t>shControl</w:t>
      </w:r>
      <w:proofErr w:type="spellEnd"/>
      <w:r>
        <w:t>, and shSV2A groups. The expression level was normalized to the mean expression level of Control group.</w:t>
      </w:r>
      <w:r w:rsidRPr="0027034A">
        <w:t xml:space="preserve"> (B)</w:t>
      </w:r>
      <w:r>
        <w:t xml:space="preserve"> </w:t>
      </w:r>
      <w:proofErr w:type="spellStart"/>
      <w:r>
        <w:t>Agarose</w:t>
      </w:r>
      <w:proofErr w:type="spellEnd"/>
      <w:r>
        <w:t xml:space="preserve"> gel electrophoresis pattern of </w:t>
      </w:r>
      <w:proofErr w:type="spellStart"/>
      <w:r>
        <w:t>qPCR</w:t>
      </w:r>
      <w:proofErr w:type="spellEnd"/>
      <w:r>
        <w:t xml:space="preserve"> product. GAPDH is used as </w:t>
      </w:r>
      <w:proofErr w:type="gramStart"/>
      <w:r>
        <w:t xml:space="preserve">an internal </w:t>
      </w:r>
      <w:proofErr w:type="spellStart"/>
      <w:r>
        <w:t>reference.Data</w:t>
      </w:r>
      <w:proofErr w:type="spellEnd"/>
      <w:r>
        <w:t xml:space="preserve"> are</w:t>
      </w:r>
      <w:proofErr w:type="gramEnd"/>
      <w:r>
        <w:t xml:space="preserve"> expressed as mean </w:t>
      </w:r>
      <w:r>
        <w:rPr>
          <w:rFonts w:hint="eastAsia"/>
        </w:rPr>
        <w:t>±</w:t>
      </w:r>
      <w:r>
        <w:t xml:space="preserve"> SEM. One-way analysis of variance (ANOVA). </w:t>
      </w:r>
      <w:proofErr w:type="gramStart"/>
      <w:r>
        <w:t>*</w:t>
      </w:r>
      <w:r>
        <w:rPr>
          <w:rFonts w:hint="eastAsia"/>
        </w:rPr>
        <w:t>p</w:t>
      </w:r>
      <w:r>
        <w:t>&lt; 0.05, ***p &lt; 0.001.</w:t>
      </w:r>
      <w:proofErr w:type="gramEnd"/>
    </w:p>
    <w:p w:rsidR="001A20CE" w:rsidRDefault="001A20CE" w:rsidP="00AE7441">
      <w:pPr>
        <w:ind w:firstLine="480"/>
      </w:pPr>
    </w:p>
    <w:sectPr w:rsidR="001A20CE" w:rsidSect="001A20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E7441"/>
    <w:rsid w:val="001A20CE"/>
    <w:rsid w:val="00AE74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7441"/>
    <w:pPr>
      <w:widowControl w:val="0"/>
      <w:spacing w:after="0" w:line="360" w:lineRule="auto"/>
      <w:ind w:firstLineChars="200" w:firstLine="200"/>
      <w:jc w:val="both"/>
    </w:pPr>
    <w:rPr>
      <w:rFonts w:ascii="Times New Roman" w:eastAsia="SimSun" w:hAnsi="Times New Roman" w:cs="Times New Roman"/>
      <w:kern w:val="2"/>
      <w:sz w:val="24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2020-06-08T15:52:00Z</dcterms:created>
  <dcterms:modified xsi:type="dcterms:W3CDTF">2020-06-08T15:52:00Z</dcterms:modified>
</cp:coreProperties>
</file>