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4879C" w14:textId="77777777" w:rsidR="00585810" w:rsidRDefault="00585810" w:rsidP="00585810">
      <w:pPr>
        <w:pStyle w:val="Heading1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Supplementary material</w:t>
      </w:r>
    </w:p>
    <w:p w14:paraId="0A533A6D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Supplementary table 1</w:t>
      </w:r>
    </w:p>
    <w:tbl>
      <w:tblPr>
        <w:tblW w:w="7583" w:type="dxa"/>
        <w:jc w:val="center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600" w:firstRow="0" w:lastRow="0" w:firstColumn="0" w:lastColumn="0" w:noHBand="1" w:noVBand="1"/>
      </w:tblPr>
      <w:tblGrid>
        <w:gridCol w:w="6335"/>
        <w:gridCol w:w="1248"/>
      </w:tblGrid>
      <w:tr w:rsidR="00585810" w14:paraId="1EF69127" w14:textId="77777777" w:rsidTr="00802BCF">
        <w:trPr>
          <w:trHeight w:val="570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F51767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Microbiota detectability vs.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8F9FEA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Fisher's test P-value</w:t>
            </w:r>
          </w:p>
        </w:tc>
      </w:tr>
      <w:tr w:rsidR="00585810" w14:paraId="2F7F2B54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2B4108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Age (&lt;65 vs. ≥65 years)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6AD521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0.29</w:t>
            </w:r>
          </w:p>
        </w:tc>
      </w:tr>
      <w:tr w:rsidR="00585810" w14:paraId="3F7477B0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AE1546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PSA (&lt;2.5 vs. ≥2.5 ng/ml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72FD83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0.72</w:t>
            </w:r>
          </w:p>
        </w:tc>
      </w:tr>
      <w:tr w:rsidR="00585810" w14:paraId="402FA602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206065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Prostate weight (&lt;50 vs. ≥50 g)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F1EEB24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0.13</w:t>
            </w:r>
          </w:p>
        </w:tc>
      </w:tr>
      <w:tr w:rsidR="00585810" w14:paraId="5B5DBF2A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008412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Post-voiding residual volume (&lt;80 vs. ≥80 ml)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D7B594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0.63</w:t>
            </w:r>
          </w:p>
        </w:tc>
      </w:tr>
      <w:tr w:rsidR="00585810" w14:paraId="5FECC514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7B8447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" w:eastAsia="Arial" w:hAnsi="Arial" w:cs="Arial"/>
                <w:sz w:val="20"/>
                <w:szCs w:val="20"/>
              </w:rPr>
              <w:t>Structural changes of the bladder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8E5F5A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0.27</w:t>
            </w:r>
          </w:p>
        </w:tc>
      </w:tr>
      <w:tr w:rsidR="00585810" w14:paraId="7349FBEB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5171C0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" w:eastAsia="Arial" w:hAnsi="Arial" w:cs="Arial"/>
                <w:sz w:val="20"/>
                <w:szCs w:val="20"/>
              </w:rPr>
              <w:t>Use of alpha-blockers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85924A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0.71</w:t>
            </w:r>
          </w:p>
        </w:tc>
      </w:tr>
      <w:tr w:rsidR="00585810" w14:paraId="69C56C46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525ACE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" w:eastAsia="Arial" w:hAnsi="Arial" w:cs="Arial"/>
                <w:sz w:val="20"/>
                <w:szCs w:val="20"/>
              </w:rPr>
              <w:t>Use of 5-α-reductase inhibitors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A729B88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</w:tr>
      <w:tr w:rsidR="00585810" w14:paraId="79B9D5B9" w14:textId="77777777" w:rsidTr="00802BCF">
        <w:trPr>
          <w:trHeight w:val="315"/>
          <w:jc w:val="center"/>
        </w:trPr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5D7984A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right"/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Time between symptoms and treatment (&lt;24 vs ≥24 months)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FA2713" w14:textId="77777777" w:rsidR="00585810" w:rsidRDefault="00585810" w:rsidP="00802BCF">
            <w:pPr>
              <w:pStyle w:val="LO-normal"/>
              <w:widowControl w:val="0"/>
              <w:spacing w:line="276" w:lineRule="auto"/>
              <w:jc w:val="center"/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</w:tr>
    </w:tbl>
    <w:p w14:paraId="69490188" w14:textId="77777777" w:rsidR="00585810" w:rsidRDefault="00585810" w:rsidP="00585810">
      <w:pPr>
        <w:pStyle w:val="LO-normal"/>
        <w:spacing w:before="280" w:after="280" w:line="480" w:lineRule="auto"/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0"/>
          <w:szCs w:val="20"/>
        </w:rPr>
        <w:t>Supplementary table 1</w:t>
      </w:r>
      <w:r>
        <w:rPr>
          <w:rFonts w:ascii="Arial" w:eastAsia="Arial" w:hAnsi="Arial" w:cs="Arial"/>
          <w:sz w:val="20"/>
          <w:szCs w:val="20"/>
        </w:rPr>
        <w:t>: Associations between urinary microbiota detectability and clinicopathological parameters.</w:t>
      </w:r>
    </w:p>
    <w:p w14:paraId="30CCAAD4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36C25A7D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59162E39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42F81F1E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43CE96A4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6775FC20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34563CB4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6B63A080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681149E8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b/>
          <w:sz w:val="22"/>
          <w:szCs w:val="22"/>
        </w:rPr>
      </w:pPr>
    </w:p>
    <w:p w14:paraId="7A4D2969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7D3AA311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4D8EC22E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78BC340D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6725D2A7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310F3B4B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</w:p>
    <w:p w14:paraId="306271EE" w14:textId="77777777" w:rsidR="00585810" w:rsidRDefault="00585810" w:rsidP="00585810">
      <w:pPr>
        <w:pStyle w:val="LO-normal"/>
        <w:spacing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lastRenderedPageBreak/>
        <w:t>Supplementary figure 1</w:t>
      </w:r>
    </w:p>
    <w:p w14:paraId="4BB98E74" w14:textId="77777777" w:rsidR="00585810" w:rsidRDefault="00585810" w:rsidP="00585810">
      <w:pPr>
        <w:pStyle w:val="LO-normal"/>
        <w:spacing w:line="480" w:lineRule="auto"/>
        <w:jc w:val="center"/>
        <w:rPr>
          <w:rFonts w:ascii="Arial" w:eastAsia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55CCC37C" wp14:editId="2B745267">
            <wp:extent cx="5262245" cy="7503160"/>
            <wp:effectExtent l="0" t="0" r="0" b="0"/>
            <wp:docPr id="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750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E6E9E" w14:textId="6F709781" w:rsidR="002F0F5E" w:rsidRDefault="00585810" w:rsidP="00585810">
      <w:pPr>
        <w:pStyle w:val="LO-normal"/>
        <w:spacing w:line="480" w:lineRule="auto"/>
        <w:jc w:val="both"/>
      </w:pPr>
      <w:r>
        <w:rPr>
          <w:rFonts w:ascii="Arial" w:eastAsia="Arial" w:hAnsi="Arial" w:cs="Arial"/>
          <w:b/>
          <w:sz w:val="20"/>
          <w:szCs w:val="20"/>
        </w:rPr>
        <w:t>Supplementary figure 1</w:t>
      </w:r>
      <w:r>
        <w:rPr>
          <w:rFonts w:ascii="Arial" w:eastAsia="Arial" w:hAnsi="Arial" w:cs="Arial"/>
          <w:sz w:val="20"/>
          <w:szCs w:val="20"/>
        </w:rPr>
        <w:t>: (A–F) Association between urinary microbiota alpha-diversity and clinicopathological parameters. Different alpha-diversity metrics were evaluated in each subplot. Mann-Whitney test was used.</w:t>
      </w:r>
    </w:p>
    <w:sectPr w:rsidR="002F0F5E">
      <w:pgSz w:w="11906" w:h="16838"/>
      <w:pgMar w:top="1417" w:right="1701" w:bottom="1417" w:left="1701" w:header="0" w:footer="0" w:gutter="0"/>
      <w:lnNumType w:countBy="1" w:distance="288" w:restart="continuous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810"/>
    <w:rsid w:val="0021090F"/>
    <w:rsid w:val="003A76DF"/>
    <w:rsid w:val="00585810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1D2E0"/>
  <w15:chartTrackingRefBased/>
  <w15:docId w15:val="{09EECD42-B497-4295-AB5B-F5A09DFA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810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n-GB" w:eastAsia="zh-CN" w:bidi="hi-IN"/>
    </w:rPr>
  </w:style>
  <w:style w:type="paragraph" w:styleId="Heading1">
    <w:name w:val="heading 1"/>
    <w:basedOn w:val="LO-normal"/>
    <w:next w:val="LO-normal"/>
    <w:link w:val="Heading1Char"/>
    <w:uiPriority w:val="9"/>
    <w:qFormat/>
    <w:rsid w:val="00585810"/>
    <w:pPr>
      <w:widowControl w:val="0"/>
      <w:spacing w:line="360" w:lineRule="auto"/>
      <w:jc w:val="both"/>
      <w:outlineLvl w:val="0"/>
    </w:pPr>
    <w:rPr>
      <w:rFonts w:ascii="Arial" w:eastAsia="Arial" w:hAnsi="Arial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810"/>
    <w:rPr>
      <w:rFonts w:ascii="Arial" w:eastAsia="Arial" w:hAnsi="Arial" w:cs="Arial"/>
      <w:b/>
      <w:sz w:val="24"/>
      <w:szCs w:val="24"/>
      <w:lang w:val="en-GB" w:eastAsia="zh-CN" w:bidi="hi-IN"/>
    </w:rPr>
  </w:style>
  <w:style w:type="paragraph" w:customStyle="1" w:styleId="LO-normal">
    <w:name w:val="LO-normal"/>
    <w:qFormat/>
    <w:rsid w:val="00585810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n-GB" w:eastAsia="zh-CN" w:bidi="hi-IN"/>
    </w:rPr>
  </w:style>
  <w:style w:type="character" w:styleId="LineNumber">
    <w:name w:val="line number"/>
    <w:basedOn w:val="DefaultParagraphFont"/>
    <w:uiPriority w:val="99"/>
    <w:semiHidden/>
    <w:unhideWhenUsed/>
    <w:rsid w:val="005858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>Springer Nature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2023-08-21T11:07:00Z</dcterms:created>
  <dcterms:modified xsi:type="dcterms:W3CDTF">2023-08-21T11:07:00Z</dcterms:modified>
</cp:coreProperties>
</file>