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r>
        <w:t>PRISMA Checklist</w:t>
      </w:r>
    </w:p>
    <w:tbl>
      <w:tblPr>
        <w:tblStyle w:val="3"/>
        <w:tblW w:w="14177" w:type="dxa"/>
        <w:tblInd w:w="-23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316"/>
        <w:gridCol w:w="610"/>
        <w:gridCol w:w="122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 w:hRule="atLeast"/>
          <w:tblHeader/>
        </w:trPr>
        <w:tc>
          <w:tcPr>
            <w:tcW w:w="1316" w:type="dxa"/>
            <w:tcBorders>
              <w:top w:val="double" w:color="000000" w:sz="4" w:space="0"/>
              <w:left w:val="single" w:color="000000" w:sz="4" w:space="0"/>
              <w:bottom w:val="double" w:color="FFFFCC" w:sz="2" w:space="0"/>
              <w:right w:val="single" w:color="000000" w:sz="4" w:space="0"/>
            </w:tcBorders>
            <w:shd w:val="clear" w:color="auto" w:fill="F1F1F1" w:themeFill="background1" w:themeFillShade="F2"/>
            <w:vAlign w:val="center"/>
          </w:tcPr>
          <w:p>
            <w:pPr>
              <w:pStyle w:val="4"/>
              <w:rPr>
                <w:rFonts w:ascii="Arial" w:hAnsi="Arial" w:cs="Arial"/>
                <w:color w:val="000000" w:themeColor="text1"/>
                <w:sz w:val="18"/>
                <w:szCs w:val="18"/>
                <w14:textFill>
                  <w14:solidFill>
                    <w14:schemeClr w14:val="tx1"/>
                  </w14:solidFill>
                </w14:textFill>
              </w:rPr>
            </w:pPr>
            <w:r>
              <w:rPr>
                <w:rFonts w:ascii="Arial" w:hAnsi="Arial" w:cs="Arial"/>
                <w:b/>
                <w:bCs/>
                <w:color w:val="000000" w:themeColor="text1"/>
                <w:sz w:val="18"/>
                <w:szCs w:val="18"/>
                <w14:textFill>
                  <w14:solidFill>
                    <w14:schemeClr w14:val="tx1"/>
                  </w14:solidFill>
                </w14:textFill>
              </w:rPr>
              <w:t xml:space="preserve">Section and Topic </w:t>
            </w:r>
          </w:p>
        </w:tc>
        <w:tc>
          <w:tcPr>
            <w:tcW w:w="610" w:type="dxa"/>
            <w:tcBorders>
              <w:top w:val="double" w:color="000000" w:sz="4" w:space="0"/>
              <w:left w:val="single" w:color="000000" w:sz="4" w:space="0"/>
              <w:bottom w:val="double" w:color="FFFFCC" w:sz="2" w:space="0"/>
              <w:right w:val="single" w:color="000000" w:sz="4" w:space="0"/>
            </w:tcBorders>
            <w:shd w:val="clear" w:color="auto" w:fill="F1F1F1" w:themeFill="background1" w:themeFillShade="F2"/>
            <w:vAlign w:val="center"/>
          </w:tcPr>
          <w:p>
            <w:pPr>
              <w:pStyle w:val="4"/>
              <w:jc w:val="center"/>
              <w:rPr>
                <w:rFonts w:ascii="Arial" w:hAnsi="Arial" w:cs="Arial"/>
                <w:b/>
                <w:bCs/>
                <w:color w:val="000000" w:themeColor="text1"/>
                <w:sz w:val="18"/>
                <w:szCs w:val="18"/>
                <w14:textFill>
                  <w14:solidFill>
                    <w14:schemeClr w14:val="tx1"/>
                  </w14:solidFill>
                </w14:textFill>
              </w:rPr>
            </w:pPr>
            <w:r>
              <w:rPr>
                <w:rFonts w:ascii="Arial" w:hAnsi="Arial" w:cs="Arial"/>
                <w:b/>
                <w:bCs/>
                <w:color w:val="000000" w:themeColor="text1"/>
                <w:sz w:val="18"/>
                <w:szCs w:val="18"/>
                <w14:textFill>
                  <w14:solidFill>
                    <w14:schemeClr w14:val="tx1"/>
                  </w14:solidFill>
                </w14:textFill>
              </w:rPr>
              <w:t>Item #</w:t>
            </w:r>
          </w:p>
        </w:tc>
        <w:tc>
          <w:tcPr>
            <w:tcW w:w="12251" w:type="dxa"/>
            <w:tcBorders>
              <w:top w:val="double" w:color="000000" w:sz="4" w:space="0"/>
              <w:left w:val="single" w:color="000000" w:sz="4" w:space="0"/>
              <w:bottom w:val="double" w:color="000000" w:sz="4" w:space="0"/>
              <w:right w:val="single" w:color="000000" w:sz="4" w:space="0"/>
            </w:tcBorders>
            <w:shd w:val="clear" w:color="auto" w:fill="F1F1F1" w:themeFill="background1" w:themeFillShade="F2"/>
            <w:vAlign w:val="center"/>
          </w:tcPr>
          <w:p>
            <w:pPr>
              <w:pStyle w:val="4"/>
              <w:rPr>
                <w:rFonts w:ascii="Arial" w:hAnsi="Arial" w:cs="Arial"/>
                <w:color w:val="000000" w:themeColor="text1"/>
                <w:sz w:val="18"/>
                <w:szCs w:val="18"/>
                <w14:textFill>
                  <w14:solidFill>
                    <w14:schemeClr w14:val="tx1"/>
                  </w14:solidFill>
                </w14:textFill>
              </w:rPr>
            </w:pPr>
            <w:r>
              <w:rPr>
                <w:rFonts w:ascii="Arial" w:hAnsi="Arial" w:cs="Arial"/>
                <w:b/>
                <w:bCs/>
                <w:color w:val="000000" w:themeColor="text1"/>
                <w:sz w:val="18"/>
                <w:szCs w:val="18"/>
                <w14:textFill>
                  <w14:solidFill>
                    <w14:schemeClr w14:val="tx1"/>
                  </w14:solidFill>
                </w14:textFill>
              </w:rPr>
              <w:t xml:space="preserve">Checklist item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177"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4"/>
              <w:rPr>
                <w:rFonts w:ascii="Arial" w:hAnsi="Arial" w:cs="Arial"/>
                <w:sz w:val="18"/>
                <w:szCs w:val="18"/>
              </w:rPr>
            </w:pPr>
            <w:r>
              <w:rPr>
                <w:rFonts w:ascii="Arial" w:hAnsi="Arial" w:cs="Arial"/>
                <w:b/>
                <w:bCs/>
                <w:sz w:val="18"/>
                <w:szCs w:val="18"/>
              </w:rPr>
              <w:t xml:space="preserve">TITLE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316" w:type="dxa"/>
            <w:tcBorders>
              <w:top w:val="single" w:color="000000" w:sz="4" w:space="0"/>
              <w:left w:val="single" w:color="000000" w:sz="4" w:space="0"/>
              <w:bottom w:val="double" w:color="FFFFCC" w:sz="2" w:space="0"/>
              <w:right w:val="single" w:color="000000" w:sz="4" w:space="0"/>
            </w:tcBorders>
          </w:tcPr>
          <w:p>
            <w:pPr>
              <w:pStyle w:val="4"/>
              <w:spacing w:before="40" w:after="40"/>
              <w:rPr>
                <w:rFonts w:ascii="Arial" w:hAnsi="Arial" w:cs="Arial"/>
                <w:sz w:val="18"/>
                <w:szCs w:val="18"/>
              </w:rPr>
            </w:pPr>
            <w:r>
              <w:rPr>
                <w:rFonts w:ascii="Arial" w:hAnsi="Arial" w:cs="Arial"/>
                <w:sz w:val="18"/>
                <w:szCs w:val="18"/>
              </w:rPr>
              <w:t xml:space="preserve">Title </w:t>
            </w:r>
          </w:p>
        </w:tc>
        <w:tc>
          <w:tcPr>
            <w:tcW w:w="610" w:type="dxa"/>
            <w:tcBorders>
              <w:top w:val="single" w:color="000000" w:sz="4" w:space="0"/>
              <w:left w:val="single" w:color="000000" w:sz="4" w:space="0"/>
              <w:bottom w:val="double" w:color="FFFFCC" w:sz="2" w:space="0"/>
              <w:right w:val="single" w:color="000000" w:sz="4" w:space="0"/>
            </w:tcBorders>
          </w:tcPr>
          <w:p>
            <w:pPr>
              <w:pStyle w:val="4"/>
              <w:spacing w:before="40" w:after="40"/>
              <w:jc w:val="right"/>
              <w:rPr>
                <w:rFonts w:ascii="Arial" w:hAnsi="Arial" w:cs="Arial"/>
                <w:sz w:val="18"/>
                <w:szCs w:val="18"/>
              </w:rPr>
            </w:pPr>
            <w:r>
              <w:rPr>
                <w:rFonts w:ascii="Arial" w:hAnsi="Arial" w:cs="Arial"/>
                <w:sz w:val="18"/>
                <w:szCs w:val="18"/>
              </w:rPr>
              <w:t>1</w:t>
            </w:r>
          </w:p>
        </w:tc>
        <w:tc>
          <w:tcPr>
            <w:tcW w:w="12251" w:type="dxa"/>
            <w:tcBorders>
              <w:top w:val="single" w:color="000000" w:sz="4" w:space="0"/>
              <w:left w:val="single" w:color="000000" w:sz="4" w:space="0"/>
              <w:bottom w:val="double" w:color="000000" w:sz="4" w:space="0"/>
              <w:right w:val="single" w:color="000000" w:sz="4" w:space="0"/>
            </w:tcBorders>
          </w:tcPr>
          <w:p>
            <w:pPr>
              <w:pStyle w:val="4"/>
              <w:spacing w:before="40" w:after="40"/>
              <w:rPr>
                <w:rFonts w:ascii="Arial" w:hAnsi="Arial" w:cs="Arial"/>
                <w:b/>
                <w:sz w:val="18"/>
                <w:szCs w:val="18"/>
              </w:rPr>
            </w:pPr>
            <w:r>
              <w:rPr>
                <w:rFonts w:ascii="Arial" w:hAnsi="Arial" w:cs="Arial"/>
                <w:b/>
                <w:sz w:val="18"/>
                <w:szCs w:val="18"/>
              </w:rPr>
              <w:t xml:space="preserve">Dynamics of </w:t>
            </w:r>
            <w:r>
              <w:rPr>
                <w:rFonts w:ascii="Arial" w:hAnsi="Arial" w:cs="Arial"/>
                <w:b/>
                <w:sz w:val="18"/>
                <w:szCs w:val="18"/>
                <w:highlight w:val="yellow"/>
              </w:rPr>
              <w:t>Mpox</w:t>
            </w:r>
            <w:r>
              <w:rPr>
                <w:rFonts w:ascii="Arial" w:hAnsi="Arial" w:cs="Arial"/>
                <w:b/>
                <w:sz w:val="18"/>
                <w:szCs w:val="18"/>
              </w:rPr>
              <w:t xml:space="preserve"> Infection In Nigeria: A Systematic Review and Meta-Analysis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177"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4"/>
              <w:rPr>
                <w:rFonts w:ascii="Arial" w:hAnsi="Arial" w:cs="Arial"/>
                <w:b/>
                <w:sz w:val="18"/>
                <w:szCs w:val="18"/>
              </w:rPr>
            </w:pPr>
            <w:r>
              <w:rPr>
                <w:rFonts w:ascii="Arial" w:hAnsi="Arial" w:cs="Arial"/>
                <w:b/>
                <w:bCs/>
                <w:sz w:val="18"/>
                <w:szCs w:val="18"/>
              </w:rPr>
              <w:t xml:space="preserve">ABSTRACT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316" w:type="dxa"/>
            <w:tcBorders>
              <w:top w:val="single" w:color="000000" w:sz="4" w:space="0"/>
              <w:left w:val="single" w:color="000000" w:sz="4" w:space="0"/>
              <w:bottom w:val="double" w:color="FFFFCC" w:sz="2" w:space="0"/>
              <w:right w:val="single" w:color="000000" w:sz="4" w:space="0"/>
            </w:tcBorders>
          </w:tcPr>
          <w:p>
            <w:pPr>
              <w:pStyle w:val="4"/>
              <w:spacing w:before="40" w:after="40"/>
              <w:rPr>
                <w:rFonts w:ascii="Arial" w:hAnsi="Arial" w:cs="Arial"/>
                <w:sz w:val="18"/>
                <w:szCs w:val="18"/>
              </w:rPr>
            </w:pPr>
            <w:r>
              <w:rPr>
                <w:rFonts w:ascii="Arial" w:hAnsi="Arial" w:cs="Arial"/>
                <w:sz w:val="18"/>
                <w:szCs w:val="18"/>
              </w:rPr>
              <w:t xml:space="preserve">Abstract </w:t>
            </w:r>
          </w:p>
        </w:tc>
        <w:tc>
          <w:tcPr>
            <w:tcW w:w="610" w:type="dxa"/>
            <w:tcBorders>
              <w:top w:val="single" w:color="000000" w:sz="4" w:space="0"/>
              <w:left w:val="single" w:color="000000" w:sz="4" w:space="0"/>
              <w:bottom w:val="double" w:color="FFFFCC" w:sz="2" w:space="0"/>
              <w:right w:val="single" w:color="000000" w:sz="4" w:space="0"/>
            </w:tcBorders>
          </w:tcPr>
          <w:p>
            <w:pPr>
              <w:pStyle w:val="4"/>
              <w:spacing w:before="40" w:after="40"/>
              <w:jc w:val="right"/>
              <w:rPr>
                <w:rFonts w:ascii="Arial" w:hAnsi="Arial" w:cs="Arial"/>
                <w:sz w:val="18"/>
                <w:szCs w:val="18"/>
              </w:rPr>
            </w:pPr>
            <w:r>
              <w:rPr>
                <w:rFonts w:ascii="Arial" w:hAnsi="Arial" w:cs="Arial"/>
                <w:sz w:val="18"/>
                <w:szCs w:val="18"/>
              </w:rPr>
              <w:t>2</w:t>
            </w:r>
          </w:p>
        </w:tc>
        <w:tc>
          <w:tcPr>
            <w:tcW w:w="12251" w:type="dxa"/>
            <w:tcBorders>
              <w:top w:val="single" w:color="000000" w:sz="4" w:space="0"/>
              <w:left w:val="single" w:color="000000" w:sz="4" w:space="0"/>
              <w:bottom w:val="double" w:color="000000" w:sz="4" w:space="0"/>
              <w:right w:val="single" w:color="000000" w:sz="4" w:space="0"/>
            </w:tcBorders>
          </w:tcPr>
          <w:p>
            <w:pPr>
              <w:pStyle w:val="4"/>
              <w:spacing w:before="40" w:after="40"/>
              <w:rPr>
                <w:rFonts w:ascii="Arial" w:hAnsi="Arial" w:cs="Arial"/>
                <w:b/>
                <w:sz w:val="18"/>
                <w:szCs w:val="18"/>
              </w:rPr>
            </w:pPr>
            <w:r>
              <w:rPr>
                <w:rFonts w:ascii="Arial" w:hAnsi="Arial" w:cs="Arial"/>
                <w:b/>
                <w:sz w:val="18"/>
                <w:szCs w:val="18"/>
              </w:rPr>
              <w:t>The seasonal outbreaks of Mpox continues in most parts of West and Central Africa. In the past year Nigeria had the highest number of reported cases. Here, we used the PRISMA guidelines to carry out a systematic review and meta-analysis of available evidence on Mpox in Nigeria. All relevant observational studies in PubMed/MEDLINE, Embase, AJOL, Web of Science, Scopus and Google Scholar on Mpox in Nigeria within the last five years were assessed.  In all 92 relevant articles were retrieved, out of which 23 were included in the final qualitative analysis. Over the past five years, thirty-two out of 36 states in Nigeria, including the Federal Capital Territory have reported at least a case of Mpox. Most of the cases of Mpox in Nigeria were from the southern part of the country. Our findings showed progressive spread from southern to the northern regions of the country. Further, we identified a positive association between infection and poverty, lack of basic healthcare facilities as well as multiple heterosexual partners. Our findings reiterate the need to strengthen and expand on the already existing efforts as well as establish robust multi-sectoral collaboration to understand the dynamics of Mpox Nigeria.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177"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4"/>
              <w:rPr>
                <w:rFonts w:ascii="Arial" w:hAnsi="Arial" w:cs="Arial"/>
                <w:b/>
                <w:sz w:val="18"/>
                <w:szCs w:val="18"/>
              </w:rPr>
            </w:pPr>
            <w:r>
              <w:rPr>
                <w:rFonts w:ascii="Arial" w:hAnsi="Arial" w:cs="Arial"/>
                <w:b/>
                <w:bCs/>
                <w:sz w:val="18"/>
                <w:szCs w:val="18"/>
              </w:rPr>
              <w:t xml:space="preserve">INTRODUCTION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316" w:type="dxa"/>
            <w:tcBorders>
              <w:top w:val="single" w:color="000000" w:sz="4" w:space="0"/>
              <w:left w:val="single" w:color="000000" w:sz="4" w:space="0"/>
              <w:bottom w:val="single" w:color="000000" w:sz="4" w:space="0"/>
              <w:right w:val="single" w:color="000000" w:sz="4" w:space="0"/>
            </w:tcBorders>
          </w:tcPr>
          <w:p>
            <w:pPr>
              <w:pStyle w:val="4"/>
              <w:spacing w:before="40" w:after="40"/>
              <w:rPr>
                <w:rFonts w:ascii="Arial" w:hAnsi="Arial" w:cs="Arial"/>
                <w:sz w:val="18"/>
                <w:szCs w:val="18"/>
              </w:rPr>
            </w:pPr>
            <w:r>
              <w:rPr>
                <w:rFonts w:ascii="Arial" w:hAnsi="Arial" w:cs="Arial"/>
                <w:sz w:val="18"/>
                <w:szCs w:val="18"/>
              </w:rPr>
              <w:t xml:space="preserve">Rationale </w:t>
            </w:r>
          </w:p>
        </w:tc>
        <w:tc>
          <w:tcPr>
            <w:tcW w:w="610" w:type="dxa"/>
            <w:tcBorders>
              <w:top w:val="single" w:color="000000" w:sz="4" w:space="0"/>
              <w:left w:val="single" w:color="000000" w:sz="4" w:space="0"/>
              <w:bottom w:val="single" w:color="000000" w:sz="4" w:space="0"/>
              <w:right w:val="single" w:color="000000" w:sz="4" w:space="0"/>
            </w:tcBorders>
          </w:tcPr>
          <w:p>
            <w:pPr>
              <w:pStyle w:val="4"/>
              <w:spacing w:before="40" w:after="40"/>
              <w:jc w:val="right"/>
              <w:rPr>
                <w:rFonts w:ascii="Arial" w:hAnsi="Arial" w:cs="Arial"/>
                <w:sz w:val="18"/>
                <w:szCs w:val="18"/>
              </w:rPr>
            </w:pPr>
            <w:r>
              <w:rPr>
                <w:rFonts w:ascii="Arial" w:hAnsi="Arial" w:cs="Arial"/>
                <w:sz w:val="18"/>
                <w:szCs w:val="18"/>
              </w:rPr>
              <w:t>3</w:t>
            </w:r>
          </w:p>
        </w:tc>
        <w:tc>
          <w:tcPr>
            <w:tcW w:w="12251" w:type="dxa"/>
            <w:tcBorders>
              <w:top w:val="single" w:color="000000" w:sz="4" w:space="0"/>
              <w:left w:val="single" w:color="000000" w:sz="4" w:space="0"/>
              <w:bottom w:val="single" w:color="000000" w:sz="4" w:space="0"/>
              <w:right w:val="single" w:color="000000" w:sz="4" w:space="0"/>
            </w:tcBorders>
          </w:tcPr>
          <w:p>
            <w:pPr>
              <w:pStyle w:val="4"/>
              <w:spacing w:before="40" w:after="40"/>
              <w:rPr>
                <w:rFonts w:hint="default" w:ascii="Arial" w:hAnsi="Arial" w:cs="Arial"/>
                <w:b/>
                <w:sz w:val="18"/>
                <w:szCs w:val="18"/>
                <w:lang w:val="en-US"/>
              </w:rPr>
            </w:pPr>
            <w:r>
              <w:rPr>
                <w:rFonts w:ascii="Arial" w:hAnsi="Arial" w:cs="Arial"/>
                <w:b/>
                <w:sz w:val="18"/>
                <w:szCs w:val="18"/>
              </w:rPr>
              <w:t>The rationale for the review is that It is widely believed that the number of Mpox cases is grossly underestimated since reports of cases with uncharacteristic signs and symptoms have recently emerged</w:t>
            </w:r>
            <w:bookmarkStart w:id="0" w:name="_GoBack"/>
            <w:bookmarkEnd w:id="0"/>
            <w:r>
              <w:rPr>
                <w:rFonts w:ascii="Arial" w:hAnsi="Arial" w:cs="Arial"/>
                <w:b/>
                <w:sz w:val="18"/>
                <w:szCs w:val="18"/>
              </w:rPr>
              <w:t>. In Nigeria, underreporting may result from  factors such as poor index of suspicion due to lack of awareness of healthcare workers, poor surveillance, weak health system, inadequate laboratories with capacity to diagnose the disease, lack of access to approved antiviral medicines and vaccines, and stigmatization. The country ranks among the highest in terms of the burden of HIV/AIDS, tuberculosis, hunger and malnutrition/undernutrition, burden of malaria and insecurity. These and many other known risk factors for Mpox and many other infectious diseases abound in Nigeria. Thus, a national strategy to interrupt local transmission of the disease is urgently needed</w:t>
            </w:r>
            <w:r>
              <w:rPr>
                <w:rFonts w:hint="default" w:ascii="Arial" w:hAnsi="Arial" w:cs="Arial"/>
                <w:b/>
                <w:sz w:val="18"/>
                <w:szCs w:val="18"/>
                <w:lang w:val="en-US"/>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316" w:type="dxa"/>
            <w:tcBorders>
              <w:top w:val="single" w:color="000000" w:sz="4" w:space="0"/>
              <w:left w:val="single" w:color="000000" w:sz="4" w:space="0"/>
              <w:bottom w:val="double" w:color="FFFFCC" w:sz="2" w:space="0"/>
              <w:right w:val="single" w:color="000000" w:sz="4" w:space="0"/>
            </w:tcBorders>
          </w:tcPr>
          <w:p>
            <w:pPr>
              <w:pStyle w:val="4"/>
              <w:spacing w:before="40" w:after="40"/>
              <w:rPr>
                <w:rFonts w:ascii="Arial" w:hAnsi="Arial" w:cs="Arial"/>
                <w:sz w:val="18"/>
                <w:szCs w:val="18"/>
              </w:rPr>
            </w:pPr>
            <w:r>
              <w:rPr>
                <w:rFonts w:ascii="Arial" w:hAnsi="Arial" w:cs="Arial"/>
                <w:sz w:val="18"/>
                <w:szCs w:val="18"/>
              </w:rPr>
              <w:t xml:space="preserve">Objectives </w:t>
            </w:r>
          </w:p>
        </w:tc>
        <w:tc>
          <w:tcPr>
            <w:tcW w:w="610" w:type="dxa"/>
            <w:tcBorders>
              <w:top w:val="single" w:color="000000" w:sz="4" w:space="0"/>
              <w:left w:val="single" w:color="000000" w:sz="4" w:space="0"/>
              <w:bottom w:val="double" w:color="FFFFCC" w:sz="2" w:space="0"/>
              <w:right w:val="single" w:color="000000" w:sz="4" w:space="0"/>
            </w:tcBorders>
          </w:tcPr>
          <w:p>
            <w:pPr>
              <w:pStyle w:val="4"/>
              <w:spacing w:before="40" w:after="40"/>
              <w:jc w:val="right"/>
              <w:rPr>
                <w:rFonts w:ascii="Arial" w:hAnsi="Arial" w:cs="Arial"/>
                <w:sz w:val="18"/>
                <w:szCs w:val="18"/>
              </w:rPr>
            </w:pPr>
            <w:r>
              <w:rPr>
                <w:rFonts w:ascii="Arial" w:hAnsi="Arial" w:cs="Arial"/>
                <w:sz w:val="18"/>
                <w:szCs w:val="18"/>
              </w:rPr>
              <w:t>4</w:t>
            </w:r>
          </w:p>
        </w:tc>
        <w:tc>
          <w:tcPr>
            <w:tcW w:w="12251" w:type="dxa"/>
            <w:tcBorders>
              <w:top w:val="single" w:color="000000" w:sz="4" w:space="0"/>
              <w:left w:val="single" w:color="000000" w:sz="4" w:space="0"/>
              <w:bottom w:val="double" w:color="000000" w:sz="4" w:space="0"/>
              <w:right w:val="single" w:color="000000" w:sz="4" w:space="0"/>
            </w:tcBorders>
          </w:tcPr>
          <w:p>
            <w:pPr>
              <w:pStyle w:val="4"/>
              <w:spacing w:before="40" w:after="40"/>
              <w:rPr>
                <w:rFonts w:ascii="Arial" w:hAnsi="Arial" w:cs="Arial"/>
                <w:b/>
                <w:sz w:val="18"/>
                <w:szCs w:val="18"/>
              </w:rPr>
            </w:pPr>
            <w:r>
              <w:rPr>
                <w:rFonts w:ascii="Arial" w:hAnsi="Arial" w:cs="Arial"/>
                <w:b/>
                <w:sz w:val="18"/>
                <w:szCs w:val="18"/>
              </w:rPr>
              <w:t>This study was carried to assess published literature on human Mpox cases in Nigeria in order to provide the global community with information on the dynamics and possible drivers of the disease transmission.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177"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4"/>
              <w:rPr>
                <w:rFonts w:ascii="Arial" w:hAnsi="Arial" w:cs="Arial"/>
                <w:b/>
                <w:sz w:val="18"/>
                <w:szCs w:val="18"/>
              </w:rPr>
            </w:pPr>
            <w:r>
              <w:rPr>
                <w:rFonts w:ascii="Arial" w:hAnsi="Arial" w:cs="Arial"/>
                <w:b/>
                <w:bCs/>
                <w:sz w:val="18"/>
                <w:szCs w:val="18"/>
              </w:rPr>
              <w:t xml:space="preserve">METHODS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316" w:type="dxa"/>
            <w:tcBorders>
              <w:top w:val="single" w:color="000000" w:sz="4" w:space="0"/>
              <w:left w:val="single" w:color="000000" w:sz="4" w:space="0"/>
              <w:bottom w:val="single" w:color="000000" w:sz="4" w:space="0"/>
              <w:right w:val="single" w:color="000000" w:sz="4" w:space="0"/>
            </w:tcBorders>
          </w:tcPr>
          <w:p>
            <w:pPr>
              <w:pStyle w:val="4"/>
              <w:spacing w:before="40" w:after="40"/>
              <w:rPr>
                <w:rFonts w:ascii="Arial" w:hAnsi="Arial" w:cs="Arial"/>
                <w:sz w:val="18"/>
                <w:szCs w:val="18"/>
              </w:rPr>
            </w:pPr>
            <w:r>
              <w:rPr>
                <w:rFonts w:ascii="Arial" w:hAnsi="Arial" w:cs="Arial"/>
                <w:sz w:val="18"/>
                <w:szCs w:val="18"/>
              </w:rPr>
              <w:t xml:space="preserve">Eligibility criteria </w:t>
            </w:r>
          </w:p>
        </w:tc>
        <w:tc>
          <w:tcPr>
            <w:tcW w:w="610" w:type="dxa"/>
            <w:tcBorders>
              <w:top w:val="single" w:color="000000" w:sz="4" w:space="0"/>
              <w:left w:val="single" w:color="000000" w:sz="4" w:space="0"/>
              <w:bottom w:val="single" w:color="000000" w:sz="4" w:space="0"/>
              <w:right w:val="single" w:color="000000" w:sz="4" w:space="0"/>
            </w:tcBorders>
          </w:tcPr>
          <w:p>
            <w:pPr>
              <w:pStyle w:val="4"/>
              <w:spacing w:before="40" w:after="40"/>
              <w:jc w:val="right"/>
              <w:rPr>
                <w:rFonts w:ascii="Arial" w:hAnsi="Arial" w:cs="Arial"/>
                <w:sz w:val="18"/>
                <w:szCs w:val="18"/>
              </w:rPr>
            </w:pPr>
            <w:r>
              <w:rPr>
                <w:rFonts w:ascii="Arial" w:hAnsi="Arial" w:cs="Arial"/>
                <w:sz w:val="18"/>
                <w:szCs w:val="18"/>
              </w:rPr>
              <w:t>5</w:t>
            </w:r>
          </w:p>
        </w:tc>
        <w:tc>
          <w:tcPr>
            <w:tcW w:w="12251" w:type="dxa"/>
            <w:tcBorders>
              <w:top w:val="single" w:color="000000" w:sz="4" w:space="0"/>
              <w:left w:val="single" w:color="000000" w:sz="4" w:space="0"/>
              <w:bottom w:val="single" w:color="000000" w:sz="4" w:space="0"/>
              <w:right w:val="single" w:color="000000" w:sz="4" w:space="0"/>
            </w:tcBorders>
          </w:tcPr>
          <w:p>
            <w:pPr>
              <w:pStyle w:val="4"/>
              <w:spacing w:before="40" w:after="40"/>
              <w:rPr>
                <w:rFonts w:ascii="Arial" w:hAnsi="Arial" w:cs="Arial"/>
                <w:b/>
                <w:sz w:val="18"/>
                <w:szCs w:val="18"/>
              </w:rPr>
            </w:pPr>
            <w:r>
              <w:rPr>
                <w:rFonts w:ascii="Arial" w:hAnsi="Arial" w:cs="Arial"/>
                <w:b/>
                <w:sz w:val="18"/>
                <w:szCs w:val="18"/>
              </w:rPr>
              <w:t>The final reviewed articles and abstracts included prospective observational studies, case reports (including exported cases), cohort studies, and epidemiological investigations that reported on Mpox in humans were included. Resources excluded include full books, book sections, and studies describing study populations not based in Nigeria, studies on animals or insects, studies not focused on Mpox patients exclusively, retrospective studies, reviews, editorials and publications lacking original data (transitory website-based information). Likewise, conference abstracts, conference proceedings, and review articles were excluded from the analysis.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 w:hRule="atLeast"/>
        </w:trPr>
        <w:tc>
          <w:tcPr>
            <w:tcW w:w="1316" w:type="dxa"/>
            <w:tcBorders>
              <w:top w:val="single" w:color="000000" w:sz="4" w:space="0"/>
              <w:left w:val="single" w:color="000000" w:sz="4" w:space="0"/>
              <w:bottom w:val="single" w:color="000000" w:sz="4" w:space="0"/>
              <w:right w:val="single" w:color="000000" w:sz="4" w:space="0"/>
            </w:tcBorders>
          </w:tcPr>
          <w:p>
            <w:pPr>
              <w:pStyle w:val="4"/>
              <w:spacing w:before="40" w:after="40"/>
              <w:rPr>
                <w:rFonts w:ascii="Arial" w:hAnsi="Arial" w:cs="Arial"/>
                <w:sz w:val="18"/>
                <w:szCs w:val="18"/>
              </w:rPr>
            </w:pPr>
            <w:r>
              <w:rPr>
                <w:rFonts w:ascii="Arial" w:hAnsi="Arial" w:cs="Arial"/>
                <w:sz w:val="18"/>
                <w:szCs w:val="18"/>
              </w:rPr>
              <w:t xml:space="preserve">Information sources </w:t>
            </w:r>
          </w:p>
        </w:tc>
        <w:tc>
          <w:tcPr>
            <w:tcW w:w="610" w:type="dxa"/>
            <w:tcBorders>
              <w:top w:val="single" w:color="000000" w:sz="4" w:space="0"/>
              <w:left w:val="single" w:color="000000" w:sz="4" w:space="0"/>
              <w:bottom w:val="single" w:color="000000" w:sz="4" w:space="0"/>
              <w:right w:val="single" w:color="000000" w:sz="4" w:space="0"/>
            </w:tcBorders>
          </w:tcPr>
          <w:p>
            <w:pPr>
              <w:pStyle w:val="4"/>
              <w:spacing w:before="40" w:after="40"/>
              <w:jc w:val="right"/>
              <w:rPr>
                <w:rFonts w:ascii="Arial" w:hAnsi="Arial" w:cs="Arial"/>
                <w:sz w:val="18"/>
                <w:szCs w:val="18"/>
              </w:rPr>
            </w:pPr>
            <w:r>
              <w:rPr>
                <w:rFonts w:ascii="Arial" w:hAnsi="Arial" w:cs="Arial"/>
                <w:sz w:val="18"/>
                <w:szCs w:val="18"/>
              </w:rPr>
              <w:t>6</w:t>
            </w:r>
          </w:p>
        </w:tc>
        <w:tc>
          <w:tcPr>
            <w:tcW w:w="12251" w:type="dxa"/>
            <w:tcBorders>
              <w:top w:val="single" w:color="000000" w:sz="4" w:space="0"/>
              <w:left w:val="single" w:color="000000" w:sz="4" w:space="0"/>
              <w:bottom w:val="single" w:color="000000" w:sz="4" w:space="0"/>
              <w:right w:val="single" w:color="000000" w:sz="4" w:space="0"/>
            </w:tcBorders>
          </w:tcPr>
          <w:p>
            <w:pPr>
              <w:pStyle w:val="4"/>
              <w:spacing w:before="40" w:after="40"/>
              <w:rPr>
                <w:rFonts w:ascii="Arial" w:hAnsi="Arial" w:cs="Arial"/>
                <w:b/>
                <w:sz w:val="18"/>
                <w:szCs w:val="18"/>
              </w:rPr>
            </w:pPr>
            <w:r>
              <w:rPr>
                <w:rFonts w:ascii="Arial" w:hAnsi="Arial" w:cs="Arial"/>
                <w:b/>
                <w:sz w:val="18"/>
                <w:szCs w:val="18"/>
              </w:rPr>
              <w:t xml:space="preserve">We searched for publications in PubMed/MEDLINE, Embase, AJOL, Web of Science, Scopus and Google Scholar for studies (full articles and abstracts) published within the last five years, January </w:t>
            </w:r>
            <w:r>
              <w:rPr>
                <w:rFonts w:ascii="Arial" w:hAnsi="Arial" w:cs="Arial"/>
                <w:b/>
                <w:sz w:val="18"/>
                <w:szCs w:val="18"/>
                <w:shd w:val="clear"/>
              </w:rPr>
              <w:t>2017 t</w:t>
            </w:r>
            <w:r>
              <w:rPr>
                <w:rFonts w:hint="default" w:ascii="Arial" w:hAnsi="Arial" w:cs="Arial"/>
                <w:b/>
                <w:sz w:val="18"/>
                <w:szCs w:val="18"/>
                <w:shd w:val="clear"/>
                <w:lang w:val="en-US"/>
              </w:rPr>
              <w:t>o 2022</w:t>
            </w:r>
            <w:r>
              <w:rPr>
                <w:rFonts w:ascii="Arial" w:hAnsi="Arial" w:cs="Arial"/>
                <w:b/>
                <w:sz w:val="18"/>
                <w:szCs w:val="18"/>
              </w:rPr>
              <w:t>, involving the prevalence or incidence of human Mpox in Nigeria (and those with links to Nigeria). Key search words were used without regard to language. We also searched the internet for the study headings, titles, or abstracts.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316" w:type="dxa"/>
            <w:tcBorders>
              <w:top w:val="single" w:color="000000" w:sz="4" w:space="0"/>
              <w:left w:val="single" w:color="000000" w:sz="4" w:space="0"/>
              <w:bottom w:val="single" w:color="000000" w:sz="4" w:space="0"/>
              <w:right w:val="single" w:color="000000" w:sz="4" w:space="0"/>
            </w:tcBorders>
          </w:tcPr>
          <w:p>
            <w:pPr>
              <w:pStyle w:val="4"/>
              <w:spacing w:before="40" w:after="40"/>
              <w:rPr>
                <w:rFonts w:ascii="Arial" w:hAnsi="Arial" w:cs="Arial"/>
                <w:sz w:val="18"/>
                <w:szCs w:val="18"/>
              </w:rPr>
            </w:pPr>
            <w:r>
              <w:rPr>
                <w:rFonts w:ascii="Arial" w:hAnsi="Arial" w:cs="Arial"/>
                <w:sz w:val="18"/>
                <w:szCs w:val="18"/>
              </w:rPr>
              <w:t>Search strategy</w:t>
            </w:r>
          </w:p>
        </w:tc>
        <w:tc>
          <w:tcPr>
            <w:tcW w:w="610" w:type="dxa"/>
            <w:tcBorders>
              <w:top w:val="single" w:color="000000" w:sz="4" w:space="0"/>
              <w:left w:val="single" w:color="000000" w:sz="4" w:space="0"/>
              <w:bottom w:val="single" w:color="000000" w:sz="4" w:space="0"/>
              <w:right w:val="single" w:color="000000" w:sz="4" w:space="0"/>
            </w:tcBorders>
          </w:tcPr>
          <w:p>
            <w:pPr>
              <w:pStyle w:val="4"/>
              <w:spacing w:before="40" w:after="40"/>
              <w:jc w:val="right"/>
              <w:rPr>
                <w:rFonts w:ascii="Arial" w:hAnsi="Arial" w:cs="Arial"/>
                <w:sz w:val="18"/>
                <w:szCs w:val="18"/>
              </w:rPr>
            </w:pPr>
            <w:r>
              <w:rPr>
                <w:rFonts w:ascii="Arial" w:hAnsi="Arial" w:cs="Arial"/>
                <w:sz w:val="18"/>
                <w:szCs w:val="18"/>
              </w:rPr>
              <w:t>7</w:t>
            </w:r>
          </w:p>
        </w:tc>
        <w:tc>
          <w:tcPr>
            <w:tcW w:w="12251" w:type="dxa"/>
            <w:tcBorders>
              <w:top w:val="single" w:color="000000" w:sz="4" w:space="0"/>
              <w:left w:val="single" w:color="000000" w:sz="4" w:space="0"/>
              <w:bottom w:val="single" w:color="000000" w:sz="4" w:space="0"/>
              <w:right w:val="single" w:color="000000" w:sz="4" w:space="0"/>
            </w:tcBorders>
          </w:tcPr>
          <w:p>
            <w:pPr>
              <w:pStyle w:val="4"/>
              <w:spacing w:before="40" w:after="40"/>
              <w:rPr>
                <w:rFonts w:ascii="Arial" w:hAnsi="Arial" w:cs="Arial"/>
                <w:b/>
                <w:sz w:val="18"/>
                <w:szCs w:val="18"/>
              </w:rPr>
            </w:pPr>
            <w:r>
              <w:rPr>
                <w:rFonts w:ascii="Arial" w:hAnsi="Arial" w:cs="Arial"/>
                <w:b/>
                <w:sz w:val="18"/>
                <w:szCs w:val="18"/>
              </w:rPr>
              <w:t xml:space="preserve">The main search strategy used was: (("Monkeypox epidemiology"[All Fields] OR (("monkeypox"[MeSH Terms] OR "monkeypox"[All Fields]) AND ("epidemiology"[MeSH Subheading] OR "epidemiology"[All Fields] OR "surveillance"[All Fields] OR "epidemiology"[MeSH Terms] OR "surveillance"[All Fields] OR "surveillances"[All Fields] OR "surveilled"[All Fields] OR "surveillence"[All Fields]))) AND ("nigeria"[MeSH Terms] OR "nigeria"[All Fields] OR "nigeria s"[All Fields])) OR (("monkeypox"[MeSH Terms] OR "monkeypox"[All Fields] OR "Monkeypox outbreak"[All Fields]) AND "nigeria*"[All Fields]).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316" w:type="dxa"/>
            <w:tcBorders>
              <w:top w:val="single" w:color="000000" w:sz="4" w:space="0"/>
              <w:left w:val="single" w:color="000000" w:sz="4" w:space="0"/>
              <w:bottom w:val="single" w:color="000000" w:sz="4" w:space="0"/>
              <w:right w:val="single" w:color="000000" w:sz="4" w:space="0"/>
            </w:tcBorders>
          </w:tcPr>
          <w:p>
            <w:pPr>
              <w:pStyle w:val="4"/>
              <w:spacing w:before="40" w:after="40"/>
              <w:rPr>
                <w:rFonts w:ascii="Arial" w:hAnsi="Arial" w:cs="Arial"/>
                <w:sz w:val="18"/>
                <w:szCs w:val="18"/>
              </w:rPr>
            </w:pPr>
            <w:r>
              <w:rPr>
                <w:rFonts w:ascii="Arial" w:hAnsi="Arial" w:cs="Arial"/>
                <w:sz w:val="18"/>
                <w:szCs w:val="18"/>
              </w:rPr>
              <w:t>Selection process</w:t>
            </w:r>
          </w:p>
        </w:tc>
        <w:tc>
          <w:tcPr>
            <w:tcW w:w="610" w:type="dxa"/>
            <w:tcBorders>
              <w:top w:val="single" w:color="000000" w:sz="4" w:space="0"/>
              <w:left w:val="single" w:color="000000" w:sz="4" w:space="0"/>
              <w:bottom w:val="single" w:color="000000" w:sz="4" w:space="0"/>
              <w:right w:val="single" w:color="000000" w:sz="4" w:space="0"/>
            </w:tcBorders>
          </w:tcPr>
          <w:p>
            <w:pPr>
              <w:pStyle w:val="4"/>
              <w:spacing w:before="40" w:after="40"/>
              <w:jc w:val="right"/>
              <w:rPr>
                <w:rFonts w:ascii="Arial" w:hAnsi="Arial" w:cs="Arial"/>
                <w:sz w:val="18"/>
                <w:szCs w:val="18"/>
              </w:rPr>
            </w:pPr>
            <w:r>
              <w:rPr>
                <w:rFonts w:ascii="Arial" w:hAnsi="Arial" w:cs="Arial"/>
                <w:sz w:val="18"/>
                <w:szCs w:val="18"/>
              </w:rPr>
              <w:t>8</w:t>
            </w:r>
          </w:p>
        </w:tc>
        <w:tc>
          <w:tcPr>
            <w:tcW w:w="12251" w:type="dxa"/>
            <w:tcBorders>
              <w:top w:val="single" w:color="000000" w:sz="4" w:space="0"/>
              <w:left w:val="single" w:color="000000" w:sz="4" w:space="0"/>
              <w:bottom w:val="single" w:color="000000" w:sz="4" w:space="0"/>
              <w:right w:val="single" w:color="000000" w:sz="4" w:space="0"/>
            </w:tcBorders>
          </w:tcPr>
          <w:p>
            <w:pPr>
              <w:pStyle w:val="4"/>
              <w:spacing w:before="40" w:after="40"/>
              <w:rPr>
                <w:rFonts w:ascii="Arial" w:hAnsi="Arial" w:cs="Arial"/>
                <w:b/>
                <w:sz w:val="18"/>
                <w:szCs w:val="18"/>
              </w:rPr>
            </w:pPr>
            <w:r>
              <w:rPr>
                <w:rFonts w:ascii="Arial" w:hAnsi="Arial" w:cs="Arial"/>
                <w:b/>
                <w:sz w:val="18"/>
                <w:szCs w:val="18"/>
              </w:rPr>
              <w:t>The initial selection by title and abstract was conducted independently by two researchers MB and OA according to the inclusion/exclusion criteria. In selecting articles' titles, all articles that presented one or more terms with Mpox and Nigeria relationship were included. After this, an exhaustive reading of the articles was carried out to confirm the relevant data for the systematic review and important variables for the meta-analysis. The final decision on articles to be included was discussed with a third investigator (VA), and a consensus was reached.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 w:hRule="atLeast"/>
        </w:trPr>
        <w:tc>
          <w:tcPr>
            <w:tcW w:w="1316" w:type="dxa"/>
            <w:tcBorders>
              <w:top w:val="single" w:color="000000" w:sz="4" w:space="0"/>
              <w:left w:val="single" w:color="000000" w:sz="4" w:space="0"/>
              <w:bottom w:val="single" w:color="000000" w:sz="4" w:space="0"/>
              <w:right w:val="single" w:color="000000" w:sz="4" w:space="0"/>
            </w:tcBorders>
          </w:tcPr>
          <w:p>
            <w:pPr>
              <w:pStyle w:val="4"/>
              <w:spacing w:before="40" w:after="40"/>
              <w:rPr>
                <w:rFonts w:ascii="Arial" w:hAnsi="Arial" w:cs="Arial"/>
                <w:sz w:val="18"/>
                <w:szCs w:val="18"/>
              </w:rPr>
            </w:pPr>
            <w:r>
              <w:rPr>
                <w:rFonts w:ascii="Arial" w:hAnsi="Arial" w:cs="Arial"/>
                <w:sz w:val="18"/>
                <w:szCs w:val="18"/>
              </w:rPr>
              <w:t xml:space="preserve">Data collection process </w:t>
            </w:r>
          </w:p>
        </w:tc>
        <w:tc>
          <w:tcPr>
            <w:tcW w:w="610" w:type="dxa"/>
            <w:tcBorders>
              <w:top w:val="single" w:color="000000" w:sz="4" w:space="0"/>
              <w:left w:val="single" w:color="000000" w:sz="4" w:space="0"/>
              <w:bottom w:val="single" w:color="000000" w:sz="4" w:space="0"/>
              <w:right w:val="single" w:color="000000" w:sz="4" w:space="0"/>
            </w:tcBorders>
          </w:tcPr>
          <w:p>
            <w:pPr>
              <w:pStyle w:val="4"/>
              <w:spacing w:before="40" w:after="40"/>
              <w:jc w:val="right"/>
              <w:rPr>
                <w:rFonts w:ascii="Arial" w:hAnsi="Arial" w:cs="Arial"/>
                <w:sz w:val="18"/>
                <w:szCs w:val="18"/>
              </w:rPr>
            </w:pPr>
            <w:r>
              <w:rPr>
                <w:rFonts w:ascii="Arial" w:hAnsi="Arial" w:cs="Arial"/>
                <w:sz w:val="18"/>
                <w:szCs w:val="18"/>
              </w:rPr>
              <w:t>9</w:t>
            </w:r>
          </w:p>
        </w:tc>
        <w:tc>
          <w:tcPr>
            <w:tcW w:w="12251" w:type="dxa"/>
            <w:tcBorders>
              <w:top w:val="single" w:color="000000" w:sz="4" w:space="0"/>
              <w:left w:val="single" w:color="000000" w:sz="4" w:space="0"/>
              <w:bottom w:val="single" w:color="000000" w:sz="4" w:space="0"/>
              <w:right w:val="single" w:color="000000" w:sz="4" w:space="0"/>
            </w:tcBorders>
          </w:tcPr>
          <w:p>
            <w:pPr>
              <w:pStyle w:val="4"/>
              <w:spacing w:before="40" w:after="40"/>
              <w:rPr>
                <w:rFonts w:ascii="Arial" w:hAnsi="Arial" w:cs="Arial"/>
                <w:b/>
                <w:sz w:val="18"/>
                <w:szCs w:val="18"/>
              </w:rPr>
            </w:pPr>
            <w:r>
              <w:rPr>
                <w:rFonts w:ascii="Arial" w:hAnsi="Arial" w:cs="Arial"/>
                <w:b/>
                <w:sz w:val="18"/>
                <w:szCs w:val="18"/>
              </w:rPr>
              <w:t>Using the inclusion and exclusion criteria, two reviewers (MB and OO) independently screened the titles and abstracts of eligible studies using the Rayyan screening tool. The whole text of the citations chosen for evaluation w</w:t>
            </w:r>
            <w:r>
              <w:rPr>
                <w:rFonts w:hint="default" w:ascii="Arial" w:hAnsi="Arial" w:cs="Arial"/>
                <w:b/>
                <w:sz w:val="18"/>
                <w:szCs w:val="18"/>
                <w:lang w:val="en-US"/>
              </w:rPr>
              <w:t>ere</w:t>
            </w:r>
            <w:r>
              <w:rPr>
                <w:rFonts w:ascii="Arial" w:hAnsi="Arial" w:cs="Arial"/>
                <w:b/>
                <w:sz w:val="18"/>
                <w:szCs w:val="18"/>
              </w:rPr>
              <w:t xml:space="preserve"> obtained, and the reviewers independently collected all study data and resolved disagreements by consensus.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316" w:type="dxa"/>
            <w:vMerge w:val="restart"/>
            <w:tcBorders>
              <w:top w:val="single" w:color="000000" w:sz="4" w:space="0"/>
              <w:left w:val="single" w:color="000000" w:sz="4" w:space="0"/>
              <w:right w:val="single" w:color="000000" w:sz="4" w:space="0"/>
            </w:tcBorders>
          </w:tcPr>
          <w:p>
            <w:pPr>
              <w:pStyle w:val="4"/>
              <w:spacing w:before="40" w:after="40"/>
              <w:rPr>
                <w:rFonts w:ascii="Arial" w:hAnsi="Arial" w:cs="Arial"/>
                <w:sz w:val="18"/>
                <w:szCs w:val="18"/>
              </w:rPr>
            </w:pPr>
            <w:r>
              <w:rPr>
                <w:rFonts w:ascii="Arial" w:hAnsi="Arial" w:cs="Arial"/>
                <w:sz w:val="18"/>
                <w:szCs w:val="18"/>
              </w:rPr>
              <w:t xml:space="preserve">Data items </w:t>
            </w:r>
          </w:p>
        </w:tc>
        <w:tc>
          <w:tcPr>
            <w:tcW w:w="610" w:type="dxa"/>
            <w:tcBorders>
              <w:top w:val="single" w:color="000000" w:sz="4" w:space="0"/>
              <w:left w:val="single" w:color="000000" w:sz="4" w:space="0"/>
              <w:bottom w:val="single" w:color="000000" w:sz="4" w:space="0"/>
              <w:right w:val="single" w:color="000000" w:sz="4" w:space="0"/>
            </w:tcBorders>
          </w:tcPr>
          <w:p>
            <w:pPr>
              <w:pStyle w:val="4"/>
              <w:spacing w:before="40" w:after="40"/>
              <w:jc w:val="right"/>
              <w:rPr>
                <w:rFonts w:ascii="Arial" w:hAnsi="Arial" w:cs="Arial"/>
                <w:sz w:val="18"/>
                <w:szCs w:val="18"/>
              </w:rPr>
            </w:pPr>
            <w:r>
              <w:rPr>
                <w:rFonts w:ascii="Arial" w:hAnsi="Arial" w:cs="Arial"/>
                <w:sz w:val="18"/>
                <w:szCs w:val="18"/>
              </w:rPr>
              <w:t>10a</w:t>
            </w:r>
          </w:p>
        </w:tc>
        <w:tc>
          <w:tcPr>
            <w:tcW w:w="12251" w:type="dxa"/>
            <w:tcBorders>
              <w:top w:val="single" w:color="000000" w:sz="4" w:space="0"/>
              <w:left w:val="single" w:color="000000" w:sz="4" w:space="0"/>
              <w:bottom w:val="single" w:color="000000" w:sz="4" w:space="0"/>
              <w:right w:val="single" w:color="000000" w:sz="4" w:space="0"/>
            </w:tcBorders>
          </w:tcPr>
          <w:p>
            <w:pPr>
              <w:pStyle w:val="4"/>
              <w:spacing w:before="40" w:after="40"/>
              <w:rPr>
                <w:rFonts w:ascii="Arial" w:hAnsi="Arial" w:cs="Arial"/>
                <w:b/>
                <w:sz w:val="18"/>
                <w:szCs w:val="18"/>
              </w:rPr>
            </w:pPr>
            <w:r>
              <w:rPr>
                <w:rFonts w:ascii="Arial" w:hAnsi="Arial" w:cs="Arial"/>
                <w:b/>
                <w:sz w:val="18"/>
                <w:szCs w:val="18"/>
              </w:rPr>
              <w:t>The extracted data from each article included the first author, year of publication, study location, study enrolment period, number of suspected cases and the number of confirmed cases. Other information collected included the technique of diagnosis, comorbidity and case fatality rate. Other data obtained included age and gender of study participants/case reported, study participants, sample size and reported incidence/prevalence with 95% confidence intervals (CIs), if available.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316" w:type="dxa"/>
            <w:vMerge w:val="continue"/>
            <w:tcBorders>
              <w:left w:val="single" w:color="000000" w:sz="4" w:space="0"/>
              <w:bottom w:val="single" w:color="000000" w:sz="4" w:space="0"/>
              <w:right w:val="single" w:color="000000" w:sz="4" w:space="0"/>
            </w:tcBorders>
          </w:tcPr>
          <w:p>
            <w:pPr>
              <w:pStyle w:val="4"/>
              <w:spacing w:before="40" w:after="40"/>
              <w:rPr>
                <w:rFonts w:ascii="Arial" w:hAnsi="Arial" w:cs="Arial"/>
                <w:sz w:val="18"/>
                <w:szCs w:val="18"/>
              </w:rPr>
            </w:pPr>
          </w:p>
        </w:tc>
        <w:tc>
          <w:tcPr>
            <w:tcW w:w="610" w:type="dxa"/>
            <w:tcBorders>
              <w:top w:val="single" w:color="000000" w:sz="4" w:space="0"/>
              <w:left w:val="single" w:color="000000" w:sz="4" w:space="0"/>
              <w:bottom w:val="single" w:color="000000" w:sz="4" w:space="0"/>
              <w:right w:val="single" w:color="000000" w:sz="4" w:space="0"/>
            </w:tcBorders>
          </w:tcPr>
          <w:p>
            <w:pPr>
              <w:pStyle w:val="4"/>
              <w:spacing w:before="40" w:after="40"/>
              <w:jc w:val="right"/>
              <w:rPr>
                <w:rFonts w:ascii="Arial" w:hAnsi="Arial" w:cs="Arial"/>
                <w:sz w:val="18"/>
                <w:szCs w:val="18"/>
              </w:rPr>
            </w:pPr>
            <w:r>
              <w:rPr>
                <w:rFonts w:ascii="Arial" w:hAnsi="Arial" w:cs="Arial"/>
                <w:sz w:val="18"/>
                <w:szCs w:val="18"/>
              </w:rPr>
              <w:t>10b</w:t>
            </w:r>
          </w:p>
        </w:tc>
        <w:tc>
          <w:tcPr>
            <w:tcW w:w="12251" w:type="dxa"/>
            <w:tcBorders>
              <w:top w:val="single" w:color="000000" w:sz="4" w:space="0"/>
              <w:left w:val="single" w:color="000000" w:sz="4" w:space="0"/>
              <w:bottom w:val="single" w:color="000000" w:sz="4" w:space="0"/>
              <w:right w:val="single" w:color="000000" w:sz="4" w:space="0"/>
            </w:tcBorders>
          </w:tcPr>
          <w:p>
            <w:pPr>
              <w:pStyle w:val="4"/>
              <w:spacing w:before="40" w:after="40"/>
              <w:rPr>
                <w:rFonts w:ascii="Arial" w:hAnsi="Arial" w:cs="Arial"/>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316" w:type="dxa"/>
            <w:tcBorders>
              <w:top w:val="single" w:color="000000" w:sz="4" w:space="0"/>
              <w:left w:val="single" w:color="000000" w:sz="4" w:space="0"/>
              <w:bottom w:val="single" w:color="000000" w:sz="4" w:space="0"/>
              <w:right w:val="single" w:color="000000" w:sz="4" w:space="0"/>
            </w:tcBorders>
          </w:tcPr>
          <w:p>
            <w:pPr>
              <w:pStyle w:val="4"/>
              <w:spacing w:before="40" w:after="40"/>
              <w:rPr>
                <w:rFonts w:ascii="Arial" w:hAnsi="Arial" w:cs="Arial"/>
                <w:sz w:val="18"/>
                <w:szCs w:val="18"/>
              </w:rPr>
            </w:pPr>
            <w:r>
              <w:rPr>
                <w:rFonts w:ascii="Arial" w:hAnsi="Arial" w:cs="Arial"/>
                <w:sz w:val="18"/>
                <w:szCs w:val="18"/>
              </w:rPr>
              <w:t>Study risk of bias assessment</w:t>
            </w:r>
          </w:p>
        </w:tc>
        <w:tc>
          <w:tcPr>
            <w:tcW w:w="610" w:type="dxa"/>
            <w:tcBorders>
              <w:top w:val="single" w:color="000000" w:sz="4" w:space="0"/>
              <w:left w:val="single" w:color="000000" w:sz="4" w:space="0"/>
              <w:bottom w:val="single" w:color="000000" w:sz="4" w:space="0"/>
              <w:right w:val="single" w:color="000000" w:sz="4" w:space="0"/>
            </w:tcBorders>
          </w:tcPr>
          <w:p>
            <w:pPr>
              <w:pStyle w:val="4"/>
              <w:spacing w:before="40" w:after="40"/>
              <w:jc w:val="right"/>
              <w:rPr>
                <w:rFonts w:ascii="Arial" w:hAnsi="Arial" w:cs="Arial"/>
                <w:sz w:val="18"/>
                <w:szCs w:val="18"/>
              </w:rPr>
            </w:pPr>
            <w:r>
              <w:rPr>
                <w:rFonts w:ascii="Arial" w:hAnsi="Arial" w:cs="Arial"/>
                <w:sz w:val="18"/>
                <w:szCs w:val="18"/>
              </w:rPr>
              <w:t>11</w:t>
            </w:r>
          </w:p>
        </w:tc>
        <w:tc>
          <w:tcPr>
            <w:tcW w:w="12251" w:type="dxa"/>
            <w:tcBorders>
              <w:top w:val="single" w:color="000000" w:sz="4" w:space="0"/>
              <w:left w:val="single" w:color="000000" w:sz="4" w:space="0"/>
              <w:bottom w:val="single" w:color="000000" w:sz="4" w:space="0"/>
              <w:right w:val="single" w:color="000000" w:sz="4" w:space="0"/>
            </w:tcBorders>
          </w:tcPr>
          <w:p>
            <w:pPr>
              <w:pStyle w:val="4"/>
              <w:spacing w:before="40" w:after="40"/>
              <w:rPr>
                <w:rFonts w:ascii="Arial" w:hAnsi="Arial" w:cs="Arial"/>
                <w:b/>
                <w:sz w:val="18"/>
                <w:szCs w:val="18"/>
              </w:rPr>
            </w:pPr>
            <w:r>
              <w:rPr>
                <w:rFonts w:ascii="Arial" w:hAnsi="Arial" w:cs="Arial"/>
                <w:b/>
                <w:sz w:val="18"/>
                <w:szCs w:val="18"/>
              </w:rPr>
              <w:t>The quality assessment of the study was carried out using the Effective Public Health Practice Project (EPHPP), a quality assessment tool for quantitative studies [https://www.ephpp.ca/quality-assessment-tool-for-quantitative-studies/]. This tool ensures the evaluation of the risk of bias rather than excluding low quality literature. The risk of bias in each retrieved document was evaluated based on the population considered, sample size adequacy, study settings, diagnostic tool used, and subgroup reported.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316" w:type="dxa"/>
            <w:tcBorders>
              <w:top w:val="single" w:color="000000" w:sz="4" w:space="0"/>
              <w:left w:val="single" w:color="000000" w:sz="4" w:space="0"/>
              <w:bottom w:val="single" w:color="000000" w:sz="4" w:space="0"/>
              <w:right w:val="single" w:color="000000" w:sz="4" w:space="0"/>
            </w:tcBorders>
          </w:tcPr>
          <w:p>
            <w:pPr>
              <w:pStyle w:val="4"/>
              <w:spacing w:before="40" w:after="40"/>
              <w:rPr>
                <w:rFonts w:ascii="Arial" w:hAnsi="Arial" w:cs="Arial"/>
                <w:sz w:val="18"/>
                <w:szCs w:val="18"/>
              </w:rPr>
            </w:pPr>
            <w:r>
              <w:rPr>
                <w:rFonts w:ascii="Arial" w:hAnsi="Arial" w:cs="Arial"/>
                <w:sz w:val="18"/>
                <w:szCs w:val="18"/>
              </w:rPr>
              <w:t xml:space="preserve">Effect measures </w:t>
            </w:r>
          </w:p>
        </w:tc>
        <w:tc>
          <w:tcPr>
            <w:tcW w:w="610" w:type="dxa"/>
            <w:tcBorders>
              <w:top w:val="single" w:color="000000" w:sz="4" w:space="0"/>
              <w:left w:val="single" w:color="000000" w:sz="4" w:space="0"/>
              <w:bottom w:val="single" w:color="000000" w:sz="4" w:space="0"/>
              <w:right w:val="single" w:color="000000" w:sz="4" w:space="0"/>
            </w:tcBorders>
          </w:tcPr>
          <w:p>
            <w:pPr>
              <w:pStyle w:val="4"/>
              <w:spacing w:before="40" w:after="40"/>
              <w:jc w:val="right"/>
              <w:rPr>
                <w:rFonts w:ascii="Arial" w:hAnsi="Arial" w:cs="Arial"/>
                <w:sz w:val="18"/>
                <w:szCs w:val="18"/>
              </w:rPr>
            </w:pPr>
            <w:r>
              <w:rPr>
                <w:rFonts w:ascii="Arial" w:hAnsi="Arial" w:cs="Arial"/>
                <w:sz w:val="18"/>
                <w:szCs w:val="18"/>
              </w:rPr>
              <w:t>12</w:t>
            </w:r>
          </w:p>
        </w:tc>
        <w:tc>
          <w:tcPr>
            <w:tcW w:w="12251" w:type="dxa"/>
            <w:tcBorders>
              <w:top w:val="single" w:color="000000" w:sz="4" w:space="0"/>
              <w:left w:val="single" w:color="000000" w:sz="4" w:space="0"/>
              <w:bottom w:val="single" w:color="000000" w:sz="4" w:space="0"/>
              <w:right w:val="single" w:color="000000" w:sz="4" w:space="0"/>
            </w:tcBorders>
          </w:tcPr>
          <w:p>
            <w:pPr>
              <w:pStyle w:val="4"/>
              <w:spacing w:before="40" w:after="40"/>
              <w:rPr>
                <w:rFonts w:ascii="Arial" w:hAnsi="Arial" w:cs="Arial"/>
                <w:b/>
                <w:sz w:val="18"/>
                <w:szCs w:val="18"/>
              </w:rPr>
            </w:pPr>
            <w:r>
              <w:rPr>
                <w:rFonts w:ascii="Arial" w:hAnsi="Arial" w:cs="Arial"/>
                <w:b/>
                <w:sz w:val="18"/>
                <w:szCs w:val="18"/>
              </w:rPr>
              <w:t>Population under consideration, sample size, subject and setting, diagnostic tool deployed, co-authors accounted for, and sub-group identified.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316" w:type="dxa"/>
            <w:vMerge w:val="restart"/>
            <w:tcBorders>
              <w:top w:val="single" w:color="000000" w:sz="4" w:space="0"/>
              <w:left w:val="single" w:color="000000" w:sz="4" w:space="0"/>
              <w:right w:val="single" w:color="000000" w:sz="4" w:space="0"/>
            </w:tcBorders>
          </w:tcPr>
          <w:p>
            <w:pPr>
              <w:pStyle w:val="4"/>
              <w:spacing w:before="40" w:after="40"/>
              <w:rPr>
                <w:rFonts w:ascii="Arial" w:hAnsi="Arial" w:cs="Arial"/>
                <w:sz w:val="18"/>
                <w:szCs w:val="18"/>
              </w:rPr>
            </w:pPr>
            <w:r>
              <w:rPr>
                <w:rFonts w:ascii="Arial" w:hAnsi="Arial" w:cs="Arial"/>
                <w:sz w:val="18"/>
                <w:szCs w:val="18"/>
              </w:rPr>
              <w:t>Synthesis methods</w:t>
            </w:r>
          </w:p>
        </w:tc>
        <w:tc>
          <w:tcPr>
            <w:tcW w:w="610" w:type="dxa"/>
            <w:tcBorders>
              <w:top w:val="single" w:color="000000" w:sz="4" w:space="0"/>
              <w:left w:val="single" w:color="000000" w:sz="4" w:space="0"/>
              <w:bottom w:val="single" w:color="000000" w:sz="4" w:space="0"/>
              <w:right w:val="single" w:color="000000" w:sz="4" w:space="0"/>
            </w:tcBorders>
          </w:tcPr>
          <w:p>
            <w:pPr>
              <w:pStyle w:val="4"/>
              <w:spacing w:before="40" w:after="40"/>
              <w:jc w:val="right"/>
              <w:rPr>
                <w:rFonts w:ascii="Arial" w:hAnsi="Arial" w:cs="Arial"/>
                <w:sz w:val="18"/>
                <w:szCs w:val="18"/>
              </w:rPr>
            </w:pPr>
            <w:r>
              <w:rPr>
                <w:rFonts w:ascii="Arial" w:hAnsi="Arial" w:cs="Arial"/>
                <w:sz w:val="18"/>
                <w:szCs w:val="18"/>
              </w:rPr>
              <w:t>13a</w:t>
            </w:r>
          </w:p>
        </w:tc>
        <w:tc>
          <w:tcPr>
            <w:tcW w:w="12251" w:type="dxa"/>
            <w:tcBorders>
              <w:top w:val="single" w:color="000000" w:sz="4" w:space="0"/>
              <w:left w:val="single" w:color="000000" w:sz="4" w:space="0"/>
              <w:bottom w:val="single" w:color="000000" w:sz="4" w:space="0"/>
              <w:right w:val="single" w:color="000000" w:sz="4" w:space="0"/>
            </w:tcBorders>
          </w:tcPr>
          <w:p>
            <w:pPr>
              <w:pStyle w:val="4"/>
              <w:spacing w:before="40" w:after="40"/>
              <w:rPr>
                <w:rFonts w:ascii="Arial" w:hAnsi="Arial" w:cs="Arial"/>
                <w:b/>
                <w:bCs/>
                <w:sz w:val="18"/>
                <w:szCs w:val="18"/>
              </w:rPr>
            </w:pPr>
            <w:r>
              <w:rPr>
                <w:rFonts w:ascii="Arial" w:hAnsi="Arial" w:cs="Arial"/>
                <w:b/>
                <w:bCs/>
                <w:sz w:val="18"/>
                <w:szCs w:val="18"/>
              </w:rPr>
              <w:t>Not Applicable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316" w:type="dxa"/>
            <w:vMerge w:val="continue"/>
            <w:tcBorders>
              <w:left w:val="single" w:color="000000" w:sz="4" w:space="0"/>
              <w:right w:val="single" w:color="000000" w:sz="4" w:space="0"/>
            </w:tcBorders>
          </w:tcPr>
          <w:p>
            <w:pPr>
              <w:pStyle w:val="4"/>
              <w:spacing w:before="40" w:after="40"/>
              <w:rPr>
                <w:rFonts w:ascii="Arial" w:hAnsi="Arial" w:cs="Arial"/>
                <w:sz w:val="18"/>
                <w:szCs w:val="18"/>
              </w:rPr>
            </w:pPr>
          </w:p>
        </w:tc>
        <w:tc>
          <w:tcPr>
            <w:tcW w:w="610" w:type="dxa"/>
            <w:tcBorders>
              <w:top w:val="single" w:color="000000" w:sz="4" w:space="0"/>
              <w:left w:val="single" w:color="000000" w:sz="4" w:space="0"/>
              <w:bottom w:val="single" w:color="000000" w:sz="4" w:space="0"/>
              <w:right w:val="single" w:color="000000" w:sz="4" w:space="0"/>
            </w:tcBorders>
          </w:tcPr>
          <w:p>
            <w:pPr>
              <w:pStyle w:val="4"/>
              <w:spacing w:before="40" w:after="40"/>
              <w:jc w:val="right"/>
              <w:rPr>
                <w:rFonts w:ascii="Arial" w:hAnsi="Arial" w:cs="Arial"/>
                <w:sz w:val="18"/>
                <w:szCs w:val="18"/>
              </w:rPr>
            </w:pPr>
            <w:r>
              <w:rPr>
                <w:rFonts w:ascii="Arial" w:hAnsi="Arial" w:cs="Arial"/>
                <w:sz w:val="18"/>
                <w:szCs w:val="18"/>
              </w:rPr>
              <w:t>13b</w:t>
            </w:r>
          </w:p>
        </w:tc>
        <w:tc>
          <w:tcPr>
            <w:tcW w:w="12251" w:type="dxa"/>
            <w:tcBorders>
              <w:top w:val="single" w:color="000000" w:sz="4" w:space="0"/>
              <w:left w:val="single" w:color="000000" w:sz="4" w:space="0"/>
              <w:bottom w:val="single" w:color="000000" w:sz="4" w:space="0"/>
              <w:right w:val="single" w:color="000000" w:sz="4" w:space="0"/>
            </w:tcBorders>
          </w:tcPr>
          <w:p>
            <w:pPr>
              <w:pStyle w:val="4"/>
              <w:spacing w:before="40" w:after="40"/>
              <w:rPr>
                <w:rFonts w:ascii="Arial" w:hAnsi="Arial" w:cs="Arial"/>
                <w:b/>
                <w:bCs/>
                <w:sz w:val="18"/>
                <w:szCs w:val="18"/>
              </w:rPr>
            </w:pPr>
            <w:r>
              <w:rPr>
                <w:rFonts w:ascii="Arial" w:hAnsi="Arial" w:cs="Arial"/>
                <w:b/>
                <w:bCs/>
                <w:sz w:val="18"/>
                <w:szCs w:val="18"/>
              </w:rPr>
              <w:t>Data were analysed using Revman Review Manager Version 5.4 software.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316" w:type="dxa"/>
            <w:vMerge w:val="continue"/>
            <w:tcBorders>
              <w:left w:val="single" w:color="000000" w:sz="4" w:space="0"/>
              <w:right w:val="single" w:color="000000" w:sz="4" w:space="0"/>
            </w:tcBorders>
          </w:tcPr>
          <w:p>
            <w:pPr>
              <w:pStyle w:val="4"/>
              <w:spacing w:before="40" w:after="40"/>
              <w:rPr>
                <w:rFonts w:ascii="Arial" w:hAnsi="Arial" w:cs="Arial"/>
                <w:sz w:val="18"/>
                <w:szCs w:val="18"/>
              </w:rPr>
            </w:pPr>
          </w:p>
        </w:tc>
        <w:tc>
          <w:tcPr>
            <w:tcW w:w="610" w:type="dxa"/>
            <w:tcBorders>
              <w:top w:val="single" w:color="000000" w:sz="4" w:space="0"/>
              <w:left w:val="single" w:color="000000" w:sz="4" w:space="0"/>
              <w:bottom w:val="single" w:color="000000" w:sz="4" w:space="0"/>
              <w:right w:val="single" w:color="000000" w:sz="4" w:space="0"/>
            </w:tcBorders>
          </w:tcPr>
          <w:p>
            <w:pPr>
              <w:pStyle w:val="4"/>
              <w:spacing w:before="40" w:after="40"/>
              <w:jc w:val="right"/>
              <w:rPr>
                <w:rFonts w:ascii="Arial" w:hAnsi="Arial" w:cs="Arial"/>
                <w:sz w:val="18"/>
                <w:szCs w:val="18"/>
              </w:rPr>
            </w:pPr>
            <w:r>
              <w:rPr>
                <w:rFonts w:ascii="Arial" w:hAnsi="Arial" w:cs="Arial"/>
                <w:sz w:val="18"/>
                <w:szCs w:val="18"/>
              </w:rPr>
              <w:t>13c</w:t>
            </w:r>
          </w:p>
        </w:tc>
        <w:tc>
          <w:tcPr>
            <w:tcW w:w="12251" w:type="dxa"/>
            <w:tcBorders>
              <w:top w:val="single" w:color="000000" w:sz="4" w:space="0"/>
              <w:left w:val="single" w:color="000000" w:sz="4" w:space="0"/>
              <w:bottom w:val="single" w:color="000000" w:sz="4" w:space="0"/>
              <w:right w:val="single" w:color="000000" w:sz="4" w:space="0"/>
            </w:tcBorders>
          </w:tcPr>
          <w:p>
            <w:pPr>
              <w:pStyle w:val="4"/>
              <w:spacing w:before="40" w:after="40"/>
              <w:rPr>
                <w:rFonts w:ascii="Arial" w:hAnsi="Arial" w:cs="Arial"/>
                <w:b/>
                <w:bCs/>
                <w:sz w:val="18"/>
                <w:szCs w:val="18"/>
              </w:rPr>
            </w:pPr>
            <w:r>
              <w:rPr>
                <w:rFonts w:ascii="Arial" w:hAnsi="Arial" w:cs="Arial"/>
                <w:b/>
                <w:bCs/>
                <w:sz w:val="18"/>
                <w:szCs w:val="18"/>
              </w:rPr>
              <w:t>The calculated results were presented in tables and graphs using descriptive statistics.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316" w:type="dxa"/>
            <w:vMerge w:val="continue"/>
            <w:tcBorders>
              <w:left w:val="single" w:color="000000" w:sz="4" w:space="0"/>
              <w:right w:val="single" w:color="000000" w:sz="4" w:space="0"/>
            </w:tcBorders>
          </w:tcPr>
          <w:p>
            <w:pPr>
              <w:pStyle w:val="4"/>
              <w:spacing w:before="40" w:after="40"/>
              <w:rPr>
                <w:rFonts w:ascii="Arial" w:hAnsi="Arial" w:cs="Arial"/>
                <w:sz w:val="18"/>
                <w:szCs w:val="18"/>
              </w:rPr>
            </w:pPr>
          </w:p>
        </w:tc>
        <w:tc>
          <w:tcPr>
            <w:tcW w:w="610" w:type="dxa"/>
            <w:tcBorders>
              <w:top w:val="single" w:color="000000" w:sz="4" w:space="0"/>
              <w:left w:val="single" w:color="000000" w:sz="4" w:space="0"/>
              <w:bottom w:val="single" w:color="000000" w:sz="4" w:space="0"/>
              <w:right w:val="single" w:color="000000" w:sz="4" w:space="0"/>
            </w:tcBorders>
          </w:tcPr>
          <w:p>
            <w:pPr>
              <w:pStyle w:val="4"/>
              <w:spacing w:before="40" w:after="40"/>
              <w:jc w:val="right"/>
              <w:rPr>
                <w:rFonts w:ascii="Arial" w:hAnsi="Arial" w:cs="Arial"/>
                <w:sz w:val="18"/>
                <w:szCs w:val="18"/>
              </w:rPr>
            </w:pPr>
            <w:r>
              <w:rPr>
                <w:rFonts w:ascii="Arial" w:hAnsi="Arial" w:cs="Arial"/>
                <w:sz w:val="18"/>
                <w:szCs w:val="18"/>
              </w:rPr>
              <w:t>13d</w:t>
            </w:r>
          </w:p>
        </w:tc>
        <w:tc>
          <w:tcPr>
            <w:tcW w:w="12251" w:type="dxa"/>
            <w:tcBorders>
              <w:top w:val="single" w:color="000000" w:sz="4" w:space="0"/>
              <w:left w:val="single" w:color="000000" w:sz="4" w:space="0"/>
              <w:bottom w:val="single" w:color="000000" w:sz="4" w:space="0"/>
              <w:right w:val="single" w:color="000000" w:sz="4" w:space="0"/>
            </w:tcBorders>
          </w:tcPr>
          <w:p>
            <w:pPr>
              <w:pStyle w:val="4"/>
              <w:spacing w:before="40" w:after="40"/>
              <w:rPr>
                <w:rFonts w:ascii="Arial" w:hAnsi="Arial" w:cs="Arial"/>
                <w:b/>
                <w:bCs/>
                <w:sz w:val="18"/>
                <w:szCs w:val="18"/>
              </w:rPr>
            </w:pPr>
            <w:r>
              <w:rPr>
                <w:rFonts w:ascii="Arial" w:hAnsi="Arial" w:cs="Arial"/>
                <w:b/>
                <w:bCs/>
                <w:sz w:val="18"/>
                <w:szCs w:val="18"/>
              </w:rPr>
              <w:t xml:space="preserve">Studies with low risk of bias based on the quality assessment criteria developed were included in the meta-analysis. </w:t>
            </w:r>
            <w:r>
              <w:rPr>
                <w:rFonts w:hint="default" w:ascii="Arial" w:hAnsi="Arial" w:cs="Arial"/>
                <w:b/>
                <w:bCs/>
                <w:sz w:val="18"/>
                <w:szCs w:val="18"/>
                <w:lang w:val="en-US"/>
              </w:rPr>
              <w:t>The</w:t>
            </w:r>
            <w:r>
              <w:rPr>
                <w:rFonts w:ascii="Arial" w:hAnsi="Arial" w:cs="Arial"/>
                <w:b/>
                <w:bCs/>
                <w:sz w:val="18"/>
                <w:szCs w:val="18"/>
              </w:rPr>
              <w:t xml:space="preserve"> stud</w:t>
            </w:r>
            <w:r>
              <w:rPr>
                <w:rFonts w:hint="default" w:ascii="Arial" w:hAnsi="Arial" w:cs="Arial"/>
                <w:b/>
                <w:bCs/>
                <w:sz w:val="18"/>
                <w:szCs w:val="18"/>
                <w:lang w:val="en-US"/>
              </w:rPr>
              <w:t>y must</w:t>
            </w:r>
            <w:r>
              <w:rPr>
                <w:rFonts w:ascii="Arial" w:hAnsi="Arial" w:cs="Arial"/>
                <w:b/>
                <w:bCs/>
                <w:sz w:val="18"/>
                <w:szCs w:val="18"/>
              </w:rPr>
              <w:t xml:space="preserve"> document reports for patients demography, confirmed cases, suspected cases and number of death.</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316" w:type="dxa"/>
            <w:vMerge w:val="continue"/>
            <w:tcBorders>
              <w:left w:val="single" w:color="000000" w:sz="4" w:space="0"/>
              <w:right w:val="single" w:color="000000" w:sz="4" w:space="0"/>
            </w:tcBorders>
          </w:tcPr>
          <w:p>
            <w:pPr>
              <w:pStyle w:val="4"/>
              <w:spacing w:before="40" w:after="40"/>
              <w:rPr>
                <w:rFonts w:ascii="Arial" w:hAnsi="Arial" w:cs="Arial"/>
                <w:sz w:val="18"/>
                <w:szCs w:val="18"/>
              </w:rPr>
            </w:pPr>
          </w:p>
        </w:tc>
        <w:tc>
          <w:tcPr>
            <w:tcW w:w="610" w:type="dxa"/>
            <w:tcBorders>
              <w:top w:val="single" w:color="000000" w:sz="4" w:space="0"/>
              <w:left w:val="single" w:color="000000" w:sz="4" w:space="0"/>
              <w:bottom w:val="single" w:color="000000" w:sz="4" w:space="0"/>
              <w:right w:val="single" w:color="000000" w:sz="4" w:space="0"/>
            </w:tcBorders>
          </w:tcPr>
          <w:p>
            <w:pPr>
              <w:pStyle w:val="4"/>
              <w:spacing w:before="40" w:after="40"/>
              <w:jc w:val="right"/>
              <w:rPr>
                <w:rFonts w:ascii="Arial" w:hAnsi="Arial" w:cs="Arial"/>
                <w:sz w:val="18"/>
                <w:szCs w:val="18"/>
              </w:rPr>
            </w:pPr>
            <w:r>
              <w:rPr>
                <w:rFonts w:ascii="Arial" w:hAnsi="Arial" w:cs="Arial"/>
                <w:sz w:val="18"/>
                <w:szCs w:val="18"/>
              </w:rPr>
              <w:t>13e</w:t>
            </w:r>
          </w:p>
        </w:tc>
        <w:tc>
          <w:tcPr>
            <w:tcW w:w="12251" w:type="dxa"/>
            <w:tcBorders>
              <w:top w:val="single" w:color="000000" w:sz="4" w:space="0"/>
              <w:left w:val="single" w:color="000000" w:sz="4" w:space="0"/>
              <w:bottom w:val="single" w:color="000000" w:sz="4" w:space="0"/>
              <w:right w:val="single" w:color="000000" w:sz="4" w:space="0"/>
            </w:tcBorders>
          </w:tcPr>
          <w:p>
            <w:pPr>
              <w:pStyle w:val="4"/>
              <w:spacing w:before="40" w:after="40"/>
              <w:rPr>
                <w:rFonts w:ascii="Arial" w:hAnsi="Arial" w:cs="Arial"/>
                <w:b/>
                <w:bCs/>
                <w:sz w:val="18"/>
                <w:szCs w:val="18"/>
              </w:rPr>
            </w:pPr>
            <w:r>
              <w:rPr>
                <w:rFonts w:ascii="Arial" w:hAnsi="Arial" w:cs="Arial"/>
                <w:b/>
                <w:bCs/>
                <w:sz w:val="18"/>
                <w:szCs w:val="18"/>
              </w:rPr>
              <w:t>The heterogeneity across studies was evaluated by Cochrane's Q-test and I</w:t>
            </w:r>
            <w:r>
              <w:rPr>
                <w:rFonts w:ascii="Arial" w:hAnsi="Arial" w:cs="Arial"/>
                <w:b/>
                <w:bCs/>
                <w:sz w:val="18"/>
                <w:szCs w:val="18"/>
                <w:vertAlign w:val="superscript"/>
              </w:rPr>
              <w:t>2</w:t>
            </w:r>
            <w:r>
              <w:rPr>
                <w:rFonts w:ascii="Arial" w:hAnsi="Arial" w:cs="Arial"/>
                <w:b/>
                <w:bCs/>
                <w:sz w:val="18"/>
                <w:szCs w:val="18"/>
              </w:rPr>
              <w:t xml:space="preserve"> statistics. The calculated value of I</w:t>
            </w:r>
            <w:r>
              <w:rPr>
                <w:rFonts w:ascii="Arial" w:hAnsi="Arial" w:cs="Arial"/>
                <w:b/>
                <w:bCs/>
                <w:sz w:val="18"/>
                <w:szCs w:val="18"/>
                <w:vertAlign w:val="superscript"/>
              </w:rPr>
              <w:t>2</w:t>
            </w:r>
            <w:r>
              <w:rPr>
                <w:rFonts w:ascii="Arial" w:hAnsi="Arial" w:cs="Arial"/>
                <w:b/>
                <w:bCs/>
                <w:sz w:val="18"/>
                <w:szCs w:val="18"/>
              </w:rPr>
              <w:t xml:space="preserve"> allows measuring the percentage of variability due to heterogeneity rather than chance difference or sampling error. If the value of I</w:t>
            </w:r>
            <w:r>
              <w:rPr>
                <w:rFonts w:ascii="Arial" w:hAnsi="Arial" w:cs="Arial"/>
                <w:b/>
                <w:bCs/>
                <w:sz w:val="18"/>
                <w:szCs w:val="18"/>
                <w:vertAlign w:val="superscript"/>
              </w:rPr>
              <w:t>2</w:t>
            </w:r>
            <w:r>
              <w:rPr>
                <w:rFonts w:ascii="Arial" w:hAnsi="Arial" w:cs="Arial"/>
                <w:b/>
                <w:bCs/>
                <w:sz w:val="18"/>
                <w:szCs w:val="18"/>
              </w:rPr>
              <w:t xml:space="preserve"> was greater than 60% and the Q test yields P &lt; 0.05, heterogeneity was considered statistically significant.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 w:hRule="atLeast"/>
        </w:trPr>
        <w:tc>
          <w:tcPr>
            <w:tcW w:w="1316" w:type="dxa"/>
            <w:vMerge w:val="continue"/>
            <w:tcBorders>
              <w:left w:val="single" w:color="000000" w:sz="4" w:space="0"/>
              <w:bottom w:val="single" w:color="000000" w:sz="4" w:space="0"/>
              <w:right w:val="single" w:color="000000" w:sz="4" w:space="0"/>
            </w:tcBorders>
          </w:tcPr>
          <w:p>
            <w:pPr>
              <w:pStyle w:val="4"/>
              <w:spacing w:before="40" w:after="40"/>
              <w:rPr>
                <w:rFonts w:ascii="Arial" w:hAnsi="Arial" w:cs="Arial"/>
                <w:sz w:val="18"/>
                <w:szCs w:val="18"/>
              </w:rPr>
            </w:pPr>
          </w:p>
        </w:tc>
        <w:tc>
          <w:tcPr>
            <w:tcW w:w="610" w:type="dxa"/>
            <w:tcBorders>
              <w:top w:val="single" w:color="000000" w:sz="4" w:space="0"/>
              <w:left w:val="single" w:color="000000" w:sz="4" w:space="0"/>
              <w:bottom w:val="single" w:color="000000" w:sz="4" w:space="0"/>
              <w:right w:val="single" w:color="000000" w:sz="4" w:space="0"/>
            </w:tcBorders>
          </w:tcPr>
          <w:p>
            <w:pPr>
              <w:pStyle w:val="4"/>
              <w:spacing w:before="40" w:after="40"/>
              <w:jc w:val="right"/>
              <w:rPr>
                <w:rFonts w:ascii="Arial" w:hAnsi="Arial" w:cs="Arial"/>
                <w:sz w:val="18"/>
                <w:szCs w:val="18"/>
              </w:rPr>
            </w:pPr>
            <w:r>
              <w:rPr>
                <w:rFonts w:ascii="Arial" w:hAnsi="Arial" w:cs="Arial"/>
                <w:sz w:val="18"/>
                <w:szCs w:val="18"/>
              </w:rPr>
              <w:t>13f</w:t>
            </w:r>
          </w:p>
        </w:tc>
        <w:tc>
          <w:tcPr>
            <w:tcW w:w="12251" w:type="dxa"/>
            <w:tcBorders>
              <w:top w:val="single" w:color="000000" w:sz="4" w:space="0"/>
              <w:left w:val="single" w:color="000000" w:sz="4" w:space="0"/>
              <w:bottom w:val="single" w:color="000000" w:sz="4" w:space="0"/>
              <w:right w:val="single" w:color="000000" w:sz="4" w:space="0"/>
            </w:tcBorders>
          </w:tcPr>
          <w:p>
            <w:pPr>
              <w:pStyle w:val="4"/>
              <w:spacing w:before="40" w:after="40"/>
              <w:rPr>
                <w:rFonts w:ascii="Arial" w:hAnsi="Arial" w:cs="Arial"/>
                <w:b/>
                <w:bCs/>
                <w:sz w:val="18"/>
                <w:szCs w:val="18"/>
              </w:rPr>
            </w:pPr>
            <w:r>
              <w:rPr>
                <w:rFonts w:ascii="Arial" w:hAnsi="Arial" w:cs="Arial"/>
                <w:b/>
                <w:bCs/>
                <w:sz w:val="18"/>
                <w:szCs w:val="18"/>
              </w:rPr>
              <w:t>Not applicable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316" w:type="dxa"/>
            <w:tcBorders>
              <w:top w:val="single" w:color="000000" w:sz="4" w:space="0"/>
              <w:left w:val="single" w:color="000000" w:sz="4" w:space="0"/>
              <w:bottom w:val="single" w:color="000000" w:sz="4" w:space="0"/>
              <w:right w:val="single" w:color="000000" w:sz="4" w:space="0"/>
            </w:tcBorders>
          </w:tcPr>
          <w:p>
            <w:pPr>
              <w:pStyle w:val="4"/>
              <w:spacing w:before="40" w:after="40"/>
              <w:rPr>
                <w:rFonts w:ascii="Arial" w:hAnsi="Arial" w:cs="Arial"/>
                <w:sz w:val="18"/>
                <w:szCs w:val="18"/>
              </w:rPr>
            </w:pPr>
            <w:r>
              <w:rPr>
                <w:rFonts w:ascii="Arial" w:hAnsi="Arial" w:cs="Arial"/>
                <w:sz w:val="18"/>
                <w:szCs w:val="18"/>
              </w:rPr>
              <w:t>Reporting bias assessment</w:t>
            </w:r>
          </w:p>
        </w:tc>
        <w:tc>
          <w:tcPr>
            <w:tcW w:w="610" w:type="dxa"/>
            <w:tcBorders>
              <w:top w:val="single" w:color="000000" w:sz="4" w:space="0"/>
              <w:left w:val="single" w:color="000000" w:sz="4" w:space="0"/>
              <w:bottom w:val="single" w:color="000000" w:sz="4" w:space="0"/>
              <w:right w:val="single" w:color="000000" w:sz="4" w:space="0"/>
            </w:tcBorders>
          </w:tcPr>
          <w:p>
            <w:pPr>
              <w:pStyle w:val="4"/>
              <w:spacing w:before="40" w:after="40"/>
              <w:jc w:val="right"/>
              <w:rPr>
                <w:rFonts w:ascii="Arial" w:hAnsi="Arial" w:cs="Arial"/>
                <w:sz w:val="18"/>
                <w:szCs w:val="18"/>
              </w:rPr>
            </w:pPr>
            <w:r>
              <w:rPr>
                <w:rFonts w:ascii="Arial" w:hAnsi="Arial" w:cs="Arial"/>
                <w:sz w:val="18"/>
                <w:szCs w:val="18"/>
              </w:rPr>
              <w:t>14</w:t>
            </w:r>
          </w:p>
        </w:tc>
        <w:tc>
          <w:tcPr>
            <w:tcW w:w="12251" w:type="dxa"/>
            <w:tcBorders>
              <w:top w:val="single" w:color="000000" w:sz="4" w:space="0"/>
              <w:left w:val="single" w:color="000000" w:sz="4" w:space="0"/>
              <w:bottom w:val="single" w:color="000000" w:sz="4" w:space="0"/>
              <w:right w:val="single" w:color="000000" w:sz="4" w:space="0"/>
            </w:tcBorders>
          </w:tcPr>
          <w:p>
            <w:pPr>
              <w:pStyle w:val="4"/>
              <w:spacing w:before="40" w:after="40"/>
              <w:rPr>
                <w:rFonts w:hint="default" w:ascii="Arial" w:hAnsi="Arial" w:cs="Arial"/>
                <w:b/>
                <w:bCs/>
                <w:sz w:val="18"/>
                <w:szCs w:val="18"/>
                <w:lang w:val="en-US"/>
              </w:rPr>
            </w:pPr>
            <w:r>
              <w:rPr>
                <w:rFonts w:ascii="Arial" w:hAnsi="Arial" w:cs="Arial"/>
                <w:b/>
                <w:bCs/>
                <w:sz w:val="18"/>
                <w:szCs w:val="18"/>
              </w:rPr>
              <w:t xml:space="preserve">The risk of bias assessment was carried </w:t>
            </w:r>
            <w:r>
              <w:rPr>
                <w:rFonts w:hint="default" w:ascii="Arial" w:hAnsi="Arial" w:cs="Arial"/>
                <w:b/>
                <w:bCs/>
                <w:sz w:val="18"/>
                <w:szCs w:val="18"/>
                <w:lang w:val="en-US"/>
              </w:rPr>
              <w:t xml:space="preserve">out </w:t>
            </w:r>
            <w:r>
              <w:rPr>
                <w:rFonts w:ascii="Arial" w:hAnsi="Arial" w:cs="Arial"/>
                <w:b/>
                <w:bCs/>
                <w:sz w:val="18"/>
                <w:szCs w:val="18"/>
              </w:rPr>
              <w:t>using by comparing each eligible study with five developed criteria based on the information retrieved from the assessed literature. The criteria include</w:t>
            </w:r>
            <w:r>
              <w:rPr>
                <w:rFonts w:ascii="Arial" w:hAnsi="Arial" w:cs="Arial"/>
                <w:b/>
                <w:bCs/>
                <w:sz w:val="18"/>
                <w:szCs w:val="18"/>
              </w:rPr>
              <w:t xml:space="preserve"> </w:t>
            </w:r>
            <w:r>
              <w:rPr>
                <w:rFonts w:hint="default" w:ascii="Arial" w:hAnsi="Arial" w:cs="Arial"/>
                <w:b/>
                <w:bCs/>
                <w:sz w:val="18"/>
                <w:szCs w:val="18"/>
                <w:lang w:val="en-US"/>
              </w:rPr>
              <w:t>p</w:t>
            </w:r>
            <w:r>
              <w:rPr>
                <w:rFonts w:ascii="Arial" w:hAnsi="Arial" w:cs="Arial"/>
                <w:b/>
                <w:bCs/>
                <w:sz w:val="18"/>
                <w:szCs w:val="18"/>
              </w:rPr>
              <w:t>opulation under consideration, sample size, subject and setting, diagnostic tool deployed, and sub-group identified. The determination of the risk of bias is as follows</w:t>
            </w:r>
            <w:r>
              <w:rPr>
                <w:rFonts w:hint="default" w:ascii="Arial" w:hAnsi="Arial" w:cs="Arial"/>
                <w:b/>
                <w:bCs/>
                <w:sz w:val="18"/>
                <w:szCs w:val="18"/>
                <w:lang w:val="en-US"/>
              </w:rPr>
              <w:t>:</w:t>
            </w:r>
          </w:p>
          <w:p>
            <w:pPr>
              <w:pStyle w:val="4"/>
              <w:spacing w:before="40" w:after="40"/>
              <w:rPr>
                <w:rFonts w:ascii="Arial" w:hAnsi="Arial" w:cs="Arial"/>
                <w:b/>
                <w:bCs/>
                <w:sz w:val="18"/>
                <w:szCs w:val="18"/>
              </w:rPr>
            </w:pPr>
            <w:r>
              <w:rPr>
                <w:rFonts w:ascii="Arial" w:hAnsi="Arial" w:cs="Arial"/>
                <w:b/>
                <w:bCs/>
                <w:sz w:val="18"/>
                <w:szCs w:val="18"/>
              </w:rPr>
              <w:t xml:space="preserve">1. Population in consideration: This refers to the individuals who participated in the study under consideration. </w:t>
            </w:r>
          </w:p>
          <w:p>
            <w:pPr>
              <w:pStyle w:val="4"/>
              <w:spacing w:before="40" w:after="40"/>
              <w:rPr>
                <w:rFonts w:ascii="Arial" w:hAnsi="Arial" w:cs="Arial"/>
                <w:b/>
                <w:bCs/>
                <w:sz w:val="18"/>
                <w:szCs w:val="18"/>
              </w:rPr>
            </w:pPr>
            <w:r>
              <w:rPr>
                <w:rFonts w:ascii="Arial" w:hAnsi="Arial" w:cs="Arial"/>
                <w:b/>
                <w:bCs/>
                <w:sz w:val="18"/>
                <w:szCs w:val="18"/>
              </w:rPr>
              <w:t xml:space="preserve">Yes - if the individuals are solely representative of the prevalence or incidence of human Mpox in Nigeria. </w:t>
            </w:r>
          </w:p>
          <w:p>
            <w:pPr>
              <w:pStyle w:val="4"/>
              <w:spacing w:before="40" w:after="40"/>
              <w:rPr>
                <w:rFonts w:ascii="Arial" w:hAnsi="Arial" w:cs="Arial"/>
                <w:b/>
                <w:bCs/>
                <w:sz w:val="18"/>
                <w:szCs w:val="18"/>
              </w:rPr>
            </w:pPr>
            <w:r>
              <w:rPr>
                <w:rFonts w:ascii="Arial" w:hAnsi="Arial" w:cs="Arial"/>
                <w:b/>
                <w:bCs/>
                <w:sz w:val="18"/>
                <w:szCs w:val="18"/>
              </w:rPr>
              <w:t xml:space="preserve">No - if the study is based on individuals from studies of diseases other than Mpox and if neither the research participants nor the occurrence can be traced to Nigeria. </w:t>
            </w:r>
          </w:p>
          <w:p>
            <w:pPr>
              <w:pStyle w:val="4"/>
              <w:spacing w:before="40" w:after="40"/>
              <w:rPr>
                <w:rFonts w:ascii="Arial" w:hAnsi="Arial" w:cs="Arial"/>
                <w:b/>
                <w:bCs/>
                <w:sz w:val="18"/>
                <w:szCs w:val="18"/>
              </w:rPr>
            </w:pPr>
          </w:p>
          <w:p>
            <w:pPr>
              <w:pStyle w:val="4"/>
              <w:spacing w:before="40" w:after="40"/>
              <w:rPr>
                <w:rFonts w:ascii="Arial" w:hAnsi="Arial" w:cs="Arial"/>
                <w:b/>
                <w:bCs/>
                <w:sz w:val="18"/>
                <w:szCs w:val="18"/>
              </w:rPr>
            </w:pPr>
            <w:r>
              <w:rPr>
                <w:rFonts w:ascii="Arial" w:hAnsi="Arial" w:cs="Arial"/>
                <w:b/>
                <w:bCs/>
                <w:sz w:val="18"/>
                <w:szCs w:val="18"/>
              </w:rPr>
              <w:t xml:space="preserve">2. Sample size adequacy: Adequate sample size refers to the number of participants in the study under consideration. </w:t>
            </w:r>
          </w:p>
          <w:p>
            <w:pPr>
              <w:pStyle w:val="4"/>
              <w:spacing w:before="40" w:after="40"/>
              <w:rPr>
                <w:rFonts w:ascii="Arial" w:hAnsi="Arial" w:cs="Arial"/>
                <w:b/>
                <w:bCs/>
                <w:sz w:val="18"/>
                <w:szCs w:val="18"/>
              </w:rPr>
            </w:pPr>
            <w:r>
              <w:rPr>
                <w:rFonts w:ascii="Arial" w:hAnsi="Arial" w:cs="Arial"/>
                <w:b/>
                <w:bCs/>
                <w:sz w:val="18"/>
                <w:szCs w:val="18"/>
              </w:rPr>
              <w:t xml:space="preserve">Yes - if the sample size is sufficient to identify disparities and subgroups among the persons under examination. </w:t>
            </w:r>
          </w:p>
          <w:p>
            <w:pPr>
              <w:pStyle w:val="4"/>
              <w:spacing w:before="40" w:after="40"/>
              <w:rPr>
                <w:rFonts w:ascii="Arial" w:hAnsi="Arial" w:cs="Arial"/>
                <w:b/>
                <w:bCs/>
                <w:sz w:val="18"/>
                <w:szCs w:val="18"/>
              </w:rPr>
            </w:pPr>
            <w:r>
              <w:rPr>
                <w:rFonts w:ascii="Arial" w:hAnsi="Arial" w:cs="Arial"/>
                <w:b/>
                <w:bCs/>
                <w:sz w:val="18"/>
                <w:szCs w:val="18"/>
              </w:rPr>
              <w:t xml:space="preserve">No - if the sample size is insufficient to distinguish between participants. </w:t>
            </w:r>
          </w:p>
          <w:p>
            <w:pPr>
              <w:pStyle w:val="4"/>
              <w:spacing w:before="40" w:after="40"/>
              <w:rPr>
                <w:rFonts w:ascii="Arial" w:hAnsi="Arial" w:cs="Arial"/>
                <w:b/>
                <w:bCs/>
                <w:sz w:val="18"/>
                <w:szCs w:val="18"/>
              </w:rPr>
            </w:pPr>
          </w:p>
          <w:p>
            <w:pPr>
              <w:pStyle w:val="4"/>
              <w:spacing w:before="40" w:after="40"/>
              <w:rPr>
                <w:rFonts w:ascii="Arial" w:hAnsi="Arial" w:cs="Arial"/>
                <w:b/>
                <w:bCs/>
                <w:sz w:val="18"/>
                <w:szCs w:val="18"/>
              </w:rPr>
            </w:pPr>
            <w:r>
              <w:rPr>
                <w:rFonts w:ascii="Arial" w:hAnsi="Arial" w:cs="Arial"/>
                <w:b/>
                <w:bCs/>
                <w:sz w:val="18"/>
                <w:szCs w:val="18"/>
              </w:rPr>
              <w:t xml:space="preserve">3. Subject and setting: This pertains to the type of study being evaluated by the article under review. </w:t>
            </w:r>
          </w:p>
          <w:p>
            <w:pPr>
              <w:pStyle w:val="4"/>
              <w:spacing w:before="40" w:after="40"/>
              <w:rPr>
                <w:rFonts w:ascii="Arial" w:hAnsi="Arial" w:cs="Arial"/>
                <w:b/>
                <w:bCs/>
                <w:sz w:val="18"/>
                <w:szCs w:val="18"/>
              </w:rPr>
            </w:pPr>
            <w:r>
              <w:rPr>
                <w:rFonts w:ascii="Arial" w:hAnsi="Arial" w:cs="Arial"/>
                <w:b/>
                <w:bCs/>
                <w:sz w:val="18"/>
                <w:szCs w:val="18"/>
              </w:rPr>
              <w:t xml:space="preserve">Yes – if the article is based on cohort studies, observational studies, epidemiological studies, and case reports conducted on Mpox in Nigeria. </w:t>
            </w:r>
          </w:p>
          <w:p>
            <w:pPr>
              <w:pStyle w:val="4"/>
              <w:spacing w:before="40" w:after="40"/>
              <w:rPr>
                <w:rFonts w:ascii="Arial" w:hAnsi="Arial" w:cs="Arial"/>
                <w:b/>
                <w:bCs/>
                <w:sz w:val="18"/>
                <w:szCs w:val="18"/>
              </w:rPr>
            </w:pPr>
            <w:r>
              <w:rPr>
                <w:rFonts w:ascii="Arial" w:hAnsi="Arial" w:cs="Arial"/>
                <w:b/>
                <w:bCs/>
                <w:sz w:val="18"/>
                <w:szCs w:val="18"/>
              </w:rPr>
              <w:t>No – if the article is a book, book section, or research describing non-Nigerian populations i.e. participants who were believed to have contracted Mpox in Nigeria before going to other nations.</w:t>
            </w:r>
          </w:p>
          <w:p>
            <w:pPr>
              <w:pStyle w:val="4"/>
              <w:spacing w:before="40" w:after="40"/>
              <w:rPr>
                <w:rFonts w:ascii="Arial" w:hAnsi="Arial" w:cs="Arial"/>
                <w:b/>
                <w:bCs/>
                <w:sz w:val="18"/>
                <w:szCs w:val="18"/>
              </w:rPr>
            </w:pPr>
          </w:p>
          <w:p>
            <w:pPr>
              <w:pStyle w:val="4"/>
              <w:spacing w:before="40" w:after="40"/>
              <w:rPr>
                <w:rFonts w:ascii="Arial" w:hAnsi="Arial" w:cs="Arial"/>
                <w:b/>
                <w:bCs/>
                <w:sz w:val="18"/>
                <w:szCs w:val="18"/>
              </w:rPr>
            </w:pPr>
            <w:r>
              <w:rPr>
                <w:rFonts w:ascii="Arial" w:hAnsi="Arial" w:cs="Arial"/>
                <w:b/>
                <w:bCs/>
                <w:sz w:val="18"/>
                <w:szCs w:val="18"/>
              </w:rPr>
              <w:t xml:space="preserve">4. Diagnostic tool deployed: This relates to the dependability of the diagnostic techniques deployed. </w:t>
            </w:r>
          </w:p>
          <w:p>
            <w:pPr>
              <w:pStyle w:val="4"/>
              <w:spacing w:before="40" w:after="40"/>
              <w:rPr>
                <w:rFonts w:ascii="Arial" w:hAnsi="Arial" w:cs="Arial"/>
                <w:b/>
                <w:bCs/>
                <w:sz w:val="18"/>
                <w:szCs w:val="18"/>
              </w:rPr>
            </w:pPr>
            <w:r>
              <w:rPr>
                <w:rFonts w:ascii="Arial" w:hAnsi="Arial" w:cs="Arial"/>
                <w:b/>
                <w:bCs/>
                <w:sz w:val="18"/>
                <w:szCs w:val="18"/>
              </w:rPr>
              <w:t xml:space="preserve">Yes - if molecular techniques were utilised in the diagnosis of Mpox and if more than one diagnostic technique was used. </w:t>
            </w:r>
          </w:p>
          <w:p>
            <w:pPr>
              <w:pStyle w:val="4"/>
              <w:spacing w:before="40" w:after="40"/>
              <w:rPr>
                <w:rFonts w:ascii="Arial" w:hAnsi="Arial" w:cs="Arial"/>
                <w:b/>
                <w:bCs/>
                <w:sz w:val="18"/>
                <w:szCs w:val="18"/>
              </w:rPr>
            </w:pPr>
            <w:r>
              <w:rPr>
                <w:rFonts w:ascii="Arial" w:hAnsi="Arial" w:cs="Arial"/>
                <w:b/>
                <w:bCs/>
                <w:sz w:val="18"/>
                <w:szCs w:val="18"/>
              </w:rPr>
              <w:t xml:space="preserve">No - if Mpox was diagnosed using non-molecular techniques. </w:t>
            </w:r>
          </w:p>
          <w:p>
            <w:pPr>
              <w:pStyle w:val="4"/>
              <w:spacing w:before="40" w:after="40"/>
              <w:rPr>
                <w:rFonts w:ascii="Arial" w:hAnsi="Arial" w:cs="Arial"/>
                <w:b/>
                <w:bCs/>
                <w:sz w:val="18"/>
                <w:szCs w:val="18"/>
              </w:rPr>
            </w:pPr>
          </w:p>
          <w:p>
            <w:pPr>
              <w:pStyle w:val="4"/>
              <w:spacing w:before="40" w:after="40"/>
              <w:rPr>
                <w:rFonts w:ascii="Arial" w:hAnsi="Arial" w:cs="Arial"/>
                <w:b/>
                <w:bCs/>
                <w:sz w:val="18"/>
                <w:szCs w:val="18"/>
              </w:rPr>
            </w:pPr>
            <w:r>
              <w:rPr>
                <w:rFonts w:ascii="Arial" w:hAnsi="Arial" w:cs="Arial"/>
                <w:b/>
                <w:bCs/>
                <w:sz w:val="18"/>
                <w:szCs w:val="18"/>
              </w:rPr>
              <w:t>5. Subgroups identified</w:t>
            </w:r>
          </w:p>
          <w:p>
            <w:pPr>
              <w:pStyle w:val="4"/>
              <w:spacing w:before="40" w:after="40"/>
              <w:rPr>
                <w:rFonts w:ascii="Arial" w:hAnsi="Arial" w:cs="Arial"/>
                <w:b/>
                <w:bCs/>
                <w:sz w:val="18"/>
                <w:szCs w:val="18"/>
              </w:rPr>
            </w:pPr>
            <w:r>
              <w:rPr>
                <w:rFonts w:ascii="Arial" w:hAnsi="Arial" w:cs="Arial"/>
                <w:b/>
                <w:bCs/>
                <w:sz w:val="18"/>
                <w:szCs w:val="18"/>
              </w:rPr>
              <w:t xml:space="preserve">Yes - provided the study acknowledged the presence of distinct subgroups, such as gender and age. </w:t>
            </w:r>
          </w:p>
          <w:p>
            <w:pPr>
              <w:pStyle w:val="4"/>
              <w:spacing w:before="40" w:after="40"/>
              <w:rPr>
                <w:rFonts w:ascii="Arial" w:hAnsi="Arial" w:cs="Arial"/>
                <w:b/>
                <w:bCs/>
                <w:sz w:val="18"/>
                <w:szCs w:val="18"/>
              </w:rPr>
            </w:pPr>
            <w:r>
              <w:rPr>
                <w:rFonts w:ascii="Arial" w:hAnsi="Arial" w:cs="Arial"/>
                <w:b/>
                <w:bCs/>
                <w:sz w:val="18"/>
                <w:szCs w:val="18"/>
              </w:rPr>
              <w:t>No - if the study does not identify subgroups.</w:t>
            </w:r>
          </w:p>
          <w:p>
            <w:pPr>
              <w:pStyle w:val="4"/>
              <w:spacing w:before="40" w:after="40"/>
              <w:rPr>
                <w:rFonts w:ascii="Arial" w:hAnsi="Arial" w:cs="Arial"/>
                <w:b/>
                <w:bCs/>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316" w:type="dxa"/>
            <w:tcBorders>
              <w:top w:val="single" w:color="000000" w:sz="4" w:space="0"/>
              <w:left w:val="single" w:color="000000" w:sz="4" w:space="0"/>
              <w:bottom w:val="single" w:color="000000" w:sz="4" w:space="0"/>
              <w:right w:val="single" w:color="000000" w:sz="4" w:space="0"/>
            </w:tcBorders>
          </w:tcPr>
          <w:p>
            <w:pPr>
              <w:pStyle w:val="4"/>
              <w:spacing w:before="40" w:after="40"/>
              <w:rPr>
                <w:rFonts w:ascii="Arial" w:hAnsi="Arial" w:cs="Arial"/>
                <w:sz w:val="18"/>
                <w:szCs w:val="18"/>
              </w:rPr>
            </w:pPr>
            <w:r>
              <w:rPr>
                <w:rFonts w:ascii="Arial" w:hAnsi="Arial" w:cs="Arial"/>
                <w:sz w:val="18"/>
                <w:szCs w:val="18"/>
              </w:rPr>
              <w:t>Certainty assessment</w:t>
            </w:r>
          </w:p>
        </w:tc>
        <w:tc>
          <w:tcPr>
            <w:tcW w:w="610" w:type="dxa"/>
            <w:tcBorders>
              <w:top w:val="single" w:color="000000" w:sz="4" w:space="0"/>
              <w:left w:val="single" w:color="000000" w:sz="4" w:space="0"/>
              <w:bottom w:val="single" w:color="000000" w:sz="4" w:space="0"/>
              <w:right w:val="single" w:color="000000" w:sz="4" w:space="0"/>
            </w:tcBorders>
          </w:tcPr>
          <w:p>
            <w:pPr>
              <w:pStyle w:val="4"/>
              <w:spacing w:before="40" w:after="40"/>
              <w:jc w:val="right"/>
              <w:rPr>
                <w:rFonts w:ascii="Arial" w:hAnsi="Arial" w:cs="Arial"/>
                <w:sz w:val="18"/>
                <w:szCs w:val="18"/>
              </w:rPr>
            </w:pPr>
            <w:r>
              <w:rPr>
                <w:rFonts w:ascii="Arial" w:hAnsi="Arial" w:cs="Arial"/>
                <w:sz w:val="18"/>
                <w:szCs w:val="18"/>
              </w:rPr>
              <w:t>15</w:t>
            </w:r>
          </w:p>
        </w:tc>
        <w:tc>
          <w:tcPr>
            <w:tcW w:w="12251" w:type="dxa"/>
            <w:tcBorders>
              <w:top w:val="single" w:color="000000" w:sz="4" w:space="0"/>
              <w:left w:val="single" w:color="000000" w:sz="4" w:space="0"/>
              <w:bottom w:val="single" w:color="000000" w:sz="4" w:space="0"/>
              <w:right w:val="single" w:color="000000" w:sz="4" w:space="0"/>
            </w:tcBorders>
          </w:tcPr>
          <w:p>
            <w:pPr>
              <w:pStyle w:val="4"/>
              <w:spacing w:before="40" w:after="40"/>
              <w:rPr>
                <w:rFonts w:ascii="Arial" w:hAnsi="Arial" w:cs="Arial"/>
                <w:sz w:val="18"/>
                <w:szCs w:val="18"/>
              </w:rPr>
            </w:pPr>
            <w:r>
              <w:rPr>
                <w:rFonts w:ascii="Arial" w:hAnsi="Arial" w:cs="Arial"/>
                <w:b/>
                <w:sz w:val="18"/>
                <w:szCs w:val="18"/>
              </w:rPr>
              <w:t>The quality assessment of the study was carried out using the Effective Public Health Practice Project (EPHPP), a quality assessment tool for quantitative studies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177"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4"/>
              <w:rPr>
                <w:rFonts w:ascii="Arial" w:hAnsi="Arial" w:cs="Arial"/>
                <w:sz w:val="18"/>
                <w:szCs w:val="18"/>
              </w:rPr>
            </w:pPr>
            <w:r>
              <w:rPr>
                <w:rFonts w:ascii="Arial" w:hAnsi="Arial" w:cs="Arial"/>
                <w:b/>
                <w:bCs/>
                <w:sz w:val="18"/>
                <w:szCs w:val="18"/>
              </w:rPr>
              <w:t xml:space="preserve">RESULTS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316" w:type="dxa"/>
            <w:vMerge w:val="restart"/>
            <w:tcBorders>
              <w:top w:val="single" w:color="000000" w:sz="4" w:space="0"/>
              <w:left w:val="single" w:color="000000" w:sz="4" w:space="0"/>
              <w:right w:val="single" w:color="000000" w:sz="4" w:space="0"/>
            </w:tcBorders>
          </w:tcPr>
          <w:p>
            <w:pPr>
              <w:pStyle w:val="4"/>
              <w:spacing w:before="40" w:after="40"/>
              <w:rPr>
                <w:rFonts w:ascii="Arial" w:hAnsi="Arial" w:cs="Arial"/>
                <w:sz w:val="18"/>
                <w:szCs w:val="18"/>
              </w:rPr>
            </w:pPr>
            <w:r>
              <w:rPr>
                <w:rFonts w:ascii="Arial" w:hAnsi="Arial" w:cs="Arial"/>
                <w:sz w:val="18"/>
                <w:szCs w:val="18"/>
              </w:rPr>
              <w:t xml:space="preserve">Study selection </w:t>
            </w:r>
          </w:p>
        </w:tc>
        <w:tc>
          <w:tcPr>
            <w:tcW w:w="610" w:type="dxa"/>
            <w:tcBorders>
              <w:top w:val="single" w:color="000000" w:sz="4" w:space="0"/>
              <w:left w:val="single" w:color="000000" w:sz="4" w:space="0"/>
              <w:bottom w:val="single" w:color="000000" w:sz="4" w:space="0"/>
              <w:right w:val="single" w:color="000000" w:sz="4" w:space="0"/>
            </w:tcBorders>
          </w:tcPr>
          <w:p>
            <w:pPr>
              <w:pStyle w:val="4"/>
              <w:spacing w:before="40" w:after="40"/>
              <w:jc w:val="right"/>
              <w:rPr>
                <w:rFonts w:ascii="Arial" w:hAnsi="Arial" w:cs="Arial"/>
                <w:sz w:val="18"/>
                <w:szCs w:val="18"/>
              </w:rPr>
            </w:pPr>
            <w:r>
              <w:rPr>
                <w:rFonts w:ascii="Arial" w:hAnsi="Arial" w:cs="Arial"/>
                <w:sz w:val="18"/>
                <w:szCs w:val="18"/>
              </w:rPr>
              <w:t>16a</w:t>
            </w:r>
          </w:p>
        </w:tc>
        <w:tc>
          <w:tcPr>
            <w:tcW w:w="12251" w:type="dxa"/>
            <w:tcBorders>
              <w:top w:val="single" w:color="000000" w:sz="4" w:space="0"/>
              <w:left w:val="single" w:color="000000" w:sz="4" w:space="0"/>
              <w:bottom w:val="single" w:color="000000" w:sz="4" w:space="0"/>
              <w:right w:val="single" w:color="000000" w:sz="4" w:space="0"/>
            </w:tcBorders>
          </w:tcPr>
          <w:p>
            <w:pPr>
              <w:pStyle w:val="4"/>
              <w:spacing w:before="40" w:after="40"/>
              <w:rPr>
                <w:rFonts w:ascii="Arial" w:hAnsi="Arial" w:cs="Arial"/>
                <w:sz w:val="18"/>
                <w:szCs w:val="18"/>
              </w:rPr>
            </w:pPr>
            <w:r>
              <w:rPr>
                <w:rFonts w:ascii="Arial" w:hAnsi="Arial" w:cs="Arial"/>
                <w:sz w:val="18"/>
                <w:szCs w:val="18"/>
                <w:lang w:val="en-GB" w:eastAsia="en-GB"/>
              </w:rPr>
              <w:drawing>
                <wp:inline distT="0" distB="0" distL="0" distR="0">
                  <wp:extent cx="6974205" cy="39446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6974205" cy="3944620"/>
                          </a:xfrm>
                          <a:prstGeom prst="rect">
                            <a:avLst/>
                          </a:prstGeom>
                          <a:noFill/>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316" w:type="dxa"/>
            <w:vMerge w:val="continue"/>
            <w:tcBorders>
              <w:left w:val="single" w:color="000000" w:sz="4" w:space="0"/>
              <w:bottom w:val="single" w:color="000000" w:sz="4" w:space="0"/>
              <w:right w:val="single" w:color="000000" w:sz="4" w:space="0"/>
            </w:tcBorders>
          </w:tcPr>
          <w:p>
            <w:pPr>
              <w:pStyle w:val="4"/>
              <w:spacing w:before="40" w:after="40"/>
              <w:rPr>
                <w:rFonts w:ascii="Arial" w:hAnsi="Arial" w:cs="Arial"/>
                <w:sz w:val="18"/>
                <w:szCs w:val="18"/>
              </w:rPr>
            </w:pPr>
          </w:p>
        </w:tc>
        <w:tc>
          <w:tcPr>
            <w:tcW w:w="610" w:type="dxa"/>
            <w:tcBorders>
              <w:top w:val="single" w:color="000000" w:sz="4" w:space="0"/>
              <w:left w:val="single" w:color="000000" w:sz="4" w:space="0"/>
              <w:bottom w:val="single" w:color="000000" w:sz="4" w:space="0"/>
              <w:right w:val="single" w:color="000000" w:sz="4" w:space="0"/>
            </w:tcBorders>
          </w:tcPr>
          <w:p>
            <w:pPr>
              <w:pStyle w:val="4"/>
              <w:spacing w:before="40" w:after="40"/>
              <w:jc w:val="right"/>
              <w:rPr>
                <w:rFonts w:ascii="Arial" w:hAnsi="Arial" w:cs="Arial"/>
                <w:sz w:val="18"/>
                <w:szCs w:val="18"/>
              </w:rPr>
            </w:pPr>
          </w:p>
        </w:tc>
        <w:tc>
          <w:tcPr>
            <w:tcW w:w="12251" w:type="dxa"/>
            <w:tcBorders>
              <w:top w:val="single" w:color="000000" w:sz="4" w:space="0"/>
              <w:left w:val="single" w:color="000000" w:sz="4" w:space="0"/>
              <w:bottom w:val="single" w:color="000000" w:sz="4" w:space="0"/>
              <w:right w:val="single" w:color="000000" w:sz="4" w:space="0"/>
            </w:tcBorders>
          </w:tcPr>
          <w:p>
            <w:pPr>
              <w:pStyle w:val="4"/>
              <w:spacing w:before="40" w:after="40"/>
              <w:rPr>
                <w:rFonts w:ascii="Arial" w:hAnsi="Arial" w:cs="Arial"/>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 w:hRule="atLeast"/>
        </w:trPr>
        <w:tc>
          <w:tcPr>
            <w:tcW w:w="1316" w:type="dxa"/>
            <w:tcBorders>
              <w:top w:val="single" w:color="000000" w:sz="4" w:space="0"/>
              <w:left w:val="single" w:color="000000" w:sz="4" w:space="0"/>
              <w:bottom w:val="single" w:color="000000" w:sz="4" w:space="0"/>
              <w:right w:val="single" w:color="000000" w:sz="4" w:space="0"/>
            </w:tcBorders>
          </w:tcPr>
          <w:p>
            <w:pPr>
              <w:pStyle w:val="4"/>
              <w:spacing w:before="40" w:after="40"/>
              <w:rPr>
                <w:rFonts w:ascii="Arial" w:hAnsi="Arial" w:cs="Arial"/>
                <w:sz w:val="18"/>
                <w:szCs w:val="18"/>
              </w:rPr>
            </w:pPr>
            <w:r>
              <w:rPr>
                <w:rFonts w:ascii="Arial" w:hAnsi="Arial" w:cs="Arial"/>
                <w:sz w:val="18"/>
                <w:szCs w:val="18"/>
              </w:rPr>
              <w:t xml:space="preserve">Study characteristics </w:t>
            </w:r>
          </w:p>
        </w:tc>
        <w:tc>
          <w:tcPr>
            <w:tcW w:w="610" w:type="dxa"/>
            <w:tcBorders>
              <w:top w:val="single" w:color="000000" w:sz="4" w:space="0"/>
              <w:left w:val="single" w:color="000000" w:sz="4" w:space="0"/>
              <w:bottom w:val="single" w:color="000000" w:sz="4" w:space="0"/>
              <w:right w:val="single" w:color="000000" w:sz="4" w:space="0"/>
            </w:tcBorders>
          </w:tcPr>
          <w:p>
            <w:pPr>
              <w:pStyle w:val="4"/>
              <w:spacing w:before="40" w:after="40"/>
              <w:jc w:val="right"/>
              <w:rPr>
                <w:rFonts w:ascii="Arial" w:hAnsi="Arial" w:cs="Arial"/>
                <w:sz w:val="18"/>
                <w:szCs w:val="18"/>
              </w:rPr>
            </w:pPr>
            <w:r>
              <w:rPr>
                <w:rFonts w:ascii="Arial" w:hAnsi="Arial" w:cs="Arial"/>
                <w:sz w:val="18"/>
                <w:szCs w:val="18"/>
              </w:rPr>
              <w:t>17</w:t>
            </w:r>
          </w:p>
        </w:tc>
        <w:tc>
          <w:tcPr>
            <w:tcW w:w="12251" w:type="dxa"/>
            <w:tcBorders>
              <w:top w:val="single" w:color="000000" w:sz="4" w:space="0"/>
              <w:left w:val="single" w:color="000000" w:sz="4" w:space="0"/>
              <w:bottom w:val="single" w:color="000000" w:sz="4" w:space="0"/>
              <w:right w:val="single" w:color="000000" w:sz="4" w:space="0"/>
            </w:tcBorders>
          </w:tcPr>
          <w:tbl>
            <w:tblPr>
              <w:tblStyle w:val="5"/>
              <w:tblW w:w="15168" w:type="dxa"/>
              <w:tblInd w:w="0" w:type="dxa"/>
              <w:tblLayout w:type="fixed"/>
              <w:tblCellMar>
                <w:top w:w="0" w:type="dxa"/>
                <w:left w:w="108" w:type="dxa"/>
                <w:bottom w:w="0" w:type="dxa"/>
                <w:right w:w="108" w:type="dxa"/>
              </w:tblCellMar>
            </w:tblPr>
            <w:tblGrid>
              <w:gridCol w:w="1815"/>
              <w:gridCol w:w="1729"/>
              <w:gridCol w:w="1276"/>
              <w:gridCol w:w="1134"/>
              <w:gridCol w:w="1134"/>
              <w:gridCol w:w="851"/>
              <w:gridCol w:w="708"/>
              <w:gridCol w:w="709"/>
              <w:gridCol w:w="709"/>
              <w:gridCol w:w="850"/>
              <w:gridCol w:w="1276"/>
              <w:gridCol w:w="1559"/>
              <w:gridCol w:w="1418"/>
            </w:tblGrid>
            <w:tr>
              <w:tblPrEx>
                <w:tblCellMar>
                  <w:top w:w="0" w:type="dxa"/>
                  <w:left w:w="108" w:type="dxa"/>
                  <w:bottom w:w="0" w:type="dxa"/>
                  <w:right w:w="108" w:type="dxa"/>
                </w:tblCellMar>
              </w:tblPrEx>
              <w:trPr>
                <w:cantSplit/>
                <w:trHeight w:val="579" w:hRule="atLeast"/>
              </w:trPr>
              <w:tc>
                <w:tcPr>
                  <w:tcW w:w="1815"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ind w:left="113" w:right="113"/>
                    <w:jc w:val="both"/>
                    <w:rPr>
                      <w:rFonts w:ascii="Arial" w:hAnsi="Arial" w:eastAsia="Times New Roman" w:cs="Arial"/>
                      <w:b/>
                      <w:sz w:val="18"/>
                      <w:szCs w:val="18"/>
                      <w:lang w:eastAsia="en-GB"/>
                    </w:rPr>
                  </w:pPr>
                  <w:r>
                    <w:rPr>
                      <w:rFonts w:ascii="Arial" w:hAnsi="Arial" w:eastAsia="Times New Roman" w:cs="Arial"/>
                      <w:b/>
                      <w:sz w:val="18"/>
                      <w:szCs w:val="18"/>
                      <w:lang w:eastAsia="en-GB"/>
                    </w:rPr>
                    <w:t>First Author</w:t>
                  </w:r>
                </w:p>
              </w:tc>
              <w:tc>
                <w:tcPr>
                  <w:tcW w:w="172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ind w:left="113" w:right="113"/>
                    <w:jc w:val="both"/>
                    <w:rPr>
                      <w:rFonts w:ascii="Arial" w:hAnsi="Arial" w:eastAsia="Times New Roman" w:cs="Arial"/>
                      <w:b/>
                      <w:sz w:val="18"/>
                      <w:szCs w:val="18"/>
                      <w:lang w:eastAsia="en-GB"/>
                    </w:rPr>
                  </w:pPr>
                  <w:r>
                    <w:rPr>
                      <w:rFonts w:ascii="Arial" w:hAnsi="Arial" w:eastAsia="Times New Roman" w:cs="Arial"/>
                      <w:b/>
                      <w:sz w:val="18"/>
                      <w:szCs w:val="18"/>
                      <w:lang w:eastAsia="en-GB"/>
                    </w:rPr>
                    <w:t>Year of Publication/ Study Type</w:t>
                  </w:r>
                </w:p>
              </w:tc>
              <w:tc>
                <w:tcPr>
                  <w:tcW w:w="1276"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ind w:left="-108" w:right="-108"/>
                    <w:jc w:val="both"/>
                    <w:rPr>
                      <w:rFonts w:ascii="Arial" w:hAnsi="Arial" w:eastAsia="Times New Roman" w:cs="Arial"/>
                      <w:b/>
                      <w:sz w:val="18"/>
                      <w:szCs w:val="18"/>
                      <w:lang w:eastAsia="en-GB"/>
                    </w:rPr>
                  </w:pPr>
                  <w:r>
                    <w:rPr>
                      <w:rFonts w:ascii="Arial" w:hAnsi="Arial" w:eastAsia="Times New Roman" w:cs="Arial"/>
                      <w:b/>
                      <w:sz w:val="18"/>
                      <w:szCs w:val="18"/>
                      <w:lang w:eastAsia="en-GB"/>
                    </w:rPr>
                    <w:t>Diagnostic tool</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ind w:left="-89" w:right="-108"/>
                    <w:jc w:val="both"/>
                    <w:rPr>
                      <w:rFonts w:ascii="Arial" w:hAnsi="Arial" w:eastAsia="Times New Roman" w:cs="Arial"/>
                      <w:b/>
                      <w:sz w:val="18"/>
                      <w:szCs w:val="18"/>
                      <w:lang w:eastAsia="en-GB"/>
                    </w:rPr>
                  </w:pPr>
                  <w:r>
                    <w:rPr>
                      <w:rFonts w:ascii="Arial" w:hAnsi="Arial" w:eastAsia="Times New Roman" w:cs="Arial"/>
                      <w:b/>
                      <w:sz w:val="18"/>
                      <w:szCs w:val="18"/>
                      <w:lang w:eastAsia="en-GB"/>
                    </w:rPr>
                    <w:t>Suspected Cases</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ind w:left="-97" w:right="-108"/>
                    <w:jc w:val="both"/>
                    <w:rPr>
                      <w:rFonts w:ascii="Arial" w:hAnsi="Arial" w:eastAsia="Times New Roman" w:cs="Arial"/>
                      <w:b/>
                      <w:sz w:val="18"/>
                      <w:szCs w:val="18"/>
                      <w:lang w:eastAsia="en-GB"/>
                    </w:rPr>
                  </w:pPr>
                  <w:r>
                    <w:rPr>
                      <w:rFonts w:ascii="Arial" w:hAnsi="Arial" w:eastAsia="Times New Roman" w:cs="Arial"/>
                      <w:b/>
                      <w:sz w:val="18"/>
                      <w:szCs w:val="18"/>
                      <w:lang w:eastAsia="en-GB"/>
                    </w:rPr>
                    <w:t>Confirmed Cases</w:t>
                  </w:r>
                </w:p>
              </w:tc>
              <w:tc>
                <w:tcPr>
                  <w:tcW w:w="851"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ind w:left="-59" w:right="-108"/>
                    <w:jc w:val="both"/>
                    <w:rPr>
                      <w:rFonts w:ascii="Arial" w:hAnsi="Arial" w:eastAsia="Times New Roman" w:cs="Arial"/>
                      <w:b/>
                      <w:sz w:val="18"/>
                      <w:szCs w:val="18"/>
                      <w:lang w:eastAsia="en-GB"/>
                    </w:rPr>
                  </w:pPr>
                  <w:r>
                    <w:rPr>
                      <w:rFonts w:ascii="Arial" w:hAnsi="Arial" w:eastAsia="Times New Roman" w:cs="Arial"/>
                      <w:b/>
                      <w:sz w:val="18"/>
                      <w:szCs w:val="18"/>
                      <w:lang w:eastAsia="en-GB"/>
                    </w:rPr>
                    <w:t>Fatality cases</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ind w:left="-108" w:right="-108"/>
                    <w:jc w:val="both"/>
                    <w:rPr>
                      <w:rFonts w:ascii="Arial" w:hAnsi="Arial" w:eastAsia="Times New Roman" w:cs="Arial"/>
                      <w:b/>
                      <w:sz w:val="18"/>
                      <w:szCs w:val="18"/>
                      <w:lang w:eastAsia="en-GB"/>
                    </w:rPr>
                  </w:pPr>
                  <w:r>
                    <w:rPr>
                      <w:rFonts w:ascii="Arial" w:hAnsi="Arial" w:eastAsia="Times New Roman" w:cs="Arial"/>
                      <w:b/>
                      <w:sz w:val="18"/>
                      <w:szCs w:val="18"/>
                      <w:lang w:eastAsia="en-GB"/>
                    </w:rPr>
                    <w:t>Age range</w:t>
                  </w:r>
                </w:p>
              </w:tc>
              <w:tc>
                <w:tcPr>
                  <w:tcW w:w="70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ind w:left="-108" w:right="-108"/>
                    <w:jc w:val="both"/>
                    <w:rPr>
                      <w:rFonts w:ascii="Arial" w:hAnsi="Arial" w:eastAsia="Times New Roman" w:cs="Arial"/>
                      <w:b/>
                      <w:sz w:val="18"/>
                      <w:szCs w:val="18"/>
                      <w:lang w:eastAsia="en-GB"/>
                    </w:rPr>
                  </w:pPr>
                  <w:r>
                    <w:rPr>
                      <w:rFonts w:ascii="Arial" w:hAnsi="Arial" w:eastAsia="Times New Roman" w:cs="Arial"/>
                      <w:b/>
                      <w:sz w:val="18"/>
                      <w:szCs w:val="18"/>
                      <w:lang w:eastAsia="en-GB"/>
                    </w:rPr>
                    <w:t xml:space="preserve">Mean Age </w:t>
                  </w:r>
                </w:p>
              </w:tc>
              <w:tc>
                <w:tcPr>
                  <w:tcW w:w="70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ind w:left="-108" w:right="-108"/>
                    <w:jc w:val="both"/>
                    <w:rPr>
                      <w:rFonts w:ascii="Arial" w:hAnsi="Arial" w:eastAsia="Times New Roman" w:cs="Arial"/>
                      <w:b/>
                      <w:sz w:val="18"/>
                      <w:szCs w:val="18"/>
                      <w:lang w:eastAsia="en-GB"/>
                    </w:rPr>
                  </w:pPr>
                  <w:r>
                    <w:rPr>
                      <w:rFonts w:ascii="Arial" w:hAnsi="Arial" w:eastAsia="Times New Roman" w:cs="Arial"/>
                      <w:b/>
                      <w:sz w:val="18"/>
                      <w:szCs w:val="18"/>
                      <w:lang w:eastAsia="en-GB"/>
                    </w:rPr>
                    <w:t>Male</w:t>
                  </w:r>
                </w:p>
              </w:tc>
              <w:tc>
                <w:tcPr>
                  <w:tcW w:w="850"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ind w:left="-104" w:right="-108"/>
                    <w:jc w:val="both"/>
                    <w:rPr>
                      <w:rFonts w:ascii="Arial" w:hAnsi="Arial" w:eastAsia="Times New Roman" w:cs="Arial"/>
                      <w:b/>
                      <w:sz w:val="18"/>
                      <w:szCs w:val="18"/>
                      <w:lang w:eastAsia="en-GB"/>
                    </w:rPr>
                  </w:pPr>
                  <w:r>
                    <w:rPr>
                      <w:rFonts w:ascii="Arial" w:hAnsi="Arial" w:eastAsia="Times New Roman" w:cs="Arial"/>
                      <w:b/>
                      <w:sz w:val="18"/>
                      <w:szCs w:val="18"/>
                      <w:lang w:eastAsia="en-GB"/>
                    </w:rPr>
                    <w:t>Female</w:t>
                  </w:r>
                </w:p>
              </w:tc>
              <w:tc>
                <w:tcPr>
                  <w:tcW w:w="1276"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ind w:left="-126" w:right="-108"/>
                    <w:jc w:val="both"/>
                    <w:rPr>
                      <w:rFonts w:ascii="Arial" w:hAnsi="Arial" w:eastAsia="Times New Roman" w:cs="Arial"/>
                      <w:b/>
                      <w:sz w:val="18"/>
                      <w:szCs w:val="18"/>
                      <w:lang w:eastAsia="en-GB"/>
                    </w:rPr>
                  </w:pPr>
                  <w:r>
                    <w:rPr>
                      <w:rFonts w:ascii="Arial" w:hAnsi="Arial" w:eastAsia="Times New Roman" w:cs="Arial"/>
                      <w:b/>
                      <w:sz w:val="18"/>
                      <w:szCs w:val="18"/>
                      <w:lang w:eastAsia="en-GB"/>
                    </w:rPr>
                    <w:t>Location of Detection</w:t>
                  </w:r>
                </w:p>
              </w:tc>
              <w:tc>
                <w:tcPr>
                  <w:tcW w:w="15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ind w:left="-126" w:right="-108"/>
                    <w:jc w:val="both"/>
                    <w:rPr>
                      <w:rFonts w:ascii="Arial" w:hAnsi="Arial" w:eastAsia="Times New Roman" w:cs="Arial"/>
                      <w:b/>
                      <w:sz w:val="18"/>
                      <w:szCs w:val="18"/>
                      <w:lang w:eastAsia="en-GB"/>
                    </w:rPr>
                  </w:pPr>
                  <w:r>
                    <w:rPr>
                      <w:rFonts w:ascii="Arial" w:hAnsi="Arial" w:eastAsia="Times New Roman" w:cs="Arial"/>
                      <w:b/>
                      <w:sz w:val="18"/>
                      <w:szCs w:val="18"/>
                      <w:lang w:eastAsia="en-GB"/>
                    </w:rPr>
                    <w:t>Mode of Transmission</w:t>
                  </w:r>
                </w:p>
              </w:tc>
              <w:tc>
                <w:tcPr>
                  <w:tcW w:w="1418"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ind w:left="-108"/>
                    <w:jc w:val="both"/>
                    <w:rPr>
                      <w:rFonts w:ascii="Arial" w:hAnsi="Arial" w:eastAsia="Times New Roman" w:cs="Arial"/>
                      <w:b/>
                      <w:sz w:val="18"/>
                      <w:szCs w:val="18"/>
                      <w:lang w:eastAsia="en-GB"/>
                    </w:rPr>
                  </w:pPr>
                  <w:r>
                    <w:rPr>
                      <w:rFonts w:ascii="Arial" w:hAnsi="Arial" w:eastAsia="Times New Roman" w:cs="Arial"/>
                      <w:b/>
                      <w:sz w:val="18"/>
                      <w:szCs w:val="18"/>
                      <w:lang w:eastAsia="en-GB"/>
                    </w:rPr>
                    <w:t>Co-infection</w:t>
                  </w:r>
                </w:p>
              </w:tc>
            </w:tr>
            <w:tr>
              <w:tblPrEx>
                <w:tblCellMar>
                  <w:top w:w="0" w:type="dxa"/>
                  <w:left w:w="108" w:type="dxa"/>
                  <w:bottom w:w="0" w:type="dxa"/>
                  <w:right w:w="108" w:type="dxa"/>
                </w:tblCellMar>
              </w:tblPrEx>
              <w:trPr>
                <w:trHeight w:val="1" w:hRule="atLeast"/>
              </w:trPr>
              <w:tc>
                <w:tcPr>
                  <w:tcW w:w="1815"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color w:val="000000"/>
                      <w:sz w:val="18"/>
                      <w:szCs w:val="18"/>
                      <w:lang w:eastAsia="en-GB"/>
                    </w:rPr>
                  </w:pPr>
                  <w:r>
                    <w:rPr>
                      <w:rFonts w:ascii="Arial" w:hAnsi="Arial" w:eastAsia="Times New Roman" w:cs="Arial"/>
                      <w:color w:val="000000"/>
                      <w:sz w:val="18"/>
                      <w:szCs w:val="18"/>
                      <w:lang w:eastAsia="en-GB"/>
                    </w:rPr>
                    <w:t>Adesola Yinka-Ogunleye</w:t>
                  </w:r>
                </w:p>
              </w:tc>
              <w:tc>
                <w:tcPr>
                  <w:tcW w:w="172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2019/ Laboratory study</w:t>
                  </w:r>
                </w:p>
              </w:tc>
              <w:tc>
                <w:tcPr>
                  <w:tcW w:w="1276"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Molecular Method</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276</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122</w:t>
                  </w:r>
                </w:p>
              </w:tc>
              <w:tc>
                <w:tcPr>
                  <w:tcW w:w="851"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7</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 xml:space="preserve">0-50 </w:t>
                  </w:r>
                </w:p>
              </w:tc>
              <w:tc>
                <w:tcPr>
                  <w:tcW w:w="70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29</w:t>
                  </w:r>
                </w:p>
              </w:tc>
              <w:tc>
                <w:tcPr>
                  <w:tcW w:w="70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84</w:t>
                  </w:r>
                </w:p>
              </w:tc>
              <w:tc>
                <w:tcPr>
                  <w:tcW w:w="850"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38</w:t>
                  </w:r>
                </w:p>
              </w:tc>
              <w:tc>
                <w:tcPr>
                  <w:tcW w:w="1276"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Nigeria</w:t>
                  </w:r>
                </w:p>
              </w:tc>
              <w:tc>
                <w:tcPr>
                  <w:tcW w:w="15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NI</w:t>
                  </w:r>
                </w:p>
              </w:tc>
              <w:tc>
                <w:tcPr>
                  <w:tcW w:w="1418"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HIV</w:t>
                  </w:r>
                </w:p>
              </w:tc>
            </w:tr>
            <w:tr>
              <w:tblPrEx>
                <w:tblCellMar>
                  <w:top w:w="0" w:type="dxa"/>
                  <w:left w:w="108" w:type="dxa"/>
                  <w:bottom w:w="0" w:type="dxa"/>
                  <w:right w:w="108" w:type="dxa"/>
                </w:tblCellMar>
              </w:tblPrEx>
              <w:trPr>
                <w:trHeight w:val="1" w:hRule="atLeast"/>
              </w:trPr>
              <w:tc>
                <w:tcPr>
                  <w:tcW w:w="1815"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color w:val="212121"/>
                      <w:sz w:val="18"/>
                      <w:szCs w:val="18"/>
                      <w:lang w:eastAsia="en-GB"/>
                    </w:rPr>
                  </w:pPr>
                  <w:r>
                    <w:rPr>
                      <w:rFonts w:ascii="Arial" w:hAnsi="Arial" w:eastAsia="Times New Roman" w:cs="Arial"/>
                      <w:color w:val="212121"/>
                      <w:sz w:val="18"/>
                      <w:szCs w:val="18"/>
                      <w:lang w:eastAsia="en-GB"/>
                    </w:rPr>
                    <w:t>Ogoina D</w:t>
                  </w:r>
                </w:p>
                <w:p>
                  <w:pPr>
                    <w:spacing w:after="0" w:line="240" w:lineRule="auto"/>
                    <w:jc w:val="both"/>
                    <w:rPr>
                      <w:rFonts w:ascii="Arial" w:hAnsi="Arial" w:eastAsia="Times New Roman" w:cs="Arial"/>
                      <w:color w:val="212121"/>
                      <w:sz w:val="18"/>
                      <w:szCs w:val="18"/>
                      <w:lang w:eastAsia="en-GB"/>
                    </w:rPr>
                  </w:pPr>
                </w:p>
              </w:tc>
              <w:tc>
                <w:tcPr>
                  <w:tcW w:w="172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 xml:space="preserve">2020/ Retrospective </w:t>
                  </w:r>
                </w:p>
              </w:tc>
              <w:tc>
                <w:tcPr>
                  <w:tcW w:w="1276"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NI</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51</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40</w:t>
                  </w:r>
                </w:p>
              </w:tc>
              <w:tc>
                <w:tcPr>
                  <w:tcW w:w="851"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5</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0-52</w:t>
                  </w:r>
                </w:p>
              </w:tc>
              <w:tc>
                <w:tcPr>
                  <w:tcW w:w="70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32</w:t>
                  </w:r>
                </w:p>
              </w:tc>
              <w:tc>
                <w:tcPr>
                  <w:tcW w:w="70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31</w:t>
                  </w:r>
                </w:p>
              </w:tc>
              <w:tc>
                <w:tcPr>
                  <w:tcW w:w="850"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9</w:t>
                  </w:r>
                </w:p>
              </w:tc>
              <w:tc>
                <w:tcPr>
                  <w:tcW w:w="1276"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Nigeria</w:t>
                  </w:r>
                </w:p>
              </w:tc>
              <w:tc>
                <w:tcPr>
                  <w:tcW w:w="15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NI</w:t>
                  </w:r>
                </w:p>
              </w:tc>
              <w:tc>
                <w:tcPr>
                  <w:tcW w:w="1418"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NI</w:t>
                  </w:r>
                </w:p>
              </w:tc>
            </w:tr>
            <w:tr>
              <w:tblPrEx>
                <w:tblCellMar>
                  <w:top w:w="0" w:type="dxa"/>
                  <w:left w:w="108" w:type="dxa"/>
                  <w:bottom w:w="0" w:type="dxa"/>
                  <w:right w:w="108" w:type="dxa"/>
                </w:tblCellMar>
              </w:tblPrEx>
              <w:trPr>
                <w:trHeight w:val="1" w:hRule="atLeast"/>
              </w:trPr>
              <w:tc>
                <w:tcPr>
                  <w:tcW w:w="1815"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color w:val="000000"/>
                      <w:sz w:val="18"/>
                      <w:szCs w:val="18"/>
                      <w:lang w:eastAsia="en-GB"/>
                    </w:rPr>
                  </w:pPr>
                  <w:r>
                    <w:rPr>
                      <w:rFonts w:ascii="Arial" w:hAnsi="Arial" w:eastAsia="Times New Roman" w:cs="Arial"/>
                      <w:color w:val="000000"/>
                      <w:sz w:val="18"/>
                      <w:szCs w:val="18"/>
                      <w:lang w:eastAsia="en-GB"/>
                    </w:rPr>
                    <w:t>Noam Erez</w:t>
                  </w:r>
                </w:p>
              </w:tc>
              <w:tc>
                <w:tcPr>
                  <w:tcW w:w="172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2019/ Case investigation</w:t>
                  </w:r>
                </w:p>
              </w:tc>
              <w:tc>
                <w:tcPr>
                  <w:tcW w:w="1276"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Molecular Method</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1</w:t>
                  </w:r>
                </w:p>
              </w:tc>
              <w:tc>
                <w:tcPr>
                  <w:tcW w:w="851"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0</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38</w:t>
                  </w:r>
                </w:p>
              </w:tc>
              <w:tc>
                <w:tcPr>
                  <w:tcW w:w="70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38</w:t>
                  </w:r>
                </w:p>
              </w:tc>
              <w:tc>
                <w:tcPr>
                  <w:tcW w:w="70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1</w:t>
                  </w:r>
                </w:p>
              </w:tc>
              <w:tc>
                <w:tcPr>
                  <w:tcW w:w="850"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0</w:t>
                  </w:r>
                </w:p>
              </w:tc>
              <w:tc>
                <w:tcPr>
                  <w:tcW w:w="1276"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Israel</w:t>
                  </w:r>
                </w:p>
              </w:tc>
              <w:tc>
                <w:tcPr>
                  <w:tcW w:w="15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NI</w:t>
                  </w:r>
                </w:p>
              </w:tc>
              <w:tc>
                <w:tcPr>
                  <w:tcW w:w="1418"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NI</w:t>
                  </w:r>
                </w:p>
              </w:tc>
            </w:tr>
            <w:tr>
              <w:tblPrEx>
                <w:tblCellMar>
                  <w:top w:w="0" w:type="dxa"/>
                  <w:left w:w="108" w:type="dxa"/>
                  <w:bottom w:w="0" w:type="dxa"/>
                  <w:right w:w="108" w:type="dxa"/>
                </w:tblCellMar>
              </w:tblPrEx>
              <w:trPr>
                <w:trHeight w:val="1" w:hRule="atLeast"/>
              </w:trPr>
              <w:tc>
                <w:tcPr>
                  <w:tcW w:w="1815"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color w:val="000000"/>
                      <w:sz w:val="18"/>
                      <w:szCs w:val="18"/>
                      <w:lang w:eastAsia="en-GB"/>
                    </w:rPr>
                  </w:pPr>
                  <w:r>
                    <w:rPr>
                      <w:rFonts w:ascii="Arial" w:hAnsi="Arial" w:eastAsia="Times New Roman" w:cs="Arial"/>
                      <w:color w:val="000000"/>
                      <w:sz w:val="18"/>
                      <w:szCs w:val="18"/>
                      <w:lang w:eastAsia="en-GB"/>
                    </w:rPr>
                    <w:t>Matthew R Mauldin</w:t>
                  </w:r>
                </w:p>
              </w:tc>
              <w:tc>
                <w:tcPr>
                  <w:tcW w:w="172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2022/ Laboratory study</w:t>
                  </w:r>
                </w:p>
              </w:tc>
              <w:tc>
                <w:tcPr>
                  <w:tcW w:w="1276"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Molecular Method</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5</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5</w:t>
                  </w:r>
                </w:p>
              </w:tc>
              <w:tc>
                <w:tcPr>
                  <w:tcW w:w="851"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0</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32-40</w:t>
                  </w:r>
                </w:p>
              </w:tc>
              <w:tc>
                <w:tcPr>
                  <w:tcW w:w="70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37</w:t>
                  </w:r>
                </w:p>
              </w:tc>
              <w:tc>
                <w:tcPr>
                  <w:tcW w:w="70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4</w:t>
                  </w:r>
                </w:p>
              </w:tc>
              <w:tc>
                <w:tcPr>
                  <w:tcW w:w="850"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1</w:t>
                  </w:r>
                </w:p>
              </w:tc>
              <w:tc>
                <w:tcPr>
                  <w:tcW w:w="1276"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UK, Singapore, Israel</w:t>
                  </w:r>
                </w:p>
              </w:tc>
              <w:tc>
                <w:tcPr>
                  <w:tcW w:w="15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Rodent carcass, Occupational</w:t>
                  </w:r>
                </w:p>
              </w:tc>
              <w:tc>
                <w:tcPr>
                  <w:tcW w:w="1418"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NI</w:t>
                  </w:r>
                </w:p>
              </w:tc>
            </w:tr>
            <w:tr>
              <w:tblPrEx>
                <w:tblCellMar>
                  <w:top w:w="0" w:type="dxa"/>
                  <w:left w:w="108" w:type="dxa"/>
                  <w:bottom w:w="0" w:type="dxa"/>
                  <w:right w:w="108" w:type="dxa"/>
                </w:tblCellMar>
              </w:tblPrEx>
              <w:trPr>
                <w:trHeight w:val="1" w:hRule="atLeast"/>
              </w:trPr>
              <w:tc>
                <w:tcPr>
                  <w:tcW w:w="1815"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color w:val="000000"/>
                      <w:sz w:val="18"/>
                      <w:szCs w:val="18"/>
                      <w:lang w:eastAsia="en-GB"/>
                    </w:rPr>
                  </w:pPr>
                  <w:r>
                    <w:rPr>
                      <w:rFonts w:ascii="Arial" w:hAnsi="Arial" w:eastAsia="Times New Roman" w:cs="Arial"/>
                      <w:color w:val="000000"/>
                      <w:sz w:val="18"/>
                      <w:szCs w:val="18"/>
                      <w:lang w:eastAsia="en-GB"/>
                    </w:rPr>
                    <w:t>Sarah Ee Fang Yong</w:t>
                  </w:r>
                </w:p>
              </w:tc>
              <w:tc>
                <w:tcPr>
                  <w:tcW w:w="172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2020/ Case investigation</w:t>
                  </w:r>
                </w:p>
              </w:tc>
              <w:tc>
                <w:tcPr>
                  <w:tcW w:w="1276"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Molecular Method</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1</w:t>
                  </w:r>
                </w:p>
              </w:tc>
              <w:tc>
                <w:tcPr>
                  <w:tcW w:w="851"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0</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38</w:t>
                  </w:r>
                </w:p>
              </w:tc>
              <w:tc>
                <w:tcPr>
                  <w:tcW w:w="70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38</w:t>
                  </w:r>
                </w:p>
              </w:tc>
              <w:tc>
                <w:tcPr>
                  <w:tcW w:w="70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1</w:t>
                  </w:r>
                </w:p>
              </w:tc>
              <w:tc>
                <w:tcPr>
                  <w:tcW w:w="850"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0</w:t>
                  </w:r>
                </w:p>
              </w:tc>
              <w:tc>
                <w:tcPr>
                  <w:tcW w:w="1276"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Singapore</w:t>
                  </w:r>
                </w:p>
              </w:tc>
              <w:tc>
                <w:tcPr>
                  <w:tcW w:w="15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Bushmeat</w:t>
                  </w:r>
                </w:p>
              </w:tc>
              <w:tc>
                <w:tcPr>
                  <w:tcW w:w="1418"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NI</w:t>
                  </w:r>
                </w:p>
              </w:tc>
            </w:tr>
            <w:tr>
              <w:tblPrEx>
                <w:tblCellMar>
                  <w:top w:w="0" w:type="dxa"/>
                  <w:left w:w="108" w:type="dxa"/>
                  <w:bottom w:w="0" w:type="dxa"/>
                  <w:right w:w="108" w:type="dxa"/>
                </w:tblCellMar>
              </w:tblPrEx>
              <w:trPr>
                <w:trHeight w:val="1" w:hRule="atLeast"/>
              </w:trPr>
              <w:tc>
                <w:tcPr>
                  <w:tcW w:w="1815"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color w:val="000000"/>
                      <w:sz w:val="18"/>
                      <w:szCs w:val="18"/>
                      <w:lang w:eastAsia="en-GB"/>
                    </w:rPr>
                  </w:pPr>
                  <w:r>
                    <w:rPr>
                      <w:rFonts w:ascii="Arial" w:hAnsi="Arial" w:eastAsia="Times New Roman" w:cs="Arial"/>
                      <w:color w:val="000000"/>
                      <w:sz w:val="18"/>
                      <w:szCs w:val="18"/>
                      <w:lang w:eastAsia="en-GB"/>
                    </w:rPr>
                    <w:t>Kara N. Durski</w:t>
                  </w:r>
                </w:p>
                <w:p>
                  <w:pPr>
                    <w:spacing w:after="0" w:line="240" w:lineRule="auto"/>
                    <w:jc w:val="both"/>
                    <w:rPr>
                      <w:rFonts w:ascii="Arial" w:hAnsi="Arial" w:eastAsia="Times New Roman" w:cs="Arial"/>
                      <w:sz w:val="18"/>
                      <w:szCs w:val="18"/>
                      <w:lang w:eastAsia="en-GB"/>
                    </w:rPr>
                  </w:pPr>
                </w:p>
              </w:tc>
              <w:tc>
                <w:tcPr>
                  <w:tcW w:w="172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2018/ Retrospective</w:t>
                  </w:r>
                </w:p>
              </w:tc>
              <w:tc>
                <w:tcPr>
                  <w:tcW w:w="1276"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NI</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3</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3</w:t>
                  </w:r>
                </w:p>
              </w:tc>
              <w:tc>
                <w:tcPr>
                  <w:tcW w:w="851"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0</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NI</w:t>
                  </w:r>
                </w:p>
              </w:tc>
              <w:tc>
                <w:tcPr>
                  <w:tcW w:w="70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NI</w:t>
                  </w:r>
                </w:p>
              </w:tc>
              <w:tc>
                <w:tcPr>
                  <w:tcW w:w="70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NI</w:t>
                  </w:r>
                </w:p>
              </w:tc>
              <w:tc>
                <w:tcPr>
                  <w:tcW w:w="850"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NI</w:t>
                  </w:r>
                </w:p>
              </w:tc>
              <w:tc>
                <w:tcPr>
                  <w:tcW w:w="1276"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Nigeria</w:t>
                  </w:r>
                </w:p>
              </w:tc>
              <w:tc>
                <w:tcPr>
                  <w:tcW w:w="15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NI</w:t>
                  </w:r>
                </w:p>
              </w:tc>
              <w:tc>
                <w:tcPr>
                  <w:tcW w:w="1418"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NI</w:t>
                  </w:r>
                </w:p>
              </w:tc>
            </w:tr>
            <w:tr>
              <w:tblPrEx>
                <w:tblCellMar>
                  <w:top w:w="0" w:type="dxa"/>
                  <w:left w:w="108" w:type="dxa"/>
                  <w:bottom w:w="0" w:type="dxa"/>
                  <w:right w:w="108" w:type="dxa"/>
                </w:tblCellMar>
              </w:tblPrEx>
              <w:trPr>
                <w:trHeight w:val="1" w:hRule="atLeast"/>
              </w:trPr>
              <w:tc>
                <w:tcPr>
                  <w:tcW w:w="1815"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color w:val="000000"/>
                      <w:sz w:val="18"/>
                      <w:szCs w:val="18"/>
                      <w:lang w:eastAsia="en-GB"/>
                    </w:rPr>
                  </w:pPr>
                  <w:r>
                    <w:rPr>
                      <w:rFonts w:ascii="Arial" w:hAnsi="Arial" w:eastAsia="Times New Roman" w:cs="Arial"/>
                      <w:color w:val="000000"/>
                      <w:sz w:val="18"/>
                      <w:szCs w:val="18"/>
                      <w:lang w:eastAsia="en-GB"/>
                    </w:rPr>
                    <w:t>Agam K. Rao</w:t>
                  </w:r>
                </w:p>
                <w:p>
                  <w:pPr>
                    <w:spacing w:after="0" w:line="240" w:lineRule="auto"/>
                    <w:jc w:val="both"/>
                    <w:rPr>
                      <w:rFonts w:ascii="Arial" w:hAnsi="Arial" w:eastAsia="Times New Roman" w:cs="Arial"/>
                      <w:sz w:val="18"/>
                      <w:szCs w:val="18"/>
                      <w:lang w:eastAsia="en-GB"/>
                    </w:rPr>
                  </w:pPr>
                </w:p>
              </w:tc>
              <w:tc>
                <w:tcPr>
                  <w:tcW w:w="172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2022/ Case investigation</w:t>
                  </w:r>
                </w:p>
              </w:tc>
              <w:tc>
                <w:tcPr>
                  <w:tcW w:w="1276"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Molecular Method</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1</w:t>
                  </w:r>
                </w:p>
              </w:tc>
              <w:tc>
                <w:tcPr>
                  <w:tcW w:w="851"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0</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NI</w:t>
                  </w:r>
                </w:p>
              </w:tc>
              <w:tc>
                <w:tcPr>
                  <w:tcW w:w="70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NI</w:t>
                  </w:r>
                </w:p>
              </w:tc>
              <w:tc>
                <w:tcPr>
                  <w:tcW w:w="70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1</w:t>
                  </w:r>
                </w:p>
              </w:tc>
              <w:tc>
                <w:tcPr>
                  <w:tcW w:w="850"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0</w:t>
                  </w:r>
                </w:p>
              </w:tc>
              <w:tc>
                <w:tcPr>
                  <w:tcW w:w="1276"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USA</w:t>
                  </w:r>
                </w:p>
              </w:tc>
              <w:tc>
                <w:tcPr>
                  <w:tcW w:w="15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NI</w:t>
                  </w:r>
                </w:p>
              </w:tc>
              <w:tc>
                <w:tcPr>
                  <w:tcW w:w="1418"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NI</w:t>
                  </w:r>
                </w:p>
              </w:tc>
            </w:tr>
            <w:tr>
              <w:tblPrEx>
                <w:tblCellMar>
                  <w:top w:w="0" w:type="dxa"/>
                  <w:left w:w="108" w:type="dxa"/>
                  <w:bottom w:w="0" w:type="dxa"/>
                  <w:right w:w="108" w:type="dxa"/>
                </w:tblCellMar>
              </w:tblPrEx>
              <w:trPr>
                <w:trHeight w:val="1" w:hRule="atLeast"/>
              </w:trPr>
              <w:tc>
                <w:tcPr>
                  <w:tcW w:w="1815"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color w:val="000000"/>
                      <w:sz w:val="18"/>
                      <w:szCs w:val="18"/>
                      <w:lang w:eastAsia="en-GB"/>
                    </w:rPr>
                  </w:pPr>
                  <w:r>
                    <w:rPr>
                      <w:rFonts w:ascii="Arial" w:hAnsi="Arial" w:eastAsia="Times New Roman" w:cs="Arial"/>
                      <w:color w:val="000000"/>
                      <w:sz w:val="18"/>
                      <w:szCs w:val="18"/>
                      <w:lang w:eastAsia="en-GB"/>
                    </w:rPr>
                    <w:t>Gemma Hobson</w:t>
                  </w:r>
                </w:p>
                <w:p>
                  <w:pPr>
                    <w:spacing w:after="0" w:line="240" w:lineRule="auto"/>
                    <w:jc w:val="both"/>
                    <w:rPr>
                      <w:rFonts w:ascii="Arial" w:hAnsi="Arial" w:eastAsia="Times New Roman" w:cs="Arial"/>
                      <w:sz w:val="18"/>
                      <w:szCs w:val="18"/>
                      <w:lang w:eastAsia="en-GB"/>
                    </w:rPr>
                  </w:pPr>
                </w:p>
              </w:tc>
              <w:tc>
                <w:tcPr>
                  <w:tcW w:w="172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2021/ Case investigation</w:t>
                  </w:r>
                </w:p>
              </w:tc>
              <w:tc>
                <w:tcPr>
                  <w:tcW w:w="1276"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Molecular Method</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1</w:t>
                  </w:r>
                </w:p>
              </w:tc>
              <w:tc>
                <w:tcPr>
                  <w:tcW w:w="851"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0</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NI</w:t>
                  </w:r>
                </w:p>
              </w:tc>
              <w:tc>
                <w:tcPr>
                  <w:tcW w:w="70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NI</w:t>
                  </w:r>
                </w:p>
              </w:tc>
              <w:tc>
                <w:tcPr>
                  <w:tcW w:w="70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1</w:t>
                  </w:r>
                </w:p>
              </w:tc>
              <w:tc>
                <w:tcPr>
                  <w:tcW w:w="850"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0</w:t>
                  </w:r>
                </w:p>
              </w:tc>
              <w:tc>
                <w:tcPr>
                  <w:tcW w:w="1276"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UK</w:t>
                  </w:r>
                </w:p>
              </w:tc>
              <w:tc>
                <w:tcPr>
                  <w:tcW w:w="15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NI</w:t>
                  </w:r>
                </w:p>
              </w:tc>
              <w:tc>
                <w:tcPr>
                  <w:tcW w:w="1418"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NI</w:t>
                  </w:r>
                </w:p>
              </w:tc>
            </w:tr>
            <w:tr>
              <w:tblPrEx>
                <w:tblCellMar>
                  <w:top w:w="0" w:type="dxa"/>
                  <w:left w:w="108" w:type="dxa"/>
                  <w:bottom w:w="0" w:type="dxa"/>
                  <w:right w:w="108" w:type="dxa"/>
                </w:tblCellMar>
              </w:tblPrEx>
              <w:trPr>
                <w:trHeight w:val="1" w:hRule="atLeast"/>
              </w:trPr>
              <w:tc>
                <w:tcPr>
                  <w:tcW w:w="1815"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color w:val="000000"/>
                      <w:sz w:val="18"/>
                      <w:szCs w:val="18"/>
                      <w:lang w:eastAsia="en-GB"/>
                    </w:rPr>
                  </w:pPr>
                  <w:r>
                    <w:rPr>
                      <w:rFonts w:ascii="Arial" w:hAnsi="Arial" w:eastAsia="Times New Roman" w:cs="Arial"/>
                      <w:color w:val="000000"/>
                      <w:sz w:val="18"/>
                      <w:szCs w:val="18"/>
                      <w:lang w:eastAsia="en-GB"/>
                    </w:rPr>
                    <w:t>Varea Costello</w:t>
                  </w:r>
                </w:p>
                <w:p>
                  <w:pPr>
                    <w:spacing w:after="0" w:line="240" w:lineRule="auto"/>
                    <w:jc w:val="both"/>
                    <w:rPr>
                      <w:rFonts w:ascii="Arial" w:hAnsi="Arial" w:eastAsia="Times New Roman" w:cs="Arial"/>
                      <w:sz w:val="18"/>
                      <w:szCs w:val="18"/>
                      <w:lang w:eastAsia="en-GB"/>
                    </w:rPr>
                  </w:pPr>
                </w:p>
              </w:tc>
              <w:tc>
                <w:tcPr>
                  <w:tcW w:w="172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2022/ Case investigation</w:t>
                  </w:r>
                </w:p>
              </w:tc>
              <w:tc>
                <w:tcPr>
                  <w:tcW w:w="1276"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Molecular Method</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1</w:t>
                  </w:r>
                </w:p>
              </w:tc>
              <w:tc>
                <w:tcPr>
                  <w:tcW w:w="851"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0</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28</w:t>
                  </w:r>
                </w:p>
              </w:tc>
              <w:tc>
                <w:tcPr>
                  <w:tcW w:w="70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28</w:t>
                  </w:r>
                </w:p>
              </w:tc>
              <w:tc>
                <w:tcPr>
                  <w:tcW w:w="70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1</w:t>
                  </w:r>
                </w:p>
              </w:tc>
              <w:tc>
                <w:tcPr>
                  <w:tcW w:w="850"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0</w:t>
                  </w:r>
                </w:p>
              </w:tc>
              <w:tc>
                <w:tcPr>
                  <w:tcW w:w="1276"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USA</w:t>
                  </w:r>
                </w:p>
              </w:tc>
              <w:tc>
                <w:tcPr>
                  <w:tcW w:w="15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Direct Contact</w:t>
                  </w:r>
                </w:p>
              </w:tc>
              <w:tc>
                <w:tcPr>
                  <w:tcW w:w="1418"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NI</w:t>
                  </w:r>
                </w:p>
              </w:tc>
            </w:tr>
            <w:tr>
              <w:tblPrEx>
                <w:tblCellMar>
                  <w:top w:w="0" w:type="dxa"/>
                  <w:left w:w="108" w:type="dxa"/>
                  <w:bottom w:w="0" w:type="dxa"/>
                  <w:right w:w="108" w:type="dxa"/>
                </w:tblCellMar>
              </w:tblPrEx>
              <w:trPr>
                <w:trHeight w:val="1" w:hRule="atLeast"/>
              </w:trPr>
              <w:tc>
                <w:tcPr>
                  <w:tcW w:w="1815"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color w:val="000000"/>
                      <w:sz w:val="18"/>
                      <w:szCs w:val="18"/>
                      <w:lang w:eastAsia="en-GB"/>
                    </w:rPr>
                  </w:pPr>
                  <w:r>
                    <w:rPr>
                      <w:rFonts w:ascii="Arial" w:hAnsi="Arial" w:eastAsia="Times New Roman" w:cs="Arial"/>
                      <w:color w:val="000000"/>
                      <w:sz w:val="18"/>
                      <w:szCs w:val="18"/>
                      <w:lang w:eastAsia="en-GB"/>
                    </w:rPr>
                    <w:t>Aisling Vaughan</w:t>
                  </w:r>
                </w:p>
                <w:p>
                  <w:pPr>
                    <w:spacing w:after="0" w:line="240" w:lineRule="auto"/>
                    <w:jc w:val="both"/>
                    <w:rPr>
                      <w:rFonts w:ascii="Arial" w:hAnsi="Arial" w:eastAsia="Times New Roman" w:cs="Arial"/>
                      <w:sz w:val="18"/>
                      <w:szCs w:val="18"/>
                      <w:lang w:eastAsia="en-GB"/>
                    </w:rPr>
                  </w:pPr>
                </w:p>
              </w:tc>
              <w:tc>
                <w:tcPr>
                  <w:tcW w:w="172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2018/ Case investigation</w:t>
                  </w:r>
                </w:p>
              </w:tc>
              <w:tc>
                <w:tcPr>
                  <w:tcW w:w="1276"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Molecular Method</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2</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2</w:t>
                  </w:r>
                </w:p>
              </w:tc>
              <w:tc>
                <w:tcPr>
                  <w:tcW w:w="851"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0</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NI</w:t>
                  </w:r>
                </w:p>
              </w:tc>
              <w:tc>
                <w:tcPr>
                  <w:tcW w:w="70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NI</w:t>
                  </w:r>
                </w:p>
              </w:tc>
              <w:tc>
                <w:tcPr>
                  <w:tcW w:w="70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2</w:t>
                  </w:r>
                </w:p>
              </w:tc>
              <w:tc>
                <w:tcPr>
                  <w:tcW w:w="850"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0</w:t>
                  </w:r>
                </w:p>
              </w:tc>
              <w:tc>
                <w:tcPr>
                  <w:tcW w:w="1276"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UK</w:t>
                  </w:r>
                </w:p>
              </w:tc>
              <w:tc>
                <w:tcPr>
                  <w:tcW w:w="15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Consumption of bushmeat</w:t>
                  </w:r>
                </w:p>
              </w:tc>
              <w:tc>
                <w:tcPr>
                  <w:tcW w:w="1418"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NI</w:t>
                  </w:r>
                </w:p>
              </w:tc>
            </w:tr>
            <w:tr>
              <w:tblPrEx>
                <w:tblCellMar>
                  <w:top w:w="0" w:type="dxa"/>
                  <w:left w:w="108" w:type="dxa"/>
                  <w:bottom w:w="0" w:type="dxa"/>
                  <w:right w:w="108" w:type="dxa"/>
                </w:tblCellMar>
              </w:tblPrEx>
              <w:trPr>
                <w:trHeight w:val="1" w:hRule="atLeast"/>
              </w:trPr>
              <w:tc>
                <w:tcPr>
                  <w:tcW w:w="1815"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color w:val="000000"/>
                      <w:sz w:val="18"/>
                      <w:szCs w:val="18"/>
                      <w:lang w:eastAsia="en-GB"/>
                    </w:rPr>
                  </w:pPr>
                  <w:r>
                    <w:rPr>
                      <w:rFonts w:ascii="Arial" w:hAnsi="Arial" w:eastAsia="Times New Roman" w:cs="Arial"/>
                      <w:color w:val="000000"/>
                      <w:sz w:val="18"/>
                      <w:szCs w:val="18"/>
                      <w:lang w:eastAsia="en-GB"/>
                    </w:rPr>
                    <w:t>Lateefat Kikelomo Amao</w:t>
                  </w:r>
                </w:p>
              </w:tc>
              <w:tc>
                <w:tcPr>
                  <w:tcW w:w="172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2022/ Laboratory study</w:t>
                  </w:r>
                </w:p>
              </w:tc>
              <w:tc>
                <w:tcPr>
                  <w:tcW w:w="1276"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NI</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25</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3</w:t>
                  </w:r>
                </w:p>
              </w:tc>
              <w:tc>
                <w:tcPr>
                  <w:tcW w:w="851"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0</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NI</w:t>
                  </w:r>
                </w:p>
              </w:tc>
              <w:tc>
                <w:tcPr>
                  <w:tcW w:w="70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NI</w:t>
                  </w:r>
                </w:p>
              </w:tc>
              <w:tc>
                <w:tcPr>
                  <w:tcW w:w="70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1</w:t>
                  </w:r>
                </w:p>
              </w:tc>
              <w:tc>
                <w:tcPr>
                  <w:tcW w:w="850"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2</w:t>
                  </w:r>
                </w:p>
              </w:tc>
              <w:tc>
                <w:tcPr>
                  <w:tcW w:w="1276"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Nigeria</w:t>
                  </w:r>
                </w:p>
              </w:tc>
              <w:tc>
                <w:tcPr>
                  <w:tcW w:w="15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Direct Contact</w:t>
                  </w:r>
                </w:p>
              </w:tc>
              <w:tc>
                <w:tcPr>
                  <w:tcW w:w="1418"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NI</w:t>
                  </w:r>
                </w:p>
              </w:tc>
            </w:tr>
            <w:tr>
              <w:tblPrEx>
                <w:tblCellMar>
                  <w:top w:w="0" w:type="dxa"/>
                  <w:left w:w="108" w:type="dxa"/>
                  <w:bottom w:w="0" w:type="dxa"/>
                  <w:right w:w="108" w:type="dxa"/>
                </w:tblCellMar>
              </w:tblPrEx>
              <w:trPr>
                <w:trHeight w:val="1" w:hRule="atLeast"/>
              </w:trPr>
              <w:tc>
                <w:tcPr>
                  <w:tcW w:w="1815"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color w:val="000000"/>
                      <w:sz w:val="18"/>
                      <w:szCs w:val="18"/>
                      <w:lang w:eastAsia="en-GB"/>
                    </w:rPr>
                  </w:pPr>
                  <w:r>
                    <w:rPr>
                      <w:rFonts w:ascii="Arial" w:hAnsi="Arial" w:eastAsia="Times New Roman" w:cs="Arial"/>
                      <w:color w:val="000000"/>
                      <w:sz w:val="18"/>
                      <w:szCs w:val="18"/>
                      <w:lang w:eastAsia="en-GB"/>
                    </w:rPr>
                    <w:t>Dimie Ogoina </w:t>
                  </w:r>
                </w:p>
                <w:p>
                  <w:pPr>
                    <w:spacing w:after="0" w:line="240" w:lineRule="auto"/>
                    <w:jc w:val="both"/>
                    <w:rPr>
                      <w:rFonts w:ascii="Arial" w:hAnsi="Arial" w:eastAsia="Times New Roman" w:cs="Arial"/>
                      <w:sz w:val="18"/>
                      <w:szCs w:val="18"/>
                      <w:lang w:eastAsia="en-GB"/>
                    </w:rPr>
                  </w:pPr>
                </w:p>
              </w:tc>
              <w:tc>
                <w:tcPr>
                  <w:tcW w:w="172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2019/ Outbreak investigation</w:t>
                  </w:r>
                </w:p>
              </w:tc>
              <w:tc>
                <w:tcPr>
                  <w:tcW w:w="1276"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Molecular Method</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38</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18</w:t>
                  </w:r>
                </w:p>
              </w:tc>
              <w:tc>
                <w:tcPr>
                  <w:tcW w:w="851"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0</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NI</w:t>
                  </w:r>
                </w:p>
              </w:tc>
              <w:tc>
                <w:tcPr>
                  <w:tcW w:w="70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NI</w:t>
                  </w:r>
                </w:p>
              </w:tc>
              <w:tc>
                <w:tcPr>
                  <w:tcW w:w="70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17</w:t>
                  </w:r>
                </w:p>
              </w:tc>
              <w:tc>
                <w:tcPr>
                  <w:tcW w:w="850"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1</w:t>
                  </w:r>
                </w:p>
              </w:tc>
              <w:tc>
                <w:tcPr>
                  <w:tcW w:w="1276"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Nigeria</w:t>
                  </w:r>
                </w:p>
              </w:tc>
              <w:tc>
                <w:tcPr>
                  <w:tcW w:w="15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NI</w:t>
                  </w:r>
                </w:p>
              </w:tc>
              <w:tc>
                <w:tcPr>
                  <w:tcW w:w="1418"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ind w:left="-108"/>
                    <w:jc w:val="both"/>
                    <w:rPr>
                      <w:rFonts w:ascii="Arial" w:hAnsi="Arial" w:eastAsia="Times New Roman" w:cs="Arial"/>
                      <w:sz w:val="18"/>
                      <w:szCs w:val="18"/>
                      <w:lang w:eastAsia="en-GB"/>
                    </w:rPr>
                  </w:pPr>
                  <w:r>
                    <w:rPr>
                      <w:rFonts w:ascii="Arial" w:hAnsi="Arial" w:eastAsia="Times New Roman" w:cs="Arial"/>
                      <w:sz w:val="18"/>
                      <w:szCs w:val="18"/>
                      <w:lang w:eastAsia="en-GB"/>
                    </w:rPr>
                    <w:t>Syphilis, HIV, Chickenpox</w:t>
                  </w:r>
                </w:p>
              </w:tc>
            </w:tr>
            <w:tr>
              <w:tblPrEx>
                <w:tblCellMar>
                  <w:top w:w="0" w:type="dxa"/>
                  <w:left w:w="108" w:type="dxa"/>
                  <w:bottom w:w="0" w:type="dxa"/>
                  <w:right w:w="108" w:type="dxa"/>
                </w:tblCellMar>
              </w:tblPrEx>
              <w:trPr>
                <w:trHeight w:val="1" w:hRule="atLeast"/>
              </w:trPr>
              <w:tc>
                <w:tcPr>
                  <w:tcW w:w="1815"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color w:val="000000"/>
                      <w:sz w:val="18"/>
                      <w:szCs w:val="18"/>
                      <w:lang w:eastAsia="en-GB"/>
                    </w:rPr>
                  </w:pPr>
                  <w:r>
                    <w:rPr>
                      <w:rFonts w:ascii="Arial" w:hAnsi="Arial" w:eastAsia="Times New Roman" w:cs="Arial"/>
                      <w:color w:val="000000"/>
                      <w:sz w:val="18"/>
                      <w:szCs w:val="18"/>
                      <w:lang w:eastAsia="en-GB"/>
                    </w:rPr>
                    <w:t>E E Eseigbe</w:t>
                  </w:r>
                </w:p>
                <w:p>
                  <w:pPr>
                    <w:spacing w:after="0" w:line="240" w:lineRule="auto"/>
                    <w:jc w:val="both"/>
                    <w:rPr>
                      <w:rFonts w:ascii="Arial" w:hAnsi="Arial" w:eastAsia="Times New Roman" w:cs="Arial"/>
                      <w:sz w:val="18"/>
                      <w:szCs w:val="18"/>
                      <w:lang w:eastAsia="en-GB"/>
                    </w:rPr>
                  </w:pPr>
                </w:p>
              </w:tc>
              <w:tc>
                <w:tcPr>
                  <w:tcW w:w="172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2021/ Case investigation</w:t>
                  </w:r>
                </w:p>
              </w:tc>
              <w:tc>
                <w:tcPr>
                  <w:tcW w:w="1276"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Molecular Method</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2</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2</w:t>
                  </w:r>
                </w:p>
              </w:tc>
              <w:tc>
                <w:tcPr>
                  <w:tcW w:w="851"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0</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20</w:t>
                  </w:r>
                </w:p>
              </w:tc>
              <w:tc>
                <w:tcPr>
                  <w:tcW w:w="70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20</w:t>
                  </w:r>
                </w:p>
              </w:tc>
              <w:tc>
                <w:tcPr>
                  <w:tcW w:w="70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2</w:t>
                  </w:r>
                </w:p>
              </w:tc>
              <w:tc>
                <w:tcPr>
                  <w:tcW w:w="850"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0</w:t>
                  </w:r>
                </w:p>
              </w:tc>
              <w:tc>
                <w:tcPr>
                  <w:tcW w:w="1276"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Nigeria</w:t>
                  </w:r>
                </w:p>
              </w:tc>
              <w:tc>
                <w:tcPr>
                  <w:tcW w:w="15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NI</w:t>
                  </w:r>
                </w:p>
              </w:tc>
              <w:tc>
                <w:tcPr>
                  <w:tcW w:w="1418"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NI</w:t>
                  </w:r>
                </w:p>
              </w:tc>
            </w:tr>
            <w:tr>
              <w:tblPrEx>
                <w:tblCellMar>
                  <w:top w:w="0" w:type="dxa"/>
                  <w:left w:w="108" w:type="dxa"/>
                  <w:bottom w:w="0" w:type="dxa"/>
                  <w:right w:w="108" w:type="dxa"/>
                </w:tblCellMar>
              </w:tblPrEx>
              <w:trPr>
                <w:trHeight w:val="1" w:hRule="atLeast"/>
              </w:trPr>
              <w:tc>
                <w:tcPr>
                  <w:tcW w:w="1815"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color w:val="000000"/>
                      <w:sz w:val="18"/>
                      <w:szCs w:val="18"/>
                      <w:lang w:eastAsia="en-GB"/>
                    </w:rPr>
                  </w:pPr>
                  <w:r>
                    <w:rPr>
                      <w:rFonts w:ascii="Arial" w:hAnsi="Arial" w:eastAsia="Times New Roman" w:cs="Arial"/>
                      <w:color w:val="000000"/>
                      <w:sz w:val="18"/>
                      <w:szCs w:val="18"/>
                      <w:lang w:eastAsia="en-GB"/>
                    </w:rPr>
                    <w:t>S O Foster</w:t>
                  </w:r>
                </w:p>
                <w:p>
                  <w:pPr>
                    <w:spacing w:after="0" w:line="240" w:lineRule="auto"/>
                    <w:jc w:val="both"/>
                    <w:rPr>
                      <w:rFonts w:ascii="Arial" w:hAnsi="Arial" w:eastAsia="Times New Roman" w:cs="Arial"/>
                      <w:sz w:val="18"/>
                      <w:szCs w:val="18"/>
                      <w:lang w:eastAsia="en-GB"/>
                    </w:rPr>
                  </w:pPr>
                </w:p>
              </w:tc>
              <w:tc>
                <w:tcPr>
                  <w:tcW w:w="172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1972/ Laboratory study</w:t>
                  </w:r>
                </w:p>
              </w:tc>
              <w:tc>
                <w:tcPr>
                  <w:tcW w:w="1276"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Microscopy</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1</w:t>
                  </w:r>
                </w:p>
              </w:tc>
              <w:tc>
                <w:tcPr>
                  <w:tcW w:w="851"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0</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4</w:t>
                  </w:r>
                </w:p>
              </w:tc>
              <w:tc>
                <w:tcPr>
                  <w:tcW w:w="70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4</w:t>
                  </w:r>
                </w:p>
              </w:tc>
              <w:tc>
                <w:tcPr>
                  <w:tcW w:w="70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0</w:t>
                  </w:r>
                </w:p>
              </w:tc>
              <w:tc>
                <w:tcPr>
                  <w:tcW w:w="850"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1</w:t>
                  </w:r>
                </w:p>
              </w:tc>
              <w:tc>
                <w:tcPr>
                  <w:tcW w:w="1276"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Nigeria</w:t>
                  </w:r>
                </w:p>
              </w:tc>
              <w:tc>
                <w:tcPr>
                  <w:tcW w:w="15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NI</w:t>
                  </w:r>
                </w:p>
              </w:tc>
              <w:tc>
                <w:tcPr>
                  <w:tcW w:w="1418"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NI</w:t>
                  </w:r>
                </w:p>
              </w:tc>
            </w:tr>
            <w:tr>
              <w:tblPrEx>
                <w:tblCellMar>
                  <w:top w:w="0" w:type="dxa"/>
                  <w:left w:w="108" w:type="dxa"/>
                  <w:bottom w:w="0" w:type="dxa"/>
                  <w:right w:w="108" w:type="dxa"/>
                </w:tblCellMar>
              </w:tblPrEx>
              <w:trPr>
                <w:trHeight w:val="1" w:hRule="atLeast"/>
              </w:trPr>
              <w:tc>
                <w:tcPr>
                  <w:tcW w:w="1815"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color w:val="000000"/>
                      <w:sz w:val="18"/>
                      <w:szCs w:val="18"/>
                      <w:lang w:eastAsia="en-GB"/>
                    </w:rPr>
                  </w:pPr>
                  <w:r>
                    <w:rPr>
                      <w:rFonts w:ascii="Arial" w:hAnsi="Arial" w:eastAsia="Times New Roman" w:cs="Arial"/>
                      <w:color w:val="000000"/>
                      <w:sz w:val="18"/>
                      <w:szCs w:val="18"/>
                      <w:lang w:eastAsia="en-GB"/>
                    </w:rPr>
                    <w:t>Dimie Ogoina</w:t>
                  </w:r>
                </w:p>
                <w:p>
                  <w:pPr>
                    <w:spacing w:after="0" w:line="240" w:lineRule="auto"/>
                    <w:jc w:val="both"/>
                    <w:rPr>
                      <w:rFonts w:ascii="Arial" w:hAnsi="Arial" w:eastAsia="Times New Roman" w:cs="Arial"/>
                      <w:sz w:val="18"/>
                      <w:szCs w:val="18"/>
                      <w:lang w:eastAsia="en-GB"/>
                    </w:rPr>
                  </w:pPr>
                </w:p>
              </w:tc>
              <w:tc>
                <w:tcPr>
                  <w:tcW w:w="172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2022/ Case investigation</w:t>
                  </w:r>
                </w:p>
              </w:tc>
              <w:tc>
                <w:tcPr>
                  <w:tcW w:w="1276"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Molecular Method</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1</w:t>
                  </w:r>
                </w:p>
              </w:tc>
              <w:tc>
                <w:tcPr>
                  <w:tcW w:w="851"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1</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34</w:t>
                  </w:r>
                </w:p>
              </w:tc>
              <w:tc>
                <w:tcPr>
                  <w:tcW w:w="70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34</w:t>
                  </w:r>
                </w:p>
              </w:tc>
              <w:tc>
                <w:tcPr>
                  <w:tcW w:w="70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1</w:t>
                  </w:r>
                </w:p>
              </w:tc>
              <w:tc>
                <w:tcPr>
                  <w:tcW w:w="850"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0</w:t>
                  </w:r>
                </w:p>
              </w:tc>
              <w:tc>
                <w:tcPr>
                  <w:tcW w:w="1276"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Nigeria</w:t>
                  </w:r>
                </w:p>
              </w:tc>
              <w:tc>
                <w:tcPr>
                  <w:tcW w:w="15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NI</w:t>
                  </w:r>
                </w:p>
              </w:tc>
              <w:tc>
                <w:tcPr>
                  <w:tcW w:w="1418"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NI</w:t>
                  </w:r>
                </w:p>
              </w:tc>
            </w:tr>
            <w:tr>
              <w:tblPrEx>
                <w:tblCellMar>
                  <w:top w:w="0" w:type="dxa"/>
                  <w:left w:w="108" w:type="dxa"/>
                  <w:bottom w:w="0" w:type="dxa"/>
                  <w:right w:w="108" w:type="dxa"/>
                </w:tblCellMar>
              </w:tblPrEx>
              <w:trPr>
                <w:trHeight w:val="1" w:hRule="atLeast"/>
              </w:trPr>
              <w:tc>
                <w:tcPr>
                  <w:tcW w:w="1815"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color w:val="000000"/>
                      <w:sz w:val="18"/>
                      <w:szCs w:val="18"/>
                      <w:lang w:eastAsia="en-GB"/>
                    </w:rPr>
                  </w:pPr>
                  <w:r>
                    <w:rPr>
                      <w:rFonts w:ascii="Arial" w:hAnsi="Arial" w:eastAsia="Times New Roman" w:cs="Arial"/>
                      <w:color w:val="000000"/>
                      <w:sz w:val="18"/>
                      <w:szCs w:val="18"/>
                      <w:lang w:eastAsia="en-GB"/>
                    </w:rPr>
                    <w:t>Womi-Eteng Eteng,</w:t>
                  </w:r>
                </w:p>
                <w:p>
                  <w:pPr>
                    <w:spacing w:after="0" w:line="240" w:lineRule="auto"/>
                    <w:jc w:val="both"/>
                    <w:rPr>
                      <w:rFonts w:ascii="Arial" w:hAnsi="Arial" w:eastAsia="Times New Roman" w:cs="Arial"/>
                      <w:sz w:val="18"/>
                      <w:szCs w:val="18"/>
                      <w:lang w:eastAsia="en-GB"/>
                    </w:rPr>
                  </w:pPr>
                </w:p>
              </w:tc>
              <w:tc>
                <w:tcPr>
                  <w:tcW w:w="172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2018/ Outbreak investigation</w:t>
                  </w:r>
                </w:p>
              </w:tc>
              <w:tc>
                <w:tcPr>
                  <w:tcW w:w="1276"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Molecular Method, Serology.</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1</w:t>
                  </w:r>
                </w:p>
              </w:tc>
              <w:tc>
                <w:tcPr>
                  <w:tcW w:w="851"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0</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NI</w:t>
                  </w:r>
                </w:p>
              </w:tc>
              <w:tc>
                <w:tcPr>
                  <w:tcW w:w="70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NI</w:t>
                  </w:r>
                </w:p>
              </w:tc>
              <w:tc>
                <w:tcPr>
                  <w:tcW w:w="70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NI</w:t>
                  </w:r>
                </w:p>
              </w:tc>
              <w:tc>
                <w:tcPr>
                  <w:tcW w:w="850"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NI</w:t>
                  </w:r>
                </w:p>
              </w:tc>
              <w:tc>
                <w:tcPr>
                  <w:tcW w:w="1276"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Nigeria</w:t>
                  </w:r>
                </w:p>
              </w:tc>
              <w:tc>
                <w:tcPr>
                  <w:tcW w:w="15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NI</w:t>
                  </w:r>
                </w:p>
              </w:tc>
              <w:tc>
                <w:tcPr>
                  <w:tcW w:w="1418"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NI</w:t>
                  </w:r>
                </w:p>
              </w:tc>
            </w:tr>
            <w:tr>
              <w:tblPrEx>
                <w:tblCellMar>
                  <w:top w:w="0" w:type="dxa"/>
                  <w:left w:w="108" w:type="dxa"/>
                  <w:bottom w:w="0" w:type="dxa"/>
                  <w:right w:w="108" w:type="dxa"/>
                </w:tblCellMar>
              </w:tblPrEx>
              <w:trPr>
                <w:trHeight w:val="1" w:hRule="atLeast"/>
              </w:trPr>
              <w:tc>
                <w:tcPr>
                  <w:tcW w:w="1815"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color w:val="000000"/>
                      <w:sz w:val="18"/>
                      <w:szCs w:val="18"/>
                      <w:lang w:eastAsia="en-GB"/>
                    </w:rPr>
                  </w:pPr>
                  <w:r>
                    <w:rPr>
                      <w:rFonts w:ascii="Arial" w:hAnsi="Arial" w:eastAsia="Times New Roman" w:cs="Arial"/>
                      <w:color w:val="000000"/>
                      <w:sz w:val="18"/>
                      <w:szCs w:val="18"/>
                      <w:lang w:eastAsia="en-GB"/>
                    </w:rPr>
                    <w:t>Emmanuel Pembi</w:t>
                  </w:r>
                </w:p>
                <w:p>
                  <w:pPr>
                    <w:spacing w:after="0" w:line="240" w:lineRule="auto"/>
                    <w:jc w:val="both"/>
                    <w:rPr>
                      <w:rFonts w:ascii="Arial" w:hAnsi="Arial" w:eastAsia="Times New Roman" w:cs="Arial"/>
                      <w:sz w:val="18"/>
                      <w:szCs w:val="18"/>
                      <w:lang w:eastAsia="en-GB"/>
                    </w:rPr>
                  </w:pPr>
                </w:p>
              </w:tc>
              <w:tc>
                <w:tcPr>
                  <w:tcW w:w="172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2022/ Case investigation</w:t>
                  </w:r>
                </w:p>
              </w:tc>
              <w:tc>
                <w:tcPr>
                  <w:tcW w:w="1276"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Molecular Method</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1</w:t>
                  </w:r>
                </w:p>
              </w:tc>
              <w:tc>
                <w:tcPr>
                  <w:tcW w:w="851"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0</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30</w:t>
                  </w:r>
                </w:p>
              </w:tc>
              <w:tc>
                <w:tcPr>
                  <w:tcW w:w="70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30</w:t>
                  </w:r>
                </w:p>
              </w:tc>
              <w:tc>
                <w:tcPr>
                  <w:tcW w:w="70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1</w:t>
                  </w:r>
                </w:p>
              </w:tc>
              <w:tc>
                <w:tcPr>
                  <w:tcW w:w="850"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0</w:t>
                  </w:r>
                </w:p>
              </w:tc>
              <w:tc>
                <w:tcPr>
                  <w:tcW w:w="1276"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Nigeria</w:t>
                  </w:r>
                </w:p>
              </w:tc>
              <w:tc>
                <w:tcPr>
                  <w:tcW w:w="15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NI</w:t>
                  </w:r>
                </w:p>
              </w:tc>
              <w:tc>
                <w:tcPr>
                  <w:tcW w:w="1418"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NI</w:t>
                  </w:r>
                </w:p>
              </w:tc>
            </w:tr>
            <w:tr>
              <w:tblPrEx>
                <w:tblCellMar>
                  <w:top w:w="0" w:type="dxa"/>
                  <w:left w:w="108" w:type="dxa"/>
                  <w:bottom w:w="0" w:type="dxa"/>
                  <w:right w:w="108" w:type="dxa"/>
                </w:tblCellMar>
              </w:tblPrEx>
              <w:trPr>
                <w:trHeight w:val="1" w:hRule="atLeast"/>
              </w:trPr>
              <w:tc>
                <w:tcPr>
                  <w:tcW w:w="1815"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color w:val="000000"/>
                      <w:sz w:val="18"/>
                      <w:szCs w:val="18"/>
                      <w:lang w:eastAsia="en-GB"/>
                    </w:rPr>
                  </w:pPr>
                  <w:r>
                    <w:rPr>
                      <w:rFonts w:ascii="Arial" w:hAnsi="Arial" w:eastAsia="Times New Roman" w:cs="Arial"/>
                      <w:color w:val="000000"/>
                      <w:sz w:val="18"/>
                      <w:szCs w:val="18"/>
                      <w:lang w:eastAsia="en-GB"/>
                    </w:rPr>
                    <w:t>Dimie Ogoina</w:t>
                  </w:r>
                </w:p>
                <w:p>
                  <w:pPr>
                    <w:spacing w:after="0" w:line="240" w:lineRule="auto"/>
                    <w:jc w:val="both"/>
                    <w:rPr>
                      <w:rFonts w:ascii="Arial" w:hAnsi="Arial" w:eastAsia="Times New Roman" w:cs="Arial"/>
                      <w:sz w:val="18"/>
                      <w:szCs w:val="18"/>
                      <w:lang w:eastAsia="en-GB"/>
                    </w:rPr>
                  </w:pPr>
                </w:p>
              </w:tc>
              <w:tc>
                <w:tcPr>
                  <w:tcW w:w="172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2022/ Case investigation</w:t>
                  </w:r>
                </w:p>
              </w:tc>
              <w:tc>
                <w:tcPr>
                  <w:tcW w:w="1276"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Molecular Method, Serology</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1</w:t>
                  </w:r>
                </w:p>
              </w:tc>
              <w:tc>
                <w:tcPr>
                  <w:tcW w:w="851"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0</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NI</w:t>
                  </w:r>
                </w:p>
              </w:tc>
              <w:tc>
                <w:tcPr>
                  <w:tcW w:w="70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NI</w:t>
                  </w:r>
                </w:p>
              </w:tc>
              <w:tc>
                <w:tcPr>
                  <w:tcW w:w="70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NI</w:t>
                  </w:r>
                </w:p>
              </w:tc>
              <w:tc>
                <w:tcPr>
                  <w:tcW w:w="850"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NI</w:t>
                  </w:r>
                </w:p>
              </w:tc>
              <w:tc>
                <w:tcPr>
                  <w:tcW w:w="1276"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Nigeria</w:t>
                  </w:r>
                </w:p>
              </w:tc>
              <w:tc>
                <w:tcPr>
                  <w:tcW w:w="15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NI</w:t>
                  </w:r>
                </w:p>
              </w:tc>
              <w:tc>
                <w:tcPr>
                  <w:tcW w:w="1418"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NI</w:t>
                  </w:r>
                </w:p>
              </w:tc>
            </w:tr>
            <w:tr>
              <w:tblPrEx>
                <w:tblCellMar>
                  <w:top w:w="0" w:type="dxa"/>
                  <w:left w:w="108" w:type="dxa"/>
                  <w:bottom w:w="0" w:type="dxa"/>
                  <w:right w:w="108" w:type="dxa"/>
                </w:tblCellMar>
              </w:tblPrEx>
              <w:trPr>
                <w:trHeight w:val="1" w:hRule="atLeast"/>
              </w:trPr>
              <w:tc>
                <w:tcPr>
                  <w:tcW w:w="1815"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color w:val="000000"/>
                      <w:sz w:val="18"/>
                      <w:szCs w:val="18"/>
                      <w:lang w:eastAsia="en-GB"/>
                    </w:rPr>
                  </w:pPr>
                  <w:r>
                    <w:rPr>
                      <w:rFonts w:ascii="Arial" w:hAnsi="Arial" w:eastAsia="Times New Roman" w:cs="Arial"/>
                      <w:color w:val="000000"/>
                      <w:sz w:val="18"/>
                      <w:szCs w:val="18"/>
                      <w:lang w:eastAsia="en-GB"/>
                    </w:rPr>
                    <w:t>Barry Atkinson</w:t>
                  </w:r>
                </w:p>
                <w:p>
                  <w:pPr>
                    <w:spacing w:after="0" w:line="240" w:lineRule="auto"/>
                    <w:jc w:val="both"/>
                    <w:rPr>
                      <w:rFonts w:ascii="Arial" w:hAnsi="Arial" w:eastAsia="Times New Roman" w:cs="Arial"/>
                      <w:sz w:val="18"/>
                      <w:szCs w:val="18"/>
                      <w:lang w:eastAsia="en-GB"/>
                    </w:rPr>
                  </w:pPr>
                </w:p>
              </w:tc>
              <w:tc>
                <w:tcPr>
                  <w:tcW w:w="172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2022/ Case investigation</w:t>
                  </w:r>
                </w:p>
              </w:tc>
              <w:tc>
                <w:tcPr>
                  <w:tcW w:w="1276"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Molecular Method, Serology.</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1</w:t>
                  </w:r>
                </w:p>
              </w:tc>
              <w:tc>
                <w:tcPr>
                  <w:tcW w:w="851"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0</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40</w:t>
                  </w:r>
                </w:p>
              </w:tc>
              <w:tc>
                <w:tcPr>
                  <w:tcW w:w="70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40</w:t>
                  </w:r>
                </w:p>
              </w:tc>
              <w:tc>
                <w:tcPr>
                  <w:tcW w:w="70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NI</w:t>
                  </w:r>
                </w:p>
              </w:tc>
              <w:tc>
                <w:tcPr>
                  <w:tcW w:w="850"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NI</w:t>
                  </w:r>
                </w:p>
              </w:tc>
              <w:tc>
                <w:tcPr>
                  <w:tcW w:w="1276"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UK</w:t>
                  </w:r>
                </w:p>
              </w:tc>
              <w:tc>
                <w:tcPr>
                  <w:tcW w:w="15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NI</w:t>
                  </w:r>
                </w:p>
              </w:tc>
              <w:tc>
                <w:tcPr>
                  <w:tcW w:w="1418"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NI</w:t>
                  </w:r>
                </w:p>
              </w:tc>
            </w:tr>
            <w:tr>
              <w:tblPrEx>
                <w:tblCellMar>
                  <w:top w:w="0" w:type="dxa"/>
                  <w:left w:w="108" w:type="dxa"/>
                  <w:bottom w:w="0" w:type="dxa"/>
                  <w:right w:w="108" w:type="dxa"/>
                </w:tblCellMar>
              </w:tblPrEx>
              <w:trPr>
                <w:trHeight w:val="1" w:hRule="atLeast"/>
              </w:trPr>
              <w:tc>
                <w:tcPr>
                  <w:tcW w:w="1815"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color w:val="000000"/>
                      <w:sz w:val="18"/>
                      <w:szCs w:val="18"/>
                      <w:lang w:eastAsia="en-GB"/>
                    </w:rPr>
                    <w:t>Echekwebe</w:t>
                  </w:r>
                </w:p>
              </w:tc>
              <w:tc>
                <w:tcPr>
                  <w:tcW w:w="172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2020/ Case investigation</w:t>
                  </w:r>
                </w:p>
              </w:tc>
              <w:tc>
                <w:tcPr>
                  <w:tcW w:w="1276"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Molecular method</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4</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4</w:t>
                  </w:r>
                </w:p>
              </w:tc>
              <w:tc>
                <w:tcPr>
                  <w:tcW w:w="851"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0</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20-32</w:t>
                  </w:r>
                </w:p>
              </w:tc>
              <w:tc>
                <w:tcPr>
                  <w:tcW w:w="70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28</w:t>
                  </w:r>
                </w:p>
              </w:tc>
              <w:tc>
                <w:tcPr>
                  <w:tcW w:w="70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3</w:t>
                  </w:r>
                </w:p>
              </w:tc>
              <w:tc>
                <w:tcPr>
                  <w:tcW w:w="1276"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Benue, Nigeria</w:t>
                  </w:r>
                </w:p>
              </w:tc>
              <w:tc>
                <w:tcPr>
                  <w:tcW w:w="15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NI</w:t>
                  </w:r>
                </w:p>
              </w:tc>
              <w:tc>
                <w:tcPr>
                  <w:tcW w:w="1418"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HIV</w:t>
                  </w:r>
                </w:p>
              </w:tc>
            </w:tr>
            <w:tr>
              <w:tblPrEx>
                <w:tblCellMar>
                  <w:top w:w="0" w:type="dxa"/>
                  <w:left w:w="108" w:type="dxa"/>
                  <w:bottom w:w="0" w:type="dxa"/>
                  <w:right w:w="108" w:type="dxa"/>
                </w:tblCellMar>
              </w:tblPrEx>
              <w:trPr>
                <w:trHeight w:val="1" w:hRule="atLeast"/>
              </w:trPr>
              <w:tc>
                <w:tcPr>
                  <w:tcW w:w="1815"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color w:val="000000"/>
                      <w:sz w:val="18"/>
                      <w:szCs w:val="18"/>
                      <w:lang w:eastAsia="en-GB"/>
                    </w:rPr>
                    <w:t>Okonkon Ita Ita</w:t>
                  </w:r>
                </w:p>
              </w:tc>
              <w:tc>
                <w:tcPr>
                  <w:tcW w:w="172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2019/ Laboratory study</w:t>
                  </w:r>
                </w:p>
              </w:tc>
              <w:tc>
                <w:tcPr>
                  <w:tcW w:w="1276"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i/>
                      <w:sz w:val="18"/>
                      <w:szCs w:val="18"/>
                      <w:lang w:eastAsia="en-GB"/>
                    </w:rPr>
                  </w:pPr>
                  <w:r>
                    <w:rPr>
                      <w:rFonts w:ascii="Arial" w:hAnsi="Arial" w:eastAsia="Times New Roman" w:cs="Arial"/>
                      <w:sz w:val="18"/>
                      <w:szCs w:val="18"/>
                      <w:lang w:eastAsia="en-GB"/>
                    </w:rPr>
                    <w:t>NI</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15</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6</w:t>
                  </w:r>
                </w:p>
              </w:tc>
              <w:tc>
                <w:tcPr>
                  <w:tcW w:w="851"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0</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0-59</w:t>
                  </w:r>
                </w:p>
              </w:tc>
              <w:tc>
                <w:tcPr>
                  <w:tcW w:w="70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NI</w:t>
                  </w:r>
                </w:p>
              </w:tc>
              <w:tc>
                <w:tcPr>
                  <w:tcW w:w="70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8</w:t>
                  </w:r>
                </w:p>
              </w:tc>
              <w:tc>
                <w:tcPr>
                  <w:tcW w:w="850"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7</w:t>
                  </w:r>
                </w:p>
              </w:tc>
              <w:tc>
                <w:tcPr>
                  <w:tcW w:w="1276"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Akwa Ibom,</w:t>
                  </w:r>
                </w:p>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Nigeria</w:t>
                  </w:r>
                </w:p>
              </w:tc>
              <w:tc>
                <w:tcPr>
                  <w:tcW w:w="15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Bush meat, Rodent, Direct contact, sex</w:t>
                  </w:r>
                </w:p>
              </w:tc>
              <w:tc>
                <w:tcPr>
                  <w:tcW w:w="1418"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NI</w:t>
                  </w:r>
                </w:p>
              </w:tc>
            </w:tr>
            <w:tr>
              <w:tblPrEx>
                <w:tblCellMar>
                  <w:top w:w="0" w:type="dxa"/>
                  <w:left w:w="108" w:type="dxa"/>
                  <w:bottom w:w="0" w:type="dxa"/>
                  <w:right w:w="108" w:type="dxa"/>
                </w:tblCellMar>
              </w:tblPrEx>
              <w:trPr>
                <w:trHeight w:val="1" w:hRule="atLeast"/>
              </w:trPr>
              <w:tc>
                <w:tcPr>
                  <w:tcW w:w="1815"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color w:val="000000"/>
                      <w:sz w:val="18"/>
                      <w:szCs w:val="18"/>
                      <w:lang w:eastAsia="en-GB"/>
                    </w:rPr>
                    <w:t>Solomon Chieloka</w:t>
                  </w:r>
                </w:p>
              </w:tc>
              <w:tc>
                <w:tcPr>
                  <w:tcW w:w="172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2019/ Outbreak investigation</w:t>
                  </w:r>
                </w:p>
              </w:tc>
              <w:tc>
                <w:tcPr>
                  <w:tcW w:w="1276"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NI</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0</w:t>
                  </w:r>
                </w:p>
              </w:tc>
              <w:tc>
                <w:tcPr>
                  <w:tcW w:w="851"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0</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NI</w:t>
                  </w:r>
                </w:p>
              </w:tc>
              <w:tc>
                <w:tcPr>
                  <w:tcW w:w="70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25</w:t>
                  </w:r>
                </w:p>
              </w:tc>
              <w:tc>
                <w:tcPr>
                  <w:tcW w:w="70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NI</w:t>
                  </w:r>
                </w:p>
              </w:tc>
              <w:tc>
                <w:tcPr>
                  <w:tcW w:w="850"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NI</w:t>
                  </w:r>
                </w:p>
              </w:tc>
              <w:tc>
                <w:tcPr>
                  <w:tcW w:w="1276"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Akwa Ibom, Nigeria</w:t>
                  </w:r>
                </w:p>
              </w:tc>
              <w:tc>
                <w:tcPr>
                  <w:tcW w:w="15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Bush meat consumption</w:t>
                  </w:r>
                </w:p>
              </w:tc>
              <w:tc>
                <w:tcPr>
                  <w:tcW w:w="1418"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NI</w:t>
                  </w:r>
                </w:p>
              </w:tc>
            </w:tr>
            <w:tr>
              <w:tblPrEx>
                <w:tblCellMar>
                  <w:top w:w="0" w:type="dxa"/>
                  <w:left w:w="108" w:type="dxa"/>
                  <w:bottom w:w="0" w:type="dxa"/>
                  <w:right w:w="108" w:type="dxa"/>
                </w:tblCellMar>
              </w:tblPrEx>
              <w:trPr>
                <w:trHeight w:val="1" w:hRule="atLeast"/>
              </w:trPr>
              <w:tc>
                <w:tcPr>
                  <w:tcW w:w="1815"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color w:val="000000"/>
                      <w:sz w:val="18"/>
                      <w:szCs w:val="18"/>
                      <w:lang w:eastAsia="en-GB"/>
                    </w:rPr>
                  </w:pPr>
                  <w:r>
                    <w:rPr>
                      <w:rFonts w:ascii="Arial" w:hAnsi="Arial" w:eastAsia="Times New Roman" w:cs="Arial"/>
                      <w:color w:val="000000"/>
                      <w:sz w:val="18"/>
                      <w:szCs w:val="18"/>
                      <w:lang w:eastAsia="en-GB"/>
                    </w:rPr>
                    <w:t>Ibegu</w:t>
                  </w:r>
                </w:p>
              </w:tc>
              <w:tc>
                <w:tcPr>
                  <w:tcW w:w="172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 xml:space="preserve">2020/ </w:t>
                  </w:r>
                  <w:r>
                    <w:rPr>
                      <w:rFonts w:ascii="Arial" w:hAnsi="Arial" w:eastAsia="Times New Roman" w:cs="Arial"/>
                      <w:color w:val="000000"/>
                      <w:sz w:val="18"/>
                      <w:szCs w:val="18"/>
                      <w:lang w:eastAsia="en-GB"/>
                    </w:rPr>
                    <w:t>Laboratory study</w:t>
                  </w:r>
                </w:p>
              </w:tc>
              <w:tc>
                <w:tcPr>
                  <w:tcW w:w="1276"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Molecular method</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30</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11</w:t>
                  </w:r>
                </w:p>
              </w:tc>
              <w:tc>
                <w:tcPr>
                  <w:tcW w:w="851"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0</w:t>
                  </w:r>
                </w:p>
              </w:tc>
              <w:tc>
                <w:tcPr>
                  <w:tcW w:w="708"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1-43</w:t>
                  </w:r>
                </w:p>
              </w:tc>
              <w:tc>
                <w:tcPr>
                  <w:tcW w:w="70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31</w:t>
                  </w:r>
                </w:p>
              </w:tc>
              <w:tc>
                <w:tcPr>
                  <w:tcW w:w="70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20</w:t>
                  </w:r>
                </w:p>
              </w:tc>
              <w:tc>
                <w:tcPr>
                  <w:tcW w:w="850"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10</w:t>
                  </w:r>
                </w:p>
              </w:tc>
              <w:tc>
                <w:tcPr>
                  <w:tcW w:w="1276"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NI</w:t>
                  </w:r>
                </w:p>
              </w:tc>
              <w:tc>
                <w:tcPr>
                  <w:tcW w:w="15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NI</w:t>
                  </w:r>
                </w:p>
              </w:tc>
              <w:tc>
                <w:tcPr>
                  <w:tcW w:w="1418"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pPr>
                    <w:spacing w:after="0" w:line="24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NI</w:t>
                  </w:r>
                </w:p>
              </w:tc>
            </w:tr>
          </w:tbl>
          <w:p>
            <w:pPr>
              <w:pStyle w:val="4"/>
              <w:spacing w:before="40" w:after="40"/>
              <w:rPr>
                <w:rFonts w:ascii="Arial" w:hAnsi="Arial" w:cs="Arial"/>
                <w:sz w:val="18"/>
                <w:szCs w:val="18"/>
              </w:rPr>
            </w:pPr>
            <w:r>
              <w:rPr>
                <w:rFonts w:ascii="Arial" w:hAnsi="Arial" w:cs="Arial"/>
                <w:sz w:val="18"/>
                <w:szCs w:val="18"/>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316" w:type="dxa"/>
            <w:tcBorders>
              <w:top w:val="single" w:color="000000" w:sz="4" w:space="0"/>
              <w:left w:val="single" w:color="000000" w:sz="4" w:space="0"/>
              <w:bottom w:val="single" w:color="000000" w:sz="4" w:space="0"/>
              <w:right w:val="single" w:color="000000" w:sz="4" w:space="0"/>
            </w:tcBorders>
          </w:tcPr>
          <w:p>
            <w:pPr>
              <w:pStyle w:val="4"/>
              <w:spacing w:before="40" w:after="40"/>
              <w:rPr>
                <w:rFonts w:ascii="Arial" w:hAnsi="Arial" w:cs="Arial"/>
                <w:sz w:val="18"/>
                <w:szCs w:val="18"/>
              </w:rPr>
            </w:pPr>
            <w:r>
              <w:rPr>
                <w:rFonts w:ascii="Arial" w:hAnsi="Arial" w:cs="Arial"/>
                <w:sz w:val="18"/>
                <w:szCs w:val="18"/>
              </w:rPr>
              <w:t xml:space="preserve">Risk of bias in studies </w:t>
            </w:r>
          </w:p>
        </w:tc>
        <w:tc>
          <w:tcPr>
            <w:tcW w:w="610" w:type="dxa"/>
            <w:tcBorders>
              <w:top w:val="single" w:color="000000" w:sz="4" w:space="0"/>
              <w:left w:val="single" w:color="000000" w:sz="4" w:space="0"/>
              <w:bottom w:val="single" w:color="000000" w:sz="4" w:space="0"/>
              <w:right w:val="single" w:color="000000" w:sz="4" w:space="0"/>
            </w:tcBorders>
          </w:tcPr>
          <w:p>
            <w:pPr>
              <w:pStyle w:val="4"/>
              <w:spacing w:before="40" w:after="40"/>
              <w:jc w:val="right"/>
              <w:rPr>
                <w:rFonts w:ascii="Arial" w:hAnsi="Arial" w:cs="Arial"/>
                <w:sz w:val="18"/>
                <w:szCs w:val="18"/>
              </w:rPr>
            </w:pPr>
            <w:r>
              <w:rPr>
                <w:rFonts w:ascii="Arial" w:hAnsi="Arial" w:cs="Arial"/>
                <w:sz w:val="18"/>
                <w:szCs w:val="18"/>
              </w:rPr>
              <w:t>18</w:t>
            </w:r>
          </w:p>
        </w:tc>
        <w:tc>
          <w:tcPr>
            <w:tcW w:w="12251" w:type="dxa"/>
            <w:tcBorders>
              <w:top w:val="single" w:color="000000" w:sz="4" w:space="0"/>
              <w:left w:val="single" w:color="000000" w:sz="4" w:space="0"/>
              <w:bottom w:val="single" w:color="000000" w:sz="4" w:space="0"/>
              <w:right w:val="single" w:color="000000" w:sz="4" w:space="0"/>
            </w:tcBorders>
          </w:tcPr>
          <w:tbl>
            <w:tblPr>
              <w:tblStyle w:val="6"/>
              <w:tblpPr w:leftFromText="180" w:rightFromText="180" w:vertAnchor="text" w:horzAnchor="margin" w:tblpXSpec="center" w:tblpY="521"/>
              <w:tblW w:w="9923" w:type="dxa"/>
              <w:tblInd w:w="0" w:type="dxa"/>
              <w:tblLayout w:type="fixed"/>
              <w:tblCellMar>
                <w:top w:w="0" w:type="dxa"/>
                <w:left w:w="108" w:type="dxa"/>
                <w:bottom w:w="0" w:type="dxa"/>
                <w:right w:w="108" w:type="dxa"/>
              </w:tblCellMar>
            </w:tblPr>
            <w:tblGrid>
              <w:gridCol w:w="2126"/>
              <w:gridCol w:w="1418"/>
              <w:gridCol w:w="992"/>
              <w:gridCol w:w="992"/>
              <w:gridCol w:w="1134"/>
              <w:gridCol w:w="1134"/>
              <w:gridCol w:w="1134"/>
              <w:gridCol w:w="993"/>
            </w:tblGrid>
            <w:tr>
              <w:tblPrEx>
                <w:tblCellMar>
                  <w:top w:w="0" w:type="dxa"/>
                  <w:left w:w="108" w:type="dxa"/>
                  <w:bottom w:w="0" w:type="dxa"/>
                  <w:right w:w="108" w:type="dxa"/>
                </w:tblCellMar>
              </w:tblPrEx>
              <w:trPr>
                <w:cantSplit/>
              </w:trPr>
              <w:tc>
                <w:tcPr>
                  <w:tcW w:w="2126"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b/>
                      <w:sz w:val="18"/>
                      <w:szCs w:val="18"/>
                      <w:lang w:eastAsia="en-GB"/>
                    </w:rPr>
                  </w:pPr>
                  <w:r>
                    <w:rPr>
                      <w:rFonts w:ascii="Arial" w:hAnsi="Arial" w:eastAsia="Times New Roman" w:cs="Arial"/>
                      <w:b/>
                      <w:color w:val="000000"/>
                      <w:sz w:val="18"/>
                      <w:szCs w:val="18"/>
                      <w:lang w:eastAsia="en-GB"/>
                    </w:rPr>
                    <w:t>First author and year of publication</w:t>
                  </w:r>
                </w:p>
              </w:tc>
              <w:tc>
                <w:tcPr>
                  <w:tcW w:w="1418"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ind w:left="-108" w:right="-108"/>
                    <w:jc w:val="both"/>
                    <w:rPr>
                      <w:rFonts w:ascii="Arial" w:hAnsi="Arial" w:eastAsia="Times New Roman" w:cs="Arial"/>
                      <w:b/>
                      <w:sz w:val="18"/>
                      <w:szCs w:val="18"/>
                      <w:lang w:eastAsia="en-GB"/>
                    </w:rPr>
                  </w:pPr>
                  <w:r>
                    <w:rPr>
                      <w:rFonts w:ascii="Arial" w:hAnsi="Arial" w:eastAsia="Times New Roman" w:cs="Arial"/>
                      <w:b/>
                      <w:color w:val="000000"/>
                      <w:sz w:val="18"/>
                      <w:szCs w:val="18"/>
                      <w:lang w:eastAsia="en-GB"/>
                    </w:rPr>
                    <w:t>Population under consideration</w:t>
                  </w:r>
                </w:p>
              </w:tc>
              <w:tc>
                <w:tcPr>
                  <w:tcW w:w="992"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ind w:left="-108" w:right="-108"/>
                    <w:jc w:val="both"/>
                    <w:rPr>
                      <w:rFonts w:ascii="Arial" w:hAnsi="Arial" w:eastAsia="Times New Roman" w:cs="Arial"/>
                      <w:b/>
                      <w:sz w:val="18"/>
                      <w:szCs w:val="18"/>
                      <w:lang w:eastAsia="en-GB"/>
                    </w:rPr>
                  </w:pPr>
                  <w:r>
                    <w:rPr>
                      <w:rFonts w:ascii="Arial" w:hAnsi="Arial" w:eastAsia="Times New Roman" w:cs="Arial"/>
                      <w:b/>
                      <w:color w:val="000000"/>
                      <w:sz w:val="18"/>
                      <w:szCs w:val="18"/>
                      <w:lang w:eastAsia="en-GB"/>
                    </w:rPr>
                    <w:t>Sample size adequacy</w:t>
                  </w:r>
                </w:p>
              </w:tc>
              <w:tc>
                <w:tcPr>
                  <w:tcW w:w="992"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ind w:left="-53" w:right="-108"/>
                    <w:jc w:val="both"/>
                    <w:rPr>
                      <w:rFonts w:ascii="Arial" w:hAnsi="Arial" w:eastAsia="Times New Roman" w:cs="Arial"/>
                      <w:b/>
                      <w:sz w:val="18"/>
                      <w:szCs w:val="18"/>
                      <w:lang w:eastAsia="en-GB"/>
                    </w:rPr>
                  </w:pPr>
                  <w:r>
                    <w:rPr>
                      <w:rFonts w:ascii="Arial" w:hAnsi="Arial" w:eastAsia="Times New Roman" w:cs="Arial"/>
                      <w:b/>
                      <w:color w:val="000000"/>
                      <w:sz w:val="18"/>
                      <w:szCs w:val="18"/>
                      <w:lang w:eastAsia="en-GB"/>
                    </w:rPr>
                    <w:t>Subject and setting</w:t>
                  </w:r>
                </w:p>
              </w:tc>
              <w:tc>
                <w:tcPr>
                  <w:tcW w:w="1134"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ind w:left="-60" w:right="-108"/>
                    <w:jc w:val="both"/>
                    <w:rPr>
                      <w:rFonts w:ascii="Arial" w:hAnsi="Arial" w:eastAsia="Times New Roman" w:cs="Arial"/>
                      <w:b/>
                      <w:sz w:val="18"/>
                      <w:szCs w:val="18"/>
                      <w:lang w:eastAsia="en-GB"/>
                    </w:rPr>
                  </w:pPr>
                  <w:r>
                    <w:rPr>
                      <w:rFonts w:ascii="Arial" w:hAnsi="Arial" w:eastAsia="Times New Roman" w:cs="Arial"/>
                      <w:b/>
                      <w:color w:val="000000"/>
                      <w:sz w:val="18"/>
                      <w:szCs w:val="18"/>
                      <w:lang w:eastAsia="en-GB"/>
                    </w:rPr>
                    <w:t>Diagnostic tool deployed</w:t>
                  </w:r>
                </w:p>
              </w:tc>
              <w:tc>
                <w:tcPr>
                  <w:tcW w:w="1134"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ind w:left="-48" w:right="-108"/>
                    <w:jc w:val="both"/>
                    <w:rPr>
                      <w:rFonts w:ascii="Arial" w:hAnsi="Arial" w:eastAsia="Times New Roman" w:cs="Arial"/>
                      <w:b/>
                      <w:sz w:val="18"/>
                      <w:szCs w:val="18"/>
                      <w:lang w:eastAsia="en-GB"/>
                    </w:rPr>
                  </w:pPr>
                  <w:r>
                    <w:rPr>
                      <w:rFonts w:ascii="Arial" w:hAnsi="Arial" w:eastAsia="Times New Roman" w:cs="Arial"/>
                      <w:b/>
                      <w:color w:val="000000"/>
                      <w:sz w:val="18"/>
                      <w:szCs w:val="18"/>
                      <w:lang w:eastAsia="en-GB"/>
                    </w:rPr>
                    <w:t>Co-author accounted for</w:t>
                  </w:r>
                </w:p>
              </w:tc>
              <w:tc>
                <w:tcPr>
                  <w:tcW w:w="1134"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ind w:left="-122" w:right="-108"/>
                    <w:jc w:val="both"/>
                    <w:rPr>
                      <w:rFonts w:ascii="Arial" w:hAnsi="Arial" w:eastAsia="Times New Roman" w:cs="Arial"/>
                      <w:b/>
                      <w:sz w:val="18"/>
                      <w:szCs w:val="18"/>
                      <w:lang w:eastAsia="en-GB"/>
                    </w:rPr>
                  </w:pPr>
                  <w:r>
                    <w:rPr>
                      <w:rFonts w:ascii="Arial" w:hAnsi="Arial" w:eastAsia="Times New Roman" w:cs="Arial"/>
                      <w:b/>
                      <w:color w:val="000000"/>
                      <w:sz w:val="18"/>
                      <w:szCs w:val="18"/>
                      <w:lang w:eastAsia="en-GB"/>
                    </w:rPr>
                    <w:t>Subgroups identified</w:t>
                  </w:r>
                </w:p>
              </w:tc>
              <w:tc>
                <w:tcPr>
                  <w:tcW w:w="993"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ind w:left="-108"/>
                    <w:jc w:val="both"/>
                    <w:rPr>
                      <w:rFonts w:ascii="Arial" w:hAnsi="Arial" w:eastAsia="Times New Roman" w:cs="Arial"/>
                      <w:b/>
                      <w:color w:val="000000"/>
                      <w:sz w:val="18"/>
                      <w:szCs w:val="18"/>
                      <w:lang w:eastAsia="en-GB"/>
                    </w:rPr>
                  </w:pPr>
                  <w:r>
                    <w:rPr>
                      <w:rFonts w:ascii="Arial" w:hAnsi="Arial" w:eastAsia="Times New Roman" w:cs="Arial"/>
                      <w:b/>
                      <w:color w:val="000000"/>
                      <w:sz w:val="18"/>
                      <w:szCs w:val="18"/>
                      <w:lang w:eastAsia="en-GB"/>
                    </w:rPr>
                    <w:t>Quality</w:t>
                  </w:r>
                </w:p>
                <w:p>
                  <w:pPr>
                    <w:spacing w:after="0" w:line="360" w:lineRule="auto"/>
                    <w:ind w:left="113" w:right="113"/>
                    <w:jc w:val="both"/>
                    <w:rPr>
                      <w:rFonts w:ascii="Arial" w:hAnsi="Arial" w:eastAsia="Times New Roman" w:cs="Arial"/>
                      <w:b/>
                      <w:sz w:val="18"/>
                      <w:szCs w:val="18"/>
                      <w:lang w:eastAsia="en-GB"/>
                    </w:rPr>
                  </w:pPr>
                  <w:r>
                    <w:rPr>
                      <w:rFonts w:ascii="Arial" w:hAnsi="Arial" w:eastAsia="Times New Roman" w:cs="Arial"/>
                      <w:b/>
                      <w:color w:val="000000"/>
                      <w:sz w:val="18"/>
                      <w:szCs w:val="18"/>
                      <w:lang w:eastAsia="en-GB"/>
                    </w:rPr>
                    <w:t>items met</w:t>
                  </w:r>
                </w:p>
              </w:tc>
            </w:tr>
            <w:tr>
              <w:tblPrEx>
                <w:tblCellMar>
                  <w:top w:w="0" w:type="dxa"/>
                  <w:left w:w="108" w:type="dxa"/>
                  <w:bottom w:w="0" w:type="dxa"/>
                  <w:right w:w="108" w:type="dxa"/>
                </w:tblCellMar>
              </w:tblPrEx>
              <w:trPr>
                <w:trHeight w:val="1" w:hRule="atLeast"/>
              </w:trPr>
              <w:tc>
                <w:tcPr>
                  <w:tcW w:w="2126"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Yinka-Ogunleye, 2019</w:t>
                  </w:r>
                </w:p>
              </w:tc>
              <w:tc>
                <w:tcPr>
                  <w:tcW w:w="1418"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992"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992"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1134"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1134"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1134"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993"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6</w:t>
                  </w:r>
                </w:p>
              </w:tc>
            </w:tr>
            <w:tr>
              <w:tblPrEx>
                <w:tblCellMar>
                  <w:top w:w="0" w:type="dxa"/>
                  <w:left w:w="108" w:type="dxa"/>
                  <w:bottom w:w="0" w:type="dxa"/>
                  <w:right w:w="108" w:type="dxa"/>
                </w:tblCellMar>
              </w:tblPrEx>
              <w:trPr>
                <w:trHeight w:val="1" w:hRule="atLeast"/>
              </w:trPr>
              <w:tc>
                <w:tcPr>
                  <w:tcW w:w="2126"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Ogoina, 2020</w:t>
                  </w:r>
                </w:p>
              </w:tc>
              <w:tc>
                <w:tcPr>
                  <w:tcW w:w="1418"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992"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992"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1134"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no</w:t>
                  </w:r>
                </w:p>
              </w:tc>
              <w:tc>
                <w:tcPr>
                  <w:tcW w:w="1134"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1134"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993"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5</w:t>
                  </w:r>
                </w:p>
              </w:tc>
            </w:tr>
            <w:tr>
              <w:tblPrEx>
                <w:tblCellMar>
                  <w:top w:w="0" w:type="dxa"/>
                  <w:left w:w="108" w:type="dxa"/>
                  <w:bottom w:w="0" w:type="dxa"/>
                  <w:right w:w="108" w:type="dxa"/>
                </w:tblCellMar>
              </w:tblPrEx>
              <w:trPr>
                <w:trHeight w:val="1" w:hRule="atLeast"/>
              </w:trPr>
              <w:tc>
                <w:tcPr>
                  <w:tcW w:w="2126"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Erez, 2019</w:t>
                  </w:r>
                </w:p>
              </w:tc>
              <w:tc>
                <w:tcPr>
                  <w:tcW w:w="1418"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992"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no</w:t>
                  </w:r>
                </w:p>
              </w:tc>
              <w:tc>
                <w:tcPr>
                  <w:tcW w:w="992"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no</w:t>
                  </w:r>
                </w:p>
              </w:tc>
              <w:tc>
                <w:tcPr>
                  <w:tcW w:w="1134"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1134"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1134"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no</w:t>
                  </w:r>
                </w:p>
              </w:tc>
              <w:tc>
                <w:tcPr>
                  <w:tcW w:w="993"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3</w:t>
                  </w:r>
                </w:p>
              </w:tc>
            </w:tr>
            <w:tr>
              <w:tblPrEx>
                <w:tblCellMar>
                  <w:top w:w="0" w:type="dxa"/>
                  <w:left w:w="108" w:type="dxa"/>
                  <w:bottom w:w="0" w:type="dxa"/>
                  <w:right w:w="108" w:type="dxa"/>
                </w:tblCellMar>
              </w:tblPrEx>
              <w:trPr>
                <w:trHeight w:val="1" w:hRule="atLeast"/>
              </w:trPr>
              <w:tc>
                <w:tcPr>
                  <w:tcW w:w="2126"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Mauldin, 2022</w:t>
                  </w:r>
                </w:p>
              </w:tc>
              <w:tc>
                <w:tcPr>
                  <w:tcW w:w="1418"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992"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992"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1134"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1134"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1134"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993"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6</w:t>
                  </w:r>
                </w:p>
              </w:tc>
            </w:tr>
            <w:tr>
              <w:tblPrEx>
                <w:tblCellMar>
                  <w:top w:w="0" w:type="dxa"/>
                  <w:left w:w="108" w:type="dxa"/>
                  <w:bottom w:w="0" w:type="dxa"/>
                  <w:right w:w="108" w:type="dxa"/>
                </w:tblCellMar>
              </w:tblPrEx>
              <w:trPr>
                <w:trHeight w:val="1" w:hRule="atLeast"/>
              </w:trPr>
              <w:tc>
                <w:tcPr>
                  <w:tcW w:w="2126"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Yong, 2020</w:t>
                  </w:r>
                </w:p>
              </w:tc>
              <w:tc>
                <w:tcPr>
                  <w:tcW w:w="1418"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992"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no</w:t>
                  </w:r>
                </w:p>
              </w:tc>
              <w:tc>
                <w:tcPr>
                  <w:tcW w:w="992"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no</w:t>
                  </w:r>
                </w:p>
              </w:tc>
              <w:tc>
                <w:tcPr>
                  <w:tcW w:w="1134"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1134"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1134"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no</w:t>
                  </w:r>
                </w:p>
              </w:tc>
              <w:tc>
                <w:tcPr>
                  <w:tcW w:w="993"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3</w:t>
                  </w:r>
                </w:p>
              </w:tc>
            </w:tr>
            <w:tr>
              <w:tblPrEx>
                <w:tblCellMar>
                  <w:top w:w="0" w:type="dxa"/>
                  <w:left w:w="108" w:type="dxa"/>
                  <w:bottom w:w="0" w:type="dxa"/>
                  <w:right w:w="108" w:type="dxa"/>
                </w:tblCellMar>
              </w:tblPrEx>
              <w:trPr>
                <w:trHeight w:val="1" w:hRule="atLeast"/>
              </w:trPr>
              <w:tc>
                <w:tcPr>
                  <w:tcW w:w="2126"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Durski, 2018</w:t>
                  </w:r>
                </w:p>
              </w:tc>
              <w:tc>
                <w:tcPr>
                  <w:tcW w:w="1418"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992"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992"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1134"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no</w:t>
                  </w:r>
                </w:p>
              </w:tc>
              <w:tc>
                <w:tcPr>
                  <w:tcW w:w="1134"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1134"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no</w:t>
                  </w:r>
                </w:p>
              </w:tc>
              <w:tc>
                <w:tcPr>
                  <w:tcW w:w="993"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4</w:t>
                  </w:r>
                </w:p>
              </w:tc>
            </w:tr>
            <w:tr>
              <w:tblPrEx>
                <w:tblCellMar>
                  <w:top w:w="0" w:type="dxa"/>
                  <w:left w:w="108" w:type="dxa"/>
                  <w:bottom w:w="0" w:type="dxa"/>
                  <w:right w:w="108" w:type="dxa"/>
                </w:tblCellMar>
              </w:tblPrEx>
              <w:trPr>
                <w:trHeight w:val="1" w:hRule="atLeast"/>
              </w:trPr>
              <w:tc>
                <w:tcPr>
                  <w:tcW w:w="2126"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Rao, 2022</w:t>
                  </w:r>
                </w:p>
              </w:tc>
              <w:tc>
                <w:tcPr>
                  <w:tcW w:w="1418"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992"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no</w:t>
                  </w:r>
                </w:p>
              </w:tc>
              <w:tc>
                <w:tcPr>
                  <w:tcW w:w="992"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no</w:t>
                  </w:r>
                </w:p>
              </w:tc>
              <w:tc>
                <w:tcPr>
                  <w:tcW w:w="1134"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1134"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1134"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no</w:t>
                  </w:r>
                </w:p>
              </w:tc>
              <w:tc>
                <w:tcPr>
                  <w:tcW w:w="993"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3</w:t>
                  </w:r>
                </w:p>
              </w:tc>
            </w:tr>
            <w:tr>
              <w:tblPrEx>
                <w:tblCellMar>
                  <w:top w:w="0" w:type="dxa"/>
                  <w:left w:w="108" w:type="dxa"/>
                  <w:bottom w:w="0" w:type="dxa"/>
                  <w:right w:w="108" w:type="dxa"/>
                </w:tblCellMar>
              </w:tblPrEx>
              <w:trPr>
                <w:trHeight w:val="1" w:hRule="atLeast"/>
              </w:trPr>
              <w:tc>
                <w:tcPr>
                  <w:tcW w:w="2126"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Hobson, 2021</w:t>
                  </w:r>
                </w:p>
              </w:tc>
              <w:tc>
                <w:tcPr>
                  <w:tcW w:w="1418"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992"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no</w:t>
                  </w:r>
                </w:p>
              </w:tc>
              <w:tc>
                <w:tcPr>
                  <w:tcW w:w="992"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no</w:t>
                  </w:r>
                </w:p>
              </w:tc>
              <w:tc>
                <w:tcPr>
                  <w:tcW w:w="1134"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1134"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1134"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no</w:t>
                  </w:r>
                </w:p>
              </w:tc>
              <w:tc>
                <w:tcPr>
                  <w:tcW w:w="993"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3</w:t>
                  </w:r>
                </w:p>
              </w:tc>
            </w:tr>
            <w:tr>
              <w:tblPrEx>
                <w:tblCellMar>
                  <w:top w:w="0" w:type="dxa"/>
                  <w:left w:w="108" w:type="dxa"/>
                  <w:bottom w:w="0" w:type="dxa"/>
                  <w:right w:w="108" w:type="dxa"/>
                </w:tblCellMar>
              </w:tblPrEx>
              <w:trPr>
                <w:trHeight w:val="1" w:hRule="atLeast"/>
              </w:trPr>
              <w:tc>
                <w:tcPr>
                  <w:tcW w:w="2126"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Costello, 2022</w:t>
                  </w:r>
                </w:p>
              </w:tc>
              <w:tc>
                <w:tcPr>
                  <w:tcW w:w="1418"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992"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no</w:t>
                  </w:r>
                </w:p>
              </w:tc>
              <w:tc>
                <w:tcPr>
                  <w:tcW w:w="992"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no</w:t>
                  </w:r>
                </w:p>
              </w:tc>
              <w:tc>
                <w:tcPr>
                  <w:tcW w:w="1134"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1134"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1134"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no</w:t>
                  </w:r>
                </w:p>
              </w:tc>
              <w:tc>
                <w:tcPr>
                  <w:tcW w:w="993"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3</w:t>
                  </w:r>
                </w:p>
              </w:tc>
            </w:tr>
            <w:tr>
              <w:tblPrEx>
                <w:tblCellMar>
                  <w:top w:w="0" w:type="dxa"/>
                  <w:left w:w="108" w:type="dxa"/>
                  <w:bottom w:w="0" w:type="dxa"/>
                  <w:right w:w="108" w:type="dxa"/>
                </w:tblCellMar>
              </w:tblPrEx>
              <w:trPr>
                <w:trHeight w:val="1" w:hRule="atLeast"/>
              </w:trPr>
              <w:tc>
                <w:tcPr>
                  <w:tcW w:w="2126"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Vaughan, 2018</w:t>
                  </w:r>
                </w:p>
              </w:tc>
              <w:tc>
                <w:tcPr>
                  <w:tcW w:w="1418"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992"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no</w:t>
                  </w:r>
                </w:p>
              </w:tc>
              <w:tc>
                <w:tcPr>
                  <w:tcW w:w="992"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no</w:t>
                  </w:r>
                </w:p>
              </w:tc>
              <w:tc>
                <w:tcPr>
                  <w:tcW w:w="1134"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1134"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1134"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no</w:t>
                  </w:r>
                </w:p>
              </w:tc>
              <w:tc>
                <w:tcPr>
                  <w:tcW w:w="993"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3</w:t>
                  </w:r>
                </w:p>
              </w:tc>
            </w:tr>
            <w:tr>
              <w:tblPrEx>
                <w:tblCellMar>
                  <w:top w:w="0" w:type="dxa"/>
                  <w:left w:w="108" w:type="dxa"/>
                  <w:bottom w:w="0" w:type="dxa"/>
                  <w:right w:w="108" w:type="dxa"/>
                </w:tblCellMar>
              </w:tblPrEx>
              <w:tc>
                <w:tcPr>
                  <w:tcW w:w="2126"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Amao, 2022</w:t>
                  </w:r>
                </w:p>
              </w:tc>
              <w:tc>
                <w:tcPr>
                  <w:tcW w:w="1418"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992"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992"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1134"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no</w:t>
                  </w:r>
                </w:p>
              </w:tc>
              <w:tc>
                <w:tcPr>
                  <w:tcW w:w="1134"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1134"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no</w:t>
                  </w:r>
                </w:p>
              </w:tc>
              <w:tc>
                <w:tcPr>
                  <w:tcW w:w="993"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4</w:t>
                  </w:r>
                </w:p>
              </w:tc>
            </w:tr>
            <w:tr>
              <w:tblPrEx>
                <w:tblCellMar>
                  <w:top w:w="0" w:type="dxa"/>
                  <w:left w:w="108" w:type="dxa"/>
                  <w:bottom w:w="0" w:type="dxa"/>
                  <w:right w:w="108" w:type="dxa"/>
                </w:tblCellMar>
              </w:tblPrEx>
              <w:trPr>
                <w:trHeight w:val="1" w:hRule="atLeast"/>
              </w:trPr>
              <w:tc>
                <w:tcPr>
                  <w:tcW w:w="2126"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Ogoina, 2019</w:t>
                  </w:r>
                </w:p>
              </w:tc>
              <w:tc>
                <w:tcPr>
                  <w:tcW w:w="1418"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992"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992"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1134"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1134"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1134"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no</w:t>
                  </w:r>
                </w:p>
              </w:tc>
              <w:tc>
                <w:tcPr>
                  <w:tcW w:w="993"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5</w:t>
                  </w:r>
                </w:p>
              </w:tc>
            </w:tr>
            <w:tr>
              <w:tblPrEx>
                <w:tblCellMar>
                  <w:top w:w="0" w:type="dxa"/>
                  <w:left w:w="108" w:type="dxa"/>
                  <w:bottom w:w="0" w:type="dxa"/>
                  <w:right w:w="108" w:type="dxa"/>
                </w:tblCellMar>
              </w:tblPrEx>
              <w:trPr>
                <w:trHeight w:val="1" w:hRule="atLeast"/>
              </w:trPr>
              <w:tc>
                <w:tcPr>
                  <w:tcW w:w="2126"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Eseigbe, 2021</w:t>
                  </w:r>
                </w:p>
              </w:tc>
              <w:tc>
                <w:tcPr>
                  <w:tcW w:w="1418"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992"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no</w:t>
                  </w:r>
                </w:p>
              </w:tc>
              <w:tc>
                <w:tcPr>
                  <w:tcW w:w="992"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1134"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1134"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1134"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no</w:t>
                  </w:r>
                </w:p>
              </w:tc>
              <w:tc>
                <w:tcPr>
                  <w:tcW w:w="993"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4</w:t>
                  </w:r>
                </w:p>
              </w:tc>
            </w:tr>
            <w:tr>
              <w:tblPrEx>
                <w:tblCellMar>
                  <w:top w:w="0" w:type="dxa"/>
                  <w:left w:w="108" w:type="dxa"/>
                  <w:bottom w:w="0" w:type="dxa"/>
                  <w:right w:w="108" w:type="dxa"/>
                </w:tblCellMar>
              </w:tblPrEx>
              <w:trPr>
                <w:trHeight w:val="1" w:hRule="atLeast"/>
              </w:trPr>
              <w:tc>
                <w:tcPr>
                  <w:tcW w:w="2126"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Foster, 1972</w:t>
                  </w:r>
                </w:p>
              </w:tc>
              <w:tc>
                <w:tcPr>
                  <w:tcW w:w="1418"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992"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no</w:t>
                  </w:r>
                </w:p>
              </w:tc>
              <w:tc>
                <w:tcPr>
                  <w:tcW w:w="992"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1134"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1134"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1134"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no</w:t>
                  </w:r>
                </w:p>
              </w:tc>
              <w:tc>
                <w:tcPr>
                  <w:tcW w:w="993"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4</w:t>
                  </w:r>
                </w:p>
              </w:tc>
            </w:tr>
            <w:tr>
              <w:tblPrEx>
                <w:tblCellMar>
                  <w:top w:w="0" w:type="dxa"/>
                  <w:left w:w="108" w:type="dxa"/>
                  <w:bottom w:w="0" w:type="dxa"/>
                  <w:right w:w="108" w:type="dxa"/>
                </w:tblCellMar>
              </w:tblPrEx>
              <w:trPr>
                <w:trHeight w:val="1" w:hRule="atLeast"/>
              </w:trPr>
              <w:tc>
                <w:tcPr>
                  <w:tcW w:w="2126"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Ogoina, 2022</w:t>
                  </w:r>
                </w:p>
              </w:tc>
              <w:tc>
                <w:tcPr>
                  <w:tcW w:w="1418"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992"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no</w:t>
                  </w:r>
                </w:p>
              </w:tc>
              <w:tc>
                <w:tcPr>
                  <w:tcW w:w="992"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1134"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1134"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1134"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no</w:t>
                  </w:r>
                </w:p>
              </w:tc>
              <w:tc>
                <w:tcPr>
                  <w:tcW w:w="993"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4</w:t>
                  </w:r>
                </w:p>
              </w:tc>
            </w:tr>
            <w:tr>
              <w:tblPrEx>
                <w:tblCellMar>
                  <w:top w:w="0" w:type="dxa"/>
                  <w:left w:w="108" w:type="dxa"/>
                  <w:bottom w:w="0" w:type="dxa"/>
                  <w:right w:w="108" w:type="dxa"/>
                </w:tblCellMar>
              </w:tblPrEx>
              <w:trPr>
                <w:trHeight w:val="1" w:hRule="atLeast"/>
              </w:trPr>
              <w:tc>
                <w:tcPr>
                  <w:tcW w:w="2126"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Eteng, 2018</w:t>
                  </w:r>
                </w:p>
              </w:tc>
              <w:tc>
                <w:tcPr>
                  <w:tcW w:w="1418"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992"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No</w:t>
                  </w:r>
                </w:p>
              </w:tc>
              <w:tc>
                <w:tcPr>
                  <w:tcW w:w="992"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1134"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1134"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1134"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no</w:t>
                  </w:r>
                </w:p>
              </w:tc>
              <w:tc>
                <w:tcPr>
                  <w:tcW w:w="993"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4</w:t>
                  </w:r>
                </w:p>
              </w:tc>
            </w:tr>
            <w:tr>
              <w:tblPrEx>
                <w:tblCellMar>
                  <w:top w:w="0" w:type="dxa"/>
                  <w:left w:w="108" w:type="dxa"/>
                  <w:bottom w:w="0" w:type="dxa"/>
                  <w:right w:w="108" w:type="dxa"/>
                </w:tblCellMar>
              </w:tblPrEx>
              <w:trPr>
                <w:trHeight w:val="1" w:hRule="atLeast"/>
              </w:trPr>
              <w:tc>
                <w:tcPr>
                  <w:tcW w:w="2126"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Pembi, 2022</w:t>
                  </w:r>
                </w:p>
              </w:tc>
              <w:tc>
                <w:tcPr>
                  <w:tcW w:w="1418"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992"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No</w:t>
                  </w:r>
                </w:p>
              </w:tc>
              <w:tc>
                <w:tcPr>
                  <w:tcW w:w="992"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1134"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1134"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1134"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no</w:t>
                  </w:r>
                </w:p>
              </w:tc>
              <w:tc>
                <w:tcPr>
                  <w:tcW w:w="993"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4</w:t>
                  </w:r>
                </w:p>
              </w:tc>
            </w:tr>
            <w:tr>
              <w:tblPrEx>
                <w:tblCellMar>
                  <w:top w:w="0" w:type="dxa"/>
                  <w:left w:w="108" w:type="dxa"/>
                  <w:bottom w:w="0" w:type="dxa"/>
                  <w:right w:w="108" w:type="dxa"/>
                </w:tblCellMar>
              </w:tblPrEx>
              <w:trPr>
                <w:trHeight w:val="1" w:hRule="atLeast"/>
              </w:trPr>
              <w:tc>
                <w:tcPr>
                  <w:tcW w:w="2126"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Ogoina, 2022</w:t>
                  </w:r>
                </w:p>
              </w:tc>
              <w:tc>
                <w:tcPr>
                  <w:tcW w:w="1418"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992"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No</w:t>
                  </w:r>
                </w:p>
              </w:tc>
              <w:tc>
                <w:tcPr>
                  <w:tcW w:w="992"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1134"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1134"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1134"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no</w:t>
                  </w:r>
                </w:p>
              </w:tc>
              <w:tc>
                <w:tcPr>
                  <w:tcW w:w="993"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4</w:t>
                  </w:r>
                </w:p>
              </w:tc>
            </w:tr>
            <w:tr>
              <w:tblPrEx>
                <w:tblCellMar>
                  <w:top w:w="0" w:type="dxa"/>
                  <w:left w:w="108" w:type="dxa"/>
                  <w:bottom w:w="0" w:type="dxa"/>
                  <w:right w:w="108" w:type="dxa"/>
                </w:tblCellMar>
              </w:tblPrEx>
              <w:trPr>
                <w:trHeight w:val="1" w:hRule="atLeast"/>
              </w:trPr>
              <w:tc>
                <w:tcPr>
                  <w:tcW w:w="2126"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Akinson, 2022</w:t>
                  </w:r>
                </w:p>
              </w:tc>
              <w:tc>
                <w:tcPr>
                  <w:tcW w:w="1418"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992"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No</w:t>
                  </w:r>
                </w:p>
              </w:tc>
              <w:tc>
                <w:tcPr>
                  <w:tcW w:w="992"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no</w:t>
                  </w:r>
                </w:p>
              </w:tc>
              <w:tc>
                <w:tcPr>
                  <w:tcW w:w="1134"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1134"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1134"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no</w:t>
                  </w:r>
                </w:p>
              </w:tc>
              <w:tc>
                <w:tcPr>
                  <w:tcW w:w="993"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3</w:t>
                  </w:r>
                </w:p>
              </w:tc>
            </w:tr>
            <w:tr>
              <w:tblPrEx>
                <w:tblCellMar>
                  <w:top w:w="0" w:type="dxa"/>
                  <w:left w:w="108" w:type="dxa"/>
                  <w:bottom w:w="0" w:type="dxa"/>
                  <w:right w:w="108" w:type="dxa"/>
                </w:tblCellMar>
              </w:tblPrEx>
              <w:trPr>
                <w:trHeight w:val="1" w:hRule="atLeast"/>
              </w:trPr>
              <w:tc>
                <w:tcPr>
                  <w:tcW w:w="2126"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Echekwube, 2020</w:t>
                  </w:r>
                </w:p>
              </w:tc>
              <w:tc>
                <w:tcPr>
                  <w:tcW w:w="1418"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992"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992"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1134"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1134"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1134"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993"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6</w:t>
                  </w:r>
                </w:p>
              </w:tc>
            </w:tr>
            <w:tr>
              <w:tblPrEx>
                <w:tblCellMar>
                  <w:top w:w="0" w:type="dxa"/>
                  <w:left w:w="108" w:type="dxa"/>
                  <w:bottom w:w="0" w:type="dxa"/>
                  <w:right w:w="108" w:type="dxa"/>
                </w:tblCellMar>
              </w:tblPrEx>
              <w:trPr>
                <w:trHeight w:val="1" w:hRule="atLeast"/>
              </w:trPr>
              <w:tc>
                <w:tcPr>
                  <w:tcW w:w="2126"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Ita Ita, 2019</w:t>
                  </w:r>
                </w:p>
              </w:tc>
              <w:tc>
                <w:tcPr>
                  <w:tcW w:w="1418"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992"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992"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1134"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no</w:t>
                  </w:r>
                </w:p>
              </w:tc>
              <w:tc>
                <w:tcPr>
                  <w:tcW w:w="1134"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1134"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993"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5</w:t>
                  </w:r>
                </w:p>
              </w:tc>
            </w:tr>
            <w:tr>
              <w:tblPrEx>
                <w:tblCellMar>
                  <w:top w:w="0" w:type="dxa"/>
                  <w:left w:w="108" w:type="dxa"/>
                  <w:bottom w:w="0" w:type="dxa"/>
                  <w:right w:w="108" w:type="dxa"/>
                </w:tblCellMar>
              </w:tblPrEx>
              <w:trPr>
                <w:trHeight w:val="1" w:hRule="atLeast"/>
              </w:trPr>
              <w:tc>
                <w:tcPr>
                  <w:tcW w:w="2126"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Chieloka, 2019</w:t>
                  </w:r>
                </w:p>
              </w:tc>
              <w:tc>
                <w:tcPr>
                  <w:tcW w:w="1418"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992"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992"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1134"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no</w:t>
                  </w:r>
                </w:p>
              </w:tc>
              <w:tc>
                <w:tcPr>
                  <w:tcW w:w="1134"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1134"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no</w:t>
                  </w:r>
                </w:p>
              </w:tc>
              <w:tc>
                <w:tcPr>
                  <w:tcW w:w="993"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4</w:t>
                  </w:r>
                </w:p>
              </w:tc>
            </w:tr>
            <w:tr>
              <w:tblPrEx>
                <w:tblCellMar>
                  <w:top w:w="0" w:type="dxa"/>
                  <w:left w:w="108" w:type="dxa"/>
                  <w:bottom w:w="0" w:type="dxa"/>
                  <w:right w:w="108" w:type="dxa"/>
                </w:tblCellMar>
              </w:tblPrEx>
              <w:trPr>
                <w:trHeight w:val="1" w:hRule="atLeast"/>
              </w:trPr>
              <w:tc>
                <w:tcPr>
                  <w:tcW w:w="2126"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Ibegu, 2020</w:t>
                  </w:r>
                </w:p>
              </w:tc>
              <w:tc>
                <w:tcPr>
                  <w:tcW w:w="1418"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992"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992"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1134"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1134"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1134"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yes</w:t>
                  </w:r>
                </w:p>
              </w:tc>
              <w:tc>
                <w:tcPr>
                  <w:tcW w:w="993" w:type="dxa"/>
                  <w:tcBorders>
                    <w:top w:val="single" w:color="836967" w:sz="4" w:space="0"/>
                    <w:left w:val="single" w:color="836967" w:sz="4" w:space="0"/>
                    <w:bottom w:val="single" w:color="836967" w:sz="4" w:space="0"/>
                    <w:right w:val="single" w:color="836967" w:sz="4" w:space="0"/>
                  </w:tcBorders>
                  <w:shd w:val="clear" w:color="auto" w:fill="auto"/>
                  <w:tcMar>
                    <w:top w:w="0" w:type="dxa"/>
                    <w:left w:w="108" w:type="dxa"/>
                    <w:bottom w:w="0" w:type="dxa"/>
                    <w:right w:w="108" w:type="dxa"/>
                  </w:tcMar>
                </w:tcPr>
                <w:p>
                  <w:pPr>
                    <w:spacing w:after="0" w:line="360" w:lineRule="auto"/>
                    <w:jc w:val="both"/>
                    <w:rPr>
                      <w:rFonts w:ascii="Arial" w:hAnsi="Arial" w:eastAsia="Times New Roman" w:cs="Arial"/>
                      <w:sz w:val="18"/>
                      <w:szCs w:val="18"/>
                      <w:lang w:eastAsia="en-GB"/>
                    </w:rPr>
                  </w:pPr>
                  <w:r>
                    <w:rPr>
                      <w:rFonts w:ascii="Arial" w:hAnsi="Arial" w:eastAsia="Times New Roman" w:cs="Arial"/>
                      <w:sz w:val="18"/>
                      <w:szCs w:val="18"/>
                      <w:lang w:eastAsia="en-GB"/>
                    </w:rPr>
                    <w:t>6</w:t>
                  </w:r>
                </w:p>
              </w:tc>
            </w:tr>
          </w:tbl>
          <w:p>
            <w:pPr>
              <w:pStyle w:val="4"/>
              <w:spacing w:before="40" w:after="40"/>
              <w:rPr>
                <w:rFonts w:ascii="Arial" w:hAnsi="Arial" w:cs="Arial"/>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316" w:type="dxa"/>
            <w:tcBorders>
              <w:top w:val="single" w:color="000000" w:sz="4" w:space="0"/>
              <w:left w:val="single" w:color="000000" w:sz="4" w:space="0"/>
              <w:bottom w:val="single" w:color="000000" w:sz="4" w:space="0"/>
              <w:right w:val="single" w:color="000000" w:sz="4" w:space="0"/>
            </w:tcBorders>
          </w:tcPr>
          <w:p>
            <w:pPr>
              <w:pStyle w:val="4"/>
              <w:spacing w:before="40" w:after="40"/>
              <w:rPr>
                <w:rFonts w:ascii="Arial" w:hAnsi="Arial" w:cs="Arial"/>
                <w:sz w:val="18"/>
                <w:szCs w:val="18"/>
              </w:rPr>
            </w:pPr>
            <w:r>
              <w:rPr>
                <w:rFonts w:ascii="Arial" w:hAnsi="Arial" w:cs="Arial"/>
                <w:sz w:val="18"/>
                <w:szCs w:val="18"/>
              </w:rPr>
              <w:t xml:space="preserve">Results of individual studies </w:t>
            </w:r>
          </w:p>
        </w:tc>
        <w:tc>
          <w:tcPr>
            <w:tcW w:w="610" w:type="dxa"/>
            <w:tcBorders>
              <w:top w:val="single" w:color="000000" w:sz="4" w:space="0"/>
              <w:left w:val="single" w:color="000000" w:sz="4" w:space="0"/>
              <w:bottom w:val="single" w:color="000000" w:sz="4" w:space="0"/>
              <w:right w:val="single" w:color="000000" w:sz="4" w:space="0"/>
            </w:tcBorders>
          </w:tcPr>
          <w:p>
            <w:pPr>
              <w:pStyle w:val="4"/>
              <w:spacing w:before="40" w:after="40"/>
              <w:jc w:val="right"/>
              <w:rPr>
                <w:rFonts w:ascii="Arial" w:hAnsi="Arial" w:cs="Arial"/>
                <w:sz w:val="18"/>
                <w:szCs w:val="18"/>
              </w:rPr>
            </w:pPr>
            <w:r>
              <w:rPr>
                <w:rFonts w:ascii="Arial" w:hAnsi="Arial" w:cs="Arial"/>
                <w:sz w:val="18"/>
                <w:szCs w:val="18"/>
              </w:rPr>
              <w:t>19</w:t>
            </w:r>
          </w:p>
        </w:tc>
        <w:tc>
          <w:tcPr>
            <w:tcW w:w="12251" w:type="dxa"/>
            <w:tcBorders>
              <w:top w:val="single" w:color="000000" w:sz="4" w:space="0"/>
              <w:left w:val="single" w:color="000000" w:sz="4" w:space="0"/>
              <w:bottom w:val="single" w:color="000000" w:sz="4" w:space="0"/>
              <w:right w:val="single" w:color="000000" w:sz="4" w:space="0"/>
            </w:tcBorders>
          </w:tcPr>
          <w:p>
            <w:pPr>
              <w:pStyle w:val="4"/>
              <w:spacing w:before="40" w:after="40"/>
              <w:rPr>
                <w:rFonts w:ascii="Arial" w:hAnsi="Arial" w:cs="Arial"/>
                <w:sz w:val="18"/>
                <w:szCs w:val="18"/>
              </w:rPr>
            </w:pPr>
            <w:r>
              <w:rPr>
                <w:rFonts w:ascii="Arial" w:hAnsi="Arial" w:cs="Arial"/>
                <w:sz w:val="18"/>
                <w:szCs w:val="18"/>
              </w:rPr>
              <w:t>This is only applicable to the studies included in the meta-analysis</w:t>
            </w:r>
          </w:p>
          <w:p>
            <w:pPr>
              <w:pStyle w:val="4"/>
              <w:spacing w:before="40" w:after="40"/>
              <w:rPr>
                <w:rFonts w:ascii="Arial" w:hAnsi="Arial" w:cs="Arial"/>
                <w:sz w:val="18"/>
                <w:szCs w:val="18"/>
              </w:rPr>
            </w:pPr>
            <w:r>
              <w:rPr>
                <w:rFonts w:ascii="Times New Roman" w:hAnsi="Times New Roman" w:cs="Times New Roman"/>
                <w:lang w:val="en-GB"/>
              </w:rPr>
              <w:drawing>
                <wp:inline distT="0" distB="0" distL="0" distR="0">
                  <wp:extent cx="6024880" cy="2612390"/>
                  <wp:effectExtent l="19050" t="19050" r="13970" b="16510"/>
                  <wp:docPr id="34" name="Picture 34" descr="Original Suspected vs Confirmed MPXV Cases Forest 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Original Suspected vs Confirmed MPXV Cases Forest plo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6041378" cy="2619386"/>
                          </a:xfrm>
                          <a:prstGeom prst="rect">
                            <a:avLst/>
                          </a:prstGeom>
                          <a:noFill/>
                          <a:ln>
                            <a:solidFill>
                              <a:schemeClr val="tx1"/>
                            </a:solid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316" w:type="dxa"/>
            <w:vMerge w:val="restart"/>
            <w:tcBorders>
              <w:top w:val="single" w:color="000000" w:sz="4" w:space="0"/>
              <w:left w:val="single" w:color="000000" w:sz="4" w:space="0"/>
              <w:right w:val="single" w:color="000000" w:sz="4" w:space="0"/>
            </w:tcBorders>
          </w:tcPr>
          <w:p>
            <w:pPr>
              <w:pStyle w:val="4"/>
              <w:spacing w:before="40" w:after="40"/>
              <w:rPr>
                <w:rFonts w:ascii="Arial" w:hAnsi="Arial" w:cs="Arial"/>
                <w:sz w:val="18"/>
                <w:szCs w:val="18"/>
              </w:rPr>
            </w:pPr>
            <w:r>
              <w:rPr>
                <w:rFonts w:ascii="Arial" w:hAnsi="Arial" w:cs="Arial"/>
                <w:sz w:val="18"/>
                <w:szCs w:val="18"/>
              </w:rPr>
              <w:t>Results of syntheses</w:t>
            </w:r>
          </w:p>
        </w:tc>
        <w:tc>
          <w:tcPr>
            <w:tcW w:w="610" w:type="dxa"/>
            <w:tcBorders>
              <w:top w:val="single" w:color="000000" w:sz="4" w:space="0"/>
              <w:left w:val="single" w:color="000000" w:sz="4" w:space="0"/>
              <w:bottom w:val="single" w:color="000000" w:sz="4" w:space="0"/>
              <w:right w:val="single" w:color="000000" w:sz="4" w:space="0"/>
            </w:tcBorders>
          </w:tcPr>
          <w:p>
            <w:pPr>
              <w:pStyle w:val="4"/>
              <w:spacing w:before="40" w:after="40"/>
              <w:jc w:val="right"/>
              <w:rPr>
                <w:rFonts w:ascii="Arial" w:hAnsi="Arial" w:cs="Arial"/>
                <w:sz w:val="18"/>
                <w:szCs w:val="18"/>
              </w:rPr>
            </w:pPr>
            <w:r>
              <w:rPr>
                <w:rFonts w:ascii="Arial" w:hAnsi="Arial" w:cs="Arial"/>
                <w:sz w:val="18"/>
                <w:szCs w:val="18"/>
              </w:rPr>
              <w:t>20a</w:t>
            </w:r>
          </w:p>
        </w:tc>
        <w:tc>
          <w:tcPr>
            <w:tcW w:w="12251" w:type="dxa"/>
            <w:tcBorders>
              <w:top w:val="single" w:color="000000" w:sz="4" w:space="0"/>
              <w:left w:val="single" w:color="000000" w:sz="4" w:space="0"/>
              <w:bottom w:val="single" w:color="000000" w:sz="4" w:space="0"/>
              <w:right w:val="single" w:color="000000" w:sz="4" w:space="0"/>
            </w:tcBorders>
          </w:tcPr>
          <w:p>
            <w:pPr>
              <w:pStyle w:val="4"/>
              <w:spacing w:before="40" w:after="40"/>
              <w:rPr>
                <w:rFonts w:ascii="Arial" w:hAnsi="Arial" w:cs="Arial"/>
                <w:sz w:val="18"/>
                <w:szCs w:val="18"/>
              </w:rPr>
            </w:pPr>
            <w:r>
              <w:rPr>
                <w:rFonts w:ascii="Arial" w:hAnsi="Arial" w:cs="Arial"/>
                <w:sz w:val="18"/>
                <w:szCs w:val="18"/>
              </w:rPr>
              <w:t>This is already presented in item no 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 w:hRule="atLeast"/>
        </w:trPr>
        <w:tc>
          <w:tcPr>
            <w:tcW w:w="1316" w:type="dxa"/>
            <w:vMerge w:val="continue"/>
            <w:tcBorders>
              <w:left w:val="single" w:color="000000" w:sz="4" w:space="0"/>
              <w:right w:val="single" w:color="000000" w:sz="4" w:space="0"/>
            </w:tcBorders>
          </w:tcPr>
          <w:p>
            <w:pPr>
              <w:pStyle w:val="4"/>
              <w:spacing w:before="40" w:after="40"/>
              <w:rPr>
                <w:rFonts w:ascii="Arial" w:hAnsi="Arial" w:cs="Arial"/>
                <w:sz w:val="18"/>
                <w:szCs w:val="18"/>
              </w:rPr>
            </w:pPr>
          </w:p>
        </w:tc>
        <w:tc>
          <w:tcPr>
            <w:tcW w:w="610" w:type="dxa"/>
            <w:tcBorders>
              <w:top w:val="single" w:color="000000" w:sz="4" w:space="0"/>
              <w:left w:val="single" w:color="000000" w:sz="4" w:space="0"/>
              <w:bottom w:val="single" w:color="000000" w:sz="4" w:space="0"/>
              <w:right w:val="single" w:color="000000" w:sz="4" w:space="0"/>
            </w:tcBorders>
          </w:tcPr>
          <w:p>
            <w:pPr>
              <w:pStyle w:val="4"/>
              <w:spacing w:before="40" w:after="40"/>
              <w:jc w:val="right"/>
              <w:rPr>
                <w:rFonts w:ascii="Arial" w:hAnsi="Arial" w:cs="Arial"/>
                <w:sz w:val="18"/>
                <w:szCs w:val="18"/>
              </w:rPr>
            </w:pPr>
            <w:r>
              <w:rPr>
                <w:rFonts w:ascii="Arial" w:hAnsi="Arial" w:cs="Arial"/>
                <w:sz w:val="18"/>
                <w:szCs w:val="18"/>
              </w:rPr>
              <w:t>20b</w:t>
            </w:r>
          </w:p>
        </w:tc>
        <w:tc>
          <w:tcPr>
            <w:tcW w:w="12251" w:type="dxa"/>
            <w:tcBorders>
              <w:top w:val="single" w:color="000000" w:sz="4" w:space="0"/>
              <w:left w:val="single" w:color="000000" w:sz="4" w:space="0"/>
              <w:bottom w:val="single" w:color="000000" w:sz="4" w:space="0"/>
              <w:right w:val="single" w:color="000000" w:sz="4" w:space="0"/>
            </w:tcBorders>
          </w:tcPr>
          <w:p>
            <w:pPr>
              <w:pStyle w:val="4"/>
              <w:spacing w:before="40" w:after="40"/>
              <w:rPr>
                <w:rFonts w:ascii="Arial" w:hAnsi="Arial" w:cs="Arial"/>
                <w:sz w:val="18"/>
                <w:szCs w:val="18"/>
              </w:rPr>
            </w:pPr>
            <w:r>
              <w:rPr>
                <w:rFonts w:ascii="Times New Roman" w:hAnsi="Times New Roman" w:cs="Times New Roman"/>
                <w:lang w:val="en-GB"/>
              </w:rPr>
              <w:drawing>
                <wp:inline distT="0" distB="0" distL="0" distR="0">
                  <wp:extent cx="6024880" cy="2612390"/>
                  <wp:effectExtent l="19050" t="19050" r="13970" b="16510"/>
                  <wp:docPr id="6" name="Picture 6" descr="Original Suspected vs Confirmed MPXV Cases Forest 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Original Suspected vs Confirmed MPXV Cases Forest plo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6041378" cy="2619386"/>
                          </a:xfrm>
                          <a:prstGeom prst="rect">
                            <a:avLst/>
                          </a:prstGeom>
                          <a:noFill/>
                          <a:ln>
                            <a:solidFill>
                              <a:schemeClr val="tx1"/>
                            </a:solidFill>
                          </a:ln>
                        </pic:spPr>
                      </pic:pic>
                    </a:graphicData>
                  </a:graphic>
                </wp:inline>
              </w:drawing>
            </w:r>
          </w:p>
          <w:p>
            <w:pPr>
              <w:pStyle w:val="4"/>
              <w:spacing w:before="40" w:after="40"/>
              <w:rPr>
                <w:rFonts w:ascii="Arial" w:hAnsi="Arial" w:cs="Arial"/>
                <w:sz w:val="18"/>
                <w:szCs w:val="18"/>
              </w:rPr>
            </w:pPr>
          </w:p>
          <w:p>
            <w:pPr>
              <w:pStyle w:val="4"/>
              <w:spacing w:before="40" w:after="40"/>
              <w:rPr>
                <w:rFonts w:ascii="Arial" w:hAnsi="Arial" w:cs="Arial"/>
                <w:sz w:val="18"/>
                <w:szCs w:val="18"/>
              </w:rPr>
            </w:pPr>
            <w:r>
              <w:rPr>
                <w:rFonts w:ascii="Times New Roman" w:hAnsi="Times New Roman" w:cs="Times New Roman"/>
                <w:lang w:val="en-GB"/>
              </w:rPr>
              <w:drawing>
                <wp:inline distT="0" distB="0" distL="0" distR="0">
                  <wp:extent cx="5974715" cy="2489200"/>
                  <wp:effectExtent l="19050" t="19050" r="26035" b="25400"/>
                  <wp:docPr id="35" name="Picture 35" descr="Original Confirmed vs Fatal cases of MPXV Forest 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Original Confirmed vs Fatal cases of MPXV Forest plo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981040" cy="2492339"/>
                          </a:xfrm>
                          <a:prstGeom prst="rect">
                            <a:avLst/>
                          </a:prstGeom>
                          <a:noFill/>
                          <a:ln>
                            <a:solidFill>
                              <a:schemeClr val="tx1"/>
                            </a:solidFill>
                          </a:ln>
                        </pic:spPr>
                      </pic:pic>
                    </a:graphicData>
                  </a:graphic>
                </wp:inline>
              </w:drawing>
            </w:r>
          </w:p>
          <w:p>
            <w:pPr>
              <w:pStyle w:val="4"/>
              <w:spacing w:before="40" w:after="40"/>
              <w:rPr>
                <w:rFonts w:ascii="Arial" w:hAnsi="Arial" w:cs="Arial"/>
                <w:sz w:val="18"/>
                <w:szCs w:val="18"/>
              </w:rPr>
            </w:pPr>
            <w:r>
              <w:rPr>
                <w:rFonts w:ascii="Times New Roman" w:hAnsi="Times New Roman" w:cs="Times New Roman"/>
                <w:b/>
                <w:lang w:val="en-GB"/>
              </w:rPr>
              <w:drawing>
                <wp:inline distT="0" distB="0" distL="0" distR="0">
                  <wp:extent cx="5974715" cy="2407920"/>
                  <wp:effectExtent l="19050" t="19050" r="26035" b="11430"/>
                  <wp:docPr id="36" name="image4.png"/>
                  <wp:cNvGraphicFramePr/>
                  <a:graphic xmlns:a="http://schemas.openxmlformats.org/drawingml/2006/main">
                    <a:graphicData uri="http://schemas.openxmlformats.org/drawingml/2006/picture">
                      <pic:pic xmlns:pic="http://schemas.openxmlformats.org/drawingml/2006/picture">
                        <pic:nvPicPr>
                          <pic:cNvPr id="36" name="image4.png"/>
                          <pic:cNvPicPr preferRelativeResize="0"/>
                        </pic:nvPicPr>
                        <pic:blipFill>
                          <a:blip r:embed="rId9"/>
                          <a:srcRect/>
                          <a:stretch>
                            <a:fillRect/>
                          </a:stretch>
                        </pic:blipFill>
                        <pic:spPr>
                          <a:xfrm>
                            <a:off x="0" y="0"/>
                            <a:ext cx="6086881" cy="2453433"/>
                          </a:xfrm>
                          <a:prstGeom prst="rect">
                            <a:avLst/>
                          </a:prstGeom>
                          <a:ln>
                            <a:solidFill>
                              <a:schemeClr val="tx1"/>
                            </a:solidFill>
                          </a:ln>
                        </pic:spPr>
                      </pic:pic>
                    </a:graphicData>
                  </a:graphic>
                </wp:inline>
              </w:drawing>
            </w:r>
          </w:p>
          <w:p>
            <w:pPr>
              <w:pStyle w:val="4"/>
              <w:spacing w:before="40" w:after="40"/>
              <w:rPr>
                <w:rFonts w:ascii="Arial" w:hAnsi="Arial" w:cs="Arial"/>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316" w:type="dxa"/>
            <w:vMerge w:val="continue"/>
            <w:tcBorders>
              <w:left w:val="single" w:color="000000" w:sz="4" w:space="0"/>
              <w:right w:val="single" w:color="000000" w:sz="4" w:space="0"/>
            </w:tcBorders>
          </w:tcPr>
          <w:p>
            <w:pPr>
              <w:pStyle w:val="4"/>
              <w:spacing w:before="40" w:after="40"/>
              <w:rPr>
                <w:rFonts w:ascii="Arial" w:hAnsi="Arial" w:cs="Arial"/>
                <w:sz w:val="18"/>
                <w:szCs w:val="18"/>
              </w:rPr>
            </w:pPr>
          </w:p>
        </w:tc>
        <w:tc>
          <w:tcPr>
            <w:tcW w:w="610" w:type="dxa"/>
            <w:tcBorders>
              <w:top w:val="single" w:color="000000" w:sz="4" w:space="0"/>
              <w:left w:val="single" w:color="000000" w:sz="4" w:space="0"/>
              <w:bottom w:val="single" w:color="000000" w:sz="4" w:space="0"/>
              <w:right w:val="single" w:color="000000" w:sz="4" w:space="0"/>
            </w:tcBorders>
          </w:tcPr>
          <w:p>
            <w:pPr>
              <w:pStyle w:val="4"/>
              <w:spacing w:before="40" w:after="40"/>
              <w:jc w:val="right"/>
              <w:rPr>
                <w:rFonts w:ascii="Arial" w:hAnsi="Arial" w:cs="Arial"/>
                <w:sz w:val="18"/>
                <w:szCs w:val="18"/>
              </w:rPr>
            </w:pPr>
            <w:r>
              <w:rPr>
                <w:rFonts w:ascii="Arial" w:hAnsi="Arial" w:cs="Arial"/>
                <w:sz w:val="18"/>
                <w:szCs w:val="18"/>
              </w:rPr>
              <w:t>20c</w:t>
            </w:r>
          </w:p>
        </w:tc>
        <w:tc>
          <w:tcPr>
            <w:tcW w:w="12251" w:type="dxa"/>
            <w:tcBorders>
              <w:top w:val="single" w:color="000000" w:sz="4" w:space="0"/>
              <w:left w:val="single" w:color="000000" w:sz="4" w:space="0"/>
              <w:bottom w:val="single" w:color="000000" w:sz="4" w:space="0"/>
              <w:right w:val="single" w:color="000000" w:sz="4" w:space="0"/>
            </w:tcBorders>
          </w:tcPr>
          <w:p>
            <w:pPr>
              <w:pStyle w:val="4"/>
              <w:spacing w:before="40" w:after="40"/>
              <w:rPr>
                <w:rFonts w:ascii="Arial" w:hAnsi="Arial" w:cs="Arial"/>
                <w:sz w:val="18"/>
                <w:szCs w:val="18"/>
              </w:rPr>
            </w:pPr>
            <w:r>
              <w:rPr>
                <w:rFonts w:ascii="Arial" w:hAnsi="Arial" w:cs="Arial"/>
                <w:sz w:val="18"/>
                <w:szCs w:val="18"/>
              </w:rPr>
              <w:t>Not applicable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316" w:type="dxa"/>
            <w:vMerge w:val="continue"/>
            <w:tcBorders>
              <w:left w:val="single" w:color="000000" w:sz="4" w:space="0"/>
              <w:bottom w:val="single" w:color="000000" w:sz="4" w:space="0"/>
              <w:right w:val="single" w:color="000000" w:sz="4" w:space="0"/>
            </w:tcBorders>
          </w:tcPr>
          <w:p>
            <w:pPr>
              <w:pStyle w:val="4"/>
              <w:spacing w:before="40" w:after="40"/>
              <w:rPr>
                <w:rFonts w:ascii="Arial" w:hAnsi="Arial" w:cs="Arial"/>
                <w:sz w:val="18"/>
                <w:szCs w:val="18"/>
              </w:rPr>
            </w:pPr>
          </w:p>
        </w:tc>
        <w:tc>
          <w:tcPr>
            <w:tcW w:w="610" w:type="dxa"/>
            <w:tcBorders>
              <w:top w:val="single" w:color="000000" w:sz="4" w:space="0"/>
              <w:left w:val="single" w:color="000000" w:sz="4" w:space="0"/>
              <w:bottom w:val="single" w:color="000000" w:sz="4" w:space="0"/>
              <w:right w:val="single" w:color="000000" w:sz="4" w:space="0"/>
            </w:tcBorders>
          </w:tcPr>
          <w:p>
            <w:pPr>
              <w:pStyle w:val="4"/>
              <w:spacing w:before="40" w:after="40"/>
              <w:jc w:val="right"/>
              <w:rPr>
                <w:rFonts w:ascii="Arial" w:hAnsi="Arial" w:cs="Arial"/>
                <w:sz w:val="18"/>
                <w:szCs w:val="18"/>
              </w:rPr>
            </w:pPr>
            <w:r>
              <w:rPr>
                <w:rFonts w:ascii="Arial" w:hAnsi="Arial" w:cs="Arial"/>
                <w:sz w:val="18"/>
                <w:szCs w:val="18"/>
              </w:rPr>
              <w:t>20d</w:t>
            </w:r>
          </w:p>
        </w:tc>
        <w:tc>
          <w:tcPr>
            <w:tcW w:w="12251" w:type="dxa"/>
            <w:tcBorders>
              <w:top w:val="single" w:color="000000" w:sz="4" w:space="0"/>
              <w:left w:val="single" w:color="000000" w:sz="4" w:space="0"/>
              <w:bottom w:val="single" w:color="000000" w:sz="4" w:space="0"/>
              <w:right w:val="single" w:color="000000" w:sz="4" w:space="0"/>
            </w:tcBorders>
          </w:tcPr>
          <w:p>
            <w:pPr>
              <w:pStyle w:val="4"/>
              <w:spacing w:before="40" w:after="40"/>
              <w:rPr>
                <w:rFonts w:ascii="Arial" w:hAnsi="Arial" w:cs="Arial"/>
                <w:sz w:val="18"/>
                <w:szCs w:val="18"/>
              </w:rPr>
            </w:pPr>
            <w:r>
              <w:rPr>
                <w:rFonts w:ascii="Arial" w:hAnsi="Arial" w:cs="Arial"/>
                <w:sz w:val="18"/>
                <w:szCs w:val="18"/>
              </w:rPr>
              <w:t xml:space="preserve">Not applicable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316" w:type="dxa"/>
            <w:tcBorders>
              <w:top w:val="single" w:color="000000" w:sz="4" w:space="0"/>
              <w:left w:val="single" w:color="000000" w:sz="4" w:space="0"/>
              <w:bottom w:val="single" w:color="000000" w:sz="4" w:space="0"/>
              <w:right w:val="single" w:color="000000" w:sz="4" w:space="0"/>
            </w:tcBorders>
          </w:tcPr>
          <w:p>
            <w:pPr>
              <w:pStyle w:val="4"/>
              <w:spacing w:before="40" w:after="40"/>
              <w:rPr>
                <w:rFonts w:ascii="Arial" w:hAnsi="Arial" w:cs="Arial"/>
                <w:sz w:val="18"/>
                <w:szCs w:val="18"/>
              </w:rPr>
            </w:pPr>
            <w:r>
              <w:rPr>
                <w:rFonts w:ascii="Arial" w:hAnsi="Arial" w:cs="Arial"/>
                <w:sz w:val="18"/>
                <w:szCs w:val="18"/>
              </w:rPr>
              <w:t>Reporting biases</w:t>
            </w:r>
          </w:p>
        </w:tc>
        <w:tc>
          <w:tcPr>
            <w:tcW w:w="610" w:type="dxa"/>
            <w:tcBorders>
              <w:top w:val="single" w:color="000000" w:sz="4" w:space="0"/>
              <w:left w:val="single" w:color="000000" w:sz="4" w:space="0"/>
              <w:bottom w:val="single" w:color="000000" w:sz="4" w:space="0"/>
              <w:right w:val="single" w:color="000000" w:sz="4" w:space="0"/>
            </w:tcBorders>
          </w:tcPr>
          <w:p>
            <w:pPr>
              <w:pStyle w:val="4"/>
              <w:spacing w:before="40" w:after="40"/>
              <w:jc w:val="right"/>
              <w:rPr>
                <w:rFonts w:ascii="Arial" w:hAnsi="Arial" w:cs="Arial"/>
                <w:sz w:val="18"/>
                <w:szCs w:val="18"/>
              </w:rPr>
            </w:pPr>
            <w:r>
              <w:rPr>
                <w:rFonts w:ascii="Arial" w:hAnsi="Arial" w:cs="Arial"/>
                <w:sz w:val="18"/>
                <w:szCs w:val="18"/>
              </w:rPr>
              <w:t>21</w:t>
            </w:r>
          </w:p>
        </w:tc>
        <w:tc>
          <w:tcPr>
            <w:tcW w:w="12251" w:type="dxa"/>
            <w:tcBorders>
              <w:top w:val="single" w:color="000000" w:sz="4" w:space="0"/>
              <w:left w:val="single" w:color="000000" w:sz="4" w:space="0"/>
              <w:bottom w:val="single" w:color="000000" w:sz="4" w:space="0"/>
              <w:right w:val="single" w:color="000000" w:sz="4" w:space="0"/>
            </w:tcBorders>
          </w:tcPr>
          <w:p>
            <w:pPr>
              <w:pStyle w:val="4"/>
              <w:spacing w:before="40" w:after="40"/>
              <w:rPr>
                <w:rFonts w:ascii="Arial" w:hAnsi="Arial" w:cs="Arial"/>
                <w:sz w:val="18"/>
                <w:szCs w:val="18"/>
              </w:rPr>
            </w:pPr>
            <w:r>
              <w:rPr>
                <w:rFonts w:ascii="Arial" w:hAnsi="Arial" w:cs="Arial"/>
                <w:sz w:val="18"/>
                <w:szCs w:val="18"/>
              </w:rPr>
              <w:t xml:space="preserve">Not applicable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316" w:type="dxa"/>
            <w:tcBorders>
              <w:top w:val="single" w:color="000000" w:sz="4" w:space="0"/>
              <w:left w:val="single" w:color="000000" w:sz="4" w:space="0"/>
              <w:bottom w:val="single" w:color="000000" w:sz="4" w:space="0"/>
              <w:right w:val="single" w:color="000000" w:sz="4" w:space="0"/>
            </w:tcBorders>
          </w:tcPr>
          <w:p>
            <w:pPr>
              <w:pStyle w:val="4"/>
              <w:spacing w:before="40" w:after="40"/>
              <w:rPr>
                <w:rFonts w:ascii="Arial" w:hAnsi="Arial" w:cs="Arial"/>
                <w:sz w:val="18"/>
                <w:szCs w:val="18"/>
              </w:rPr>
            </w:pPr>
            <w:r>
              <w:rPr>
                <w:rFonts w:ascii="Arial" w:hAnsi="Arial" w:cs="Arial"/>
                <w:sz w:val="18"/>
                <w:szCs w:val="18"/>
              </w:rPr>
              <w:t xml:space="preserve">Certainty of evidence </w:t>
            </w:r>
          </w:p>
        </w:tc>
        <w:tc>
          <w:tcPr>
            <w:tcW w:w="610" w:type="dxa"/>
            <w:tcBorders>
              <w:top w:val="single" w:color="000000" w:sz="4" w:space="0"/>
              <w:left w:val="single" w:color="000000" w:sz="4" w:space="0"/>
              <w:bottom w:val="single" w:color="000000" w:sz="4" w:space="0"/>
              <w:right w:val="single" w:color="000000" w:sz="4" w:space="0"/>
            </w:tcBorders>
          </w:tcPr>
          <w:p>
            <w:pPr>
              <w:pStyle w:val="4"/>
              <w:spacing w:before="40" w:after="40"/>
              <w:jc w:val="right"/>
              <w:rPr>
                <w:rFonts w:ascii="Arial" w:hAnsi="Arial" w:cs="Arial"/>
                <w:sz w:val="18"/>
                <w:szCs w:val="18"/>
              </w:rPr>
            </w:pPr>
            <w:r>
              <w:rPr>
                <w:rFonts w:ascii="Arial" w:hAnsi="Arial" w:cs="Arial"/>
                <w:sz w:val="18"/>
                <w:szCs w:val="18"/>
              </w:rPr>
              <w:t>22</w:t>
            </w:r>
          </w:p>
        </w:tc>
        <w:tc>
          <w:tcPr>
            <w:tcW w:w="12251" w:type="dxa"/>
            <w:tcBorders>
              <w:top w:val="single" w:color="000000" w:sz="4" w:space="0"/>
              <w:left w:val="single" w:color="000000" w:sz="4" w:space="0"/>
              <w:bottom w:val="single" w:color="000000" w:sz="4" w:space="0"/>
              <w:right w:val="single" w:color="000000" w:sz="4" w:space="0"/>
            </w:tcBorders>
          </w:tcPr>
          <w:p>
            <w:pPr>
              <w:pStyle w:val="4"/>
              <w:spacing w:before="40" w:after="40"/>
              <w:rPr>
                <w:rFonts w:ascii="Arial" w:hAnsi="Arial" w:cs="Arial"/>
                <w:sz w:val="18"/>
                <w:szCs w:val="18"/>
              </w:rPr>
            </w:pPr>
            <w:r>
              <w:rPr>
                <w:rFonts w:ascii="Arial" w:hAnsi="Arial" w:cs="Arial"/>
                <w:sz w:val="18"/>
                <w:szCs w:val="18"/>
              </w:rPr>
              <w:t>Not applicable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177"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4"/>
              <w:rPr>
                <w:rFonts w:ascii="Arial" w:hAnsi="Arial" w:cs="Arial"/>
                <w:sz w:val="18"/>
                <w:szCs w:val="18"/>
              </w:rPr>
            </w:pPr>
            <w:r>
              <w:rPr>
                <w:rFonts w:ascii="Arial" w:hAnsi="Arial" w:cs="Arial"/>
                <w:b/>
                <w:bCs/>
                <w:sz w:val="18"/>
                <w:szCs w:val="18"/>
              </w:rPr>
              <w:t xml:space="preserve">DISCUSSION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316" w:type="dxa"/>
            <w:vMerge w:val="restart"/>
            <w:tcBorders>
              <w:top w:val="single" w:color="000000" w:sz="4" w:space="0"/>
              <w:left w:val="single" w:color="000000" w:sz="4" w:space="0"/>
              <w:right w:val="single" w:color="000000" w:sz="4" w:space="0"/>
            </w:tcBorders>
          </w:tcPr>
          <w:p>
            <w:pPr>
              <w:pStyle w:val="4"/>
              <w:spacing w:before="40" w:after="40"/>
              <w:rPr>
                <w:rFonts w:ascii="Arial" w:hAnsi="Arial" w:cs="Arial"/>
                <w:sz w:val="18"/>
                <w:szCs w:val="18"/>
              </w:rPr>
            </w:pPr>
            <w:r>
              <w:rPr>
                <w:rFonts w:ascii="Arial" w:hAnsi="Arial" w:cs="Arial"/>
                <w:sz w:val="18"/>
                <w:szCs w:val="18"/>
              </w:rPr>
              <w:t xml:space="preserve">Discussion </w:t>
            </w:r>
          </w:p>
        </w:tc>
        <w:tc>
          <w:tcPr>
            <w:tcW w:w="610" w:type="dxa"/>
            <w:tcBorders>
              <w:top w:val="single" w:color="000000" w:sz="4" w:space="0"/>
              <w:left w:val="single" w:color="000000" w:sz="4" w:space="0"/>
              <w:bottom w:val="single" w:color="000000" w:sz="4" w:space="0"/>
              <w:right w:val="single" w:color="000000" w:sz="4" w:space="0"/>
            </w:tcBorders>
          </w:tcPr>
          <w:p>
            <w:pPr>
              <w:pStyle w:val="4"/>
              <w:spacing w:before="40" w:after="40"/>
              <w:jc w:val="right"/>
              <w:rPr>
                <w:rFonts w:ascii="Arial" w:hAnsi="Arial" w:cs="Arial"/>
                <w:sz w:val="18"/>
                <w:szCs w:val="18"/>
              </w:rPr>
            </w:pPr>
            <w:r>
              <w:rPr>
                <w:rFonts w:ascii="Arial" w:hAnsi="Arial" w:cs="Arial"/>
                <w:sz w:val="18"/>
                <w:szCs w:val="18"/>
              </w:rPr>
              <w:t>23a</w:t>
            </w:r>
          </w:p>
        </w:tc>
        <w:tc>
          <w:tcPr>
            <w:tcW w:w="12251" w:type="dxa"/>
            <w:tcBorders>
              <w:top w:val="single" w:color="000000" w:sz="4" w:space="0"/>
              <w:left w:val="single" w:color="000000" w:sz="4" w:space="0"/>
              <w:bottom w:val="single" w:color="000000" w:sz="4" w:space="0"/>
              <w:right w:val="single" w:color="000000" w:sz="4" w:space="0"/>
            </w:tcBorders>
          </w:tcPr>
          <w:p>
            <w:pPr>
              <w:pStyle w:val="4"/>
              <w:spacing w:before="40" w:after="40"/>
              <w:rPr>
                <w:rFonts w:ascii="Arial" w:hAnsi="Arial" w:cs="Arial"/>
                <w:sz w:val="18"/>
                <w:szCs w:val="18"/>
              </w:rPr>
            </w:pPr>
            <w:r>
              <w:rPr>
                <w:rFonts w:ascii="Arial" w:hAnsi="Arial" w:cs="Arial"/>
                <w:sz w:val="18"/>
                <w:szCs w:val="18"/>
              </w:rPr>
              <w:t xml:space="preserve">The findings of this study showed that, over the five years under review, </w:t>
            </w:r>
            <w:r>
              <w:rPr>
                <w:rFonts w:hint="default" w:ascii="Arial" w:hAnsi="Arial" w:cs="Arial"/>
                <w:sz w:val="18"/>
                <w:szCs w:val="18"/>
                <w:lang w:val="en-US"/>
              </w:rPr>
              <w:t>32</w:t>
            </w:r>
            <w:r>
              <w:rPr>
                <w:rFonts w:ascii="Arial" w:hAnsi="Arial" w:cs="Arial"/>
                <w:sz w:val="18"/>
                <w:szCs w:val="18"/>
              </w:rPr>
              <w:t xml:space="preserve"> out of 36 states in Nigeria, including the Federal Capital Territory have reported at least a case of Mpox. Most of the cases of Mpox in Nigeria were from the southern part of the country. The results showed progressive spread from southern to the northern regions of the country. Further, positive association were identified between infection and poverty, lack of basic healthcare facilities as well as multiple heterosexual partners. These findings reiterate the need to strengthen and expand on the already existing efforts as well as establish robust multi-sectoral collaboration to </w:t>
            </w:r>
            <w:r>
              <w:rPr>
                <w:rFonts w:hint="default" w:ascii="Arial" w:hAnsi="Arial" w:cs="Arial"/>
                <w:sz w:val="18"/>
                <w:szCs w:val="18"/>
                <w:lang w:val="en-US"/>
              </w:rPr>
              <w:t xml:space="preserve">better </w:t>
            </w:r>
            <w:r>
              <w:rPr>
                <w:rFonts w:ascii="Arial" w:hAnsi="Arial" w:cs="Arial"/>
                <w:sz w:val="18"/>
                <w:szCs w:val="18"/>
              </w:rPr>
              <w:t>understand the dynamics of Mpox Nigeria.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316" w:type="dxa"/>
            <w:vMerge w:val="continue"/>
            <w:tcBorders>
              <w:left w:val="single" w:color="000000" w:sz="4" w:space="0"/>
              <w:right w:val="single" w:color="000000" w:sz="4" w:space="0"/>
            </w:tcBorders>
          </w:tcPr>
          <w:p>
            <w:pPr>
              <w:pStyle w:val="4"/>
              <w:spacing w:before="40" w:after="40"/>
              <w:rPr>
                <w:rFonts w:ascii="Arial" w:hAnsi="Arial" w:cs="Arial"/>
                <w:sz w:val="18"/>
                <w:szCs w:val="18"/>
              </w:rPr>
            </w:pPr>
          </w:p>
        </w:tc>
        <w:tc>
          <w:tcPr>
            <w:tcW w:w="610" w:type="dxa"/>
            <w:tcBorders>
              <w:top w:val="single" w:color="000000" w:sz="4" w:space="0"/>
              <w:left w:val="single" w:color="000000" w:sz="4" w:space="0"/>
              <w:bottom w:val="single" w:color="000000" w:sz="4" w:space="0"/>
              <w:right w:val="single" w:color="000000" w:sz="4" w:space="0"/>
            </w:tcBorders>
          </w:tcPr>
          <w:p>
            <w:pPr>
              <w:pStyle w:val="4"/>
              <w:spacing w:before="40" w:after="40"/>
              <w:jc w:val="right"/>
              <w:rPr>
                <w:rFonts w:ascii="Arial" w:hAnsi="Arial" w:cs="Arial"/>
                <w:sz w:val="18"/>
                <w:szCs w:val="18"/>
              </w:rPr>
            </w:pPr>
            <w:r>
              <w:rPr>
                <w:rFonts w:ascii="Arial" w:hAnsi="Arial" w:cs="Arial"/>
                <w:sz w:val="18"/>
                <w:szCs w:val="18"/>
              </w:rPr>
              <w:t>23b</w:t>
            </w:r>
          </w:p>
        </w:tc>
        <w:tc>
          <w:tcPr>
            <w:tcW w:w="12251" w:type="dxa"/>
            <w:tcBorders>
              <w:top w:val="single" w:color="000000" w:sz="4" w:space="0"/>
              <w:left w:val="single" w:color="000000" w:sz="4" w:space="0"/>
              <w:bottom w:val="single" w:color="000000" w:sz="4" w:space="0"/>
              <w:right w:val="single" w:color="000000" w:sz="4" w:space="0"/>
            </w:tcBorders>
          </w:tcPr>
          <w:p>
            <w:pPr>
              <w:pStyle w:val="4"/>
              <w:spacing w:before="40" w:after="40"/>
              <w:rPr>
                <w:rFonts w:hint="default" w:ascii="Arial" w:hAnsi="Arial" w:cs="Arial"/>
                <w:sz w:val="18"/>
                <w:szCs w:val="18"/>
                <w:lang w:val="en-US"/>
              </w:rPr>
            </w:pPr>
            <w:r>
              <w:rPr>
                <w:rFonts w:ascii="Arial" w:hAnsi="Arial" w:cs="Arial"/>
                <w:sz w:val="18"/>
                <w:szCs w:val="18"/>
              </w:rPr>
              <w:t xml:space="preserve">The </w:t>
            </w:r>
            <w:r>
              <w:rPr>
                <w:rFonts w:hint="default" w:ascii="Arial" w:hAnsi="Arial" w:cs="Arial"/>
                <w:sz w:val="18"/>
                <w:szCs w:val="18"/>
                <w:lang w:val="en-US"/>
              </w:rPr>
              <w:t>review</w:t>
            </w:r>
            <w:r>
              <w:rPr>
                <w:rFonts w:ascii="Arial" w:hAnsi="Arial" w:cs="Arial"/>
                <w:sz w:val="18"/>
                <w:szCs w:val="18"/>
              </w:rPr>
              <w:t xml:space="preserve"> could not use many </w:t>
            </w:r>
            <w:r>
              <w:rPr>
                <w:rFonts w:hint="default" w:ascii="Arial" w:hAnsi="Arial" w:cs="Arial"/>
                <w:sz w:val="18"/>
                <w:szCs w:val="18"/>
                <w:lang w:val="en-US"/>
              </w:rPr>
              <w:t>studies</w:t>
            </w:r>
            <w:r>
              <w:rPr>
                <w:rFonts w:ascii="Arial" w:hAnsi="Arial" w:cs="Arial"/>
                <w:sz w:val="18"/>
                <w:szCs w:val="18"/>
              </w:rPr>
              <w:t xml:space="preserve"> because majority of the assessed </w:t>
            </w:r>
            <w:r>
              <w:rPr>
                <w:rFonts w:hint="default" w:ascii="Arial" w:hAnsi="Arial" w:cs="Arial"/>
                <w:sz w:val="18"/>
                <w:szCs w:val="18"/>
                <w:lang w:val="en-US"/>
              </w:rPr>
              <w:t>publications</w:t>
            </w:r>
            <w:r>
              <w:rPr>
                <w:rFonts w:ascii="Arial" w:hAnsi="Arial" w:cs="Arial"/>
                <w:sz w:val="18"/>
                <w:szCs w:val="18"/>
              </w:rPr>
              <w:t xml:space="preserve"> d</w:t>
            </w:r>
            <w:r>
              <w:rPr>
                <w:rFonts w:hint="default" w:ascii="Arial" w:hAnsi="Arial" w:cs="Arial"/>
                <w:sz w:val="18"/>
                <w:szCs w:val="18"/>
                <w:lang w:val="en-US"/>
              </w:rPr>
              <w:t>id</w:t>
            </w:r>
            <w:r>
              <w:rPr>
                <w:rFonts w:ascii="Arial" w:hAnsi="Arial" w:cs="Arial"/>
                <w:sz w:val="18"/>
                <w:szCs w:val="18"/>
              </w:rPr>
              <w:t xml:space="preserve"> not meet the inclusion criteria. Also, only 12 out of the 23 included studies could be used for meta-analysis because of missing data. </w:t>
            </w:r>
            <w:r>
              <w:rPr>
                <w:rFonts w:hint="default" w:ascii="Arial" w:hAnsi="Arial" w:cs="Arial"/>
                <w:sz w:val="18"/>
                <w:szCs w:val="18"/>
                <w:lang w:val="en-US"/>
              </w:rPr>
              <w:t>Despite these limitations, our findings have provided valuable insights into the dynamics of Mpox in Nigeria.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316" w:type="dxa"/>
            <w:vMerge w:val="continue"/>
            <w:tcBorders>
              <w:left w:val="single" w:color="000000" w:sz="4" w:space="0"/>
              <w:right w:val="single" w:color="000000" w:sz="4" w:space="0"/>
            </w:tcBorders>
          </w:tcPr>
          <w:p>
            <w:pPr>
              <w:pStyle w:val="4"/>
              <w:spacing w:before="40" w:after="40"/>
              <w:rPr>
                <w:rFonts w:ascii="Arial" w:hAnsi="Arial" w:cs="Arial"/>
                <w:sz w:val="18"/>
                <w:szCs w:val="18"/>
              </w:rPr>
            </w:pPr>
          </w:p>
        </w:tc>
        <w:tc>
          <w:tcPr>
            <w:tcW w:w="610" w:type="dxa"/>
            <w:tcBorders>
              <w:top w:val="single" w:color="000000" w:sz="4" w:space="0"/>
              <w:left w:val="single" w:color="000000" w:sz="4" w:space="0"/>
              <w:bottom w:val="single" w:color="auto" w:sz="4" w:space="0"/>
              <w:right w:val="single" w:color="000000" w:sz="4" w:space="0"/>
            </w:tcBorders>
          </w:tcPr>
          <w:p>
            <w:pPr>
              <w:pStyle w:val="4"/>
              <w:spacing w:before="40" w:after="40"/>
              <w:jc w:val="right"/>
              <w:rPr>
                <w:rFonts w:ascii="Arial" w:hAnsi="Arial" w:cs="Arial"/>
                <w:sz w:val="18"/>
                <w:szCs w:val="18"/>
              </w:rPr>
            </w:pPr>
            <w:r>
              <w:rPr>
                <w:rFonts w:ascii="Arial" w:hAnsi="Arial" w:cs="Arial"/>
                <w:sz w:val="18"/>
                <w:szCs w:val="18"/>
              </w:rPr>
              <w:t>23c</w:t>
            </w:r>
          </w:p>
        </w:tc>
        <w:tc>
          <w:tcPr>
            <w:tcW w:w="12251" w:type="dxa"/>
            <w:tcBorders>
              <w:top w:val="single" w:color="000000" w:sz="4" w:space="0"/>
              <w:left w:val="single" w:color="000000" w:sz="4" w:space="0"/>
              <w:bottom w:val="single" w:color="000000" w:sz="4" w:space="0"/>
              <w:right w:val="single" w:color="000000" w:sz="4" w:space="0"/>
            </w:tcBorders>
          </w:tcPr>
          <w:p>
            <w:pPr>
              <w:pStyle w:val="4"/>
              <w:spacing w:before="40" w:after="40"/>
              <w:rPr>
                <w:rFonts w:hint="default" w:ascii="Arial" w:hAnsi="Arial" w:cs="Arial"/>
                <w:sz w:val="18"/>
                <w:szCs w:val="18"/>
                <w:lang w:val="en-US"/>
              </w:rPr>
            </w:pPr>
            <w:r>
              <w:rPr>
                <w:rFonts w:ascii="Arial" w:hAnsi="Arial" w:cs="Arial"/>
                <w:sz w:val="18"/>
                <w:szCs w:val="18"/>
              </w:rPr>
              <w:t>The review process does not have a major limitation</w:t>
            </w:r>
            <w:r>
              <w:rPr>
                <w:rFonts w:hint="default" w:ascii="Arial" w:hAnsi="Arial" w:cs="Arial"/>
                <w:sz w:val="18"/>
                <w:szCs w:val="18"/>
                <w:lang w:val="en-US"/>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316" w:type="dxa"/>
            <w:vMerge w:val="continue"/>
            <w:tcBorders>
              <w:left w:val="single" w:color="000000" w:sz="4" w:space="0"/>
              <w:bottom w:val="single" w:color="auto" w:sz="4" w:space="0"/>
              <w:right w:val="single" w:color="000000" w:sz="4" w:space="0"/>
            </w:tcBorders>
          </w:tcPr>
          <w:p>
            <w:pPr>
              <w:pStyle w:val="4"/>
              <w:spacing w:before="40" w:after="40"/>
              <w:rPr>
                <w:rFonts w:ascii="Arial" w:hAnsi="Arial" w:cs="Arial"/>
                <w:sz w:val="18"/>
                <w:szCs w:val="18"/>
              </w:rPr>
            </w:pPr>
          </w:p>
        </w:tc>
        <w:tc>
          <w:tcPr>
            <w:tcW w:w="610" w:type="dxa"/>
            <w:tcBorders>
              <w:top w:val="single" w:color="auto" w:sz="4" w:space="0"/>
              <w:left w:val="single" w:color="000000" w:sz="4" w:space="0"/>
              <w:bottom w:val="single" w:color="auto" w:sz="4" w:space="0"/>
              <w:right w:val="single" w:color="auto" w:sz="4" w:space="0"/>
            </w:tcBorders>
          </w:tcPr>
          <w:p>
            <w:pPr>
              <w:pStyle w:val="4"/>
              <w:spacing w:before="40" w:after="40"/>
              <w:jc w:val="right"/>
              <w:rPr>
                <w:rFonts w:ascii="Arial" w:hAnsi="Arial" w:cs="Arial"/>
                <w:sz w:val="18"/>
                <w:szCs w:val="18"/>
              </w:rPr>
            </w:pPr>
            <w:r>
              <w:rPr>
                <w:rFonts w:ascii="Arial" w:hAnsi="Arial" w:cs="Arial"/>
                <w:sz w:val="18"/>
                <w:szCs w:val="18"/>
              </w:rPr>
              <w:t>23d</w:t>
            </w:r>
          </w:p>
        </w:tc>
        <w:tc>
          <w:tcPr>
            <w:tcW w:w="12251" w:type="dxa"/>
            <w:tcBorders>
              <w:top w:val="single" w:color="000000" w:sz="4" w:space="0"/>
              <w:left w:val="single" w:color="auto" w:sz="4" w:space="0"/>
              <w:bottom w:val="double" w:color="000000" w:sz="4" w:space="0"/>
              <w:right w:val="single" w:color="000000" w:sz="4" w:space="0"/>
            </w:tcBorders>
          </w:tcPr>
          <w:p>
            <w:pPr>
              <w:pStyle w:val="4"/>
              <w:spacing w:before="40" w:after="40"/>
              <w:rPr>
                <w:rFonts w:hint="default" w:ascii="Arial" w:hAnsi="Arial" w:cs="Arial"/>
                <w:sz w:val="18"/>
                <w:szCs w:val="18"/>
                <w:lang w:val="en-US"/>
              </w:rPr>
            </w:pPr>
            <w:r>
              <w:rPr>
                <w:rFonts w:ascii="Arial" w:hAnsi="Arial" w:cs="Arial"/>
                <w:sz w:val="18"/>
                <w:szCs w:val="18"/>
              </w:rPr>
              <w:t xml:space="preserve">There is a tremendous gap in </w:t>
            </w:r>
            <w:r>
              <w:rPr>
                <w:rFonts w:hint="default" w:ascii="Arial" w:hAnsi="Arial" w:cs="Arial"/>
                <w:sz w:val="18"/>
                <w:szCs w:val="18"/>
                <w:lang w:val="en-US"/>
              </w:rPr>
              <w:t xml:space="preserve">the </w:t>
            </w:r>
            <w:r>
              <w:rPr>
                <w:rFonts w:ascii="Arial" w:hAnsi="Arial" w:cs="Arial"/>
                <w:sz w:val="18"/>
                <w:szCs w:val="18"/>
              </w:rPr>
              <w:t xml:space="preserve">knowledge on the current Mpox outbreak situation in Nigeria. </w:t>
            </w:r>
            <w:r>
              <w:rPr>
                <w:rFonts w:hint="default" w:ascii="Arial" w:hAnsi="Arial" w:cs="Arial"/>
                <w:sz w:val="18"/>
                <w:szCs w:val="18"/>
                <w:lang w:val="en-US"/>
              </w:rPr>
              <w:t>Thus</w:t>
            </w:r>
            <w:r>
              <w:rPr>
                <w:rFonts w:ascii="Arial" w:hAnsi="Arial" w:cs="Arial"/>
                <w:sz w:val="18"/>
                <w:szCs w:val="18"/>
              </w:rPr>
              <w:t xml:space="preserve">, understanding the dynamics of </w:t>
            </w:r>
            <w:r>
              <w:rPr>
                <w:rFonts w:hint="default" w:ascii="Arial" w:hAnsi="Arial" w:cs="Arial"/>
                <w:sz w:val="18"/>
                <w:szCs w:val="18"/>
                <w:lang w:val="en-US"/>
              </w:rPr>
              <w:t>Mpox</w:t>
            </w:r>
            <w:r>
              <w:rPr>
                <w:rFonts w:ascii="Arial" w:hAnsi="Arial" w:cs="Arial"/>
                <w:sz w:val="18"/>
                <w:szCs w:val="18"/>
              </w:rPr>
              <w:t xml:space="preserve"> will help in </w:t>
            </w:r>
            <w:r>
              <w:rPr>
                <w:rFonts w:hint="default" w:ascii="Arial" w:hAnsi="Arial" w:cs="Arial"/>
                <w:sz w:val="18"/>
                <w:szCs w:val="18"/>
                <w:lang w:val="en-US"/>
              </w:rPr>
              <w:t>mitigating</w:t>
            </w:r>
            <w:r>
              <w:rPr>
                <w:rFonts w:ascii="Arial" w:hAnsi="Arial" w:cs="Arial"/>
                <w:sz w:val="18"/>
                <w:szCs w:val="18"/>
              </w:rPr>
              <w:t xml:space="preserve"> </w:t>
            </w:r>
            <w:r>
              <w:rPr>
                <w:rFonts w:hint="default" w:ascii="Arial" w:hAnsi="Arial" w:cs="Arial"/>
                <w:sz w:val="18"/>
                <w:szCs w:val="18"/>
                <w:lang w:val="en-US"/>
              </w:rPr>
              <w:t xml:space="preserve">future occurrence of the disease as well as </w:t>
            </w:r>
            <w:r>
              <w:rPr>
                <w:rFonts w:ascii="Arial" w:hAnsi="Arial" w:cs="Arial"/>
                <w:sz w:val="18"/>
                <w:szCs w:val="18"/>
              </w:rPr>
              <w:t xml:space="preserve">other emerging/re-emerging infectious disease emergencies in Nigeria and other countries with similar socio-cultural and ecological settings, </w:t>
            </w:r>
            <w:r>
              <w:rPr>
                <w:rFonts w:hint="default" w:ascii="Arial" w:hAnsi="Arial" w:cs="Arial"/>
                <w:sz w:val="18"/>
                <w:szCs w:val="18"/>
                <w:lang w:val="en-US"/>
              </w:rPr>
              <w:t xml:space="preserve">towards averting global </w:t>
            </w:r>
            <w:r>
              <w:rPr>
                <w:rFonts w:ascii="Arial" w:hAnsi="Arial" w:cs="Arial"/>
                <w:sz w:val="18"/>
                <w:szCs w:val="18"/>
              </w:rPr>
              <w:t xml:space="preserve">spread. </w:t>
            </w:r>
            <w:r>
              <w:rPr>
                <w:rFonts w:hint="default" w:ascii="Arial" w:hAnsi="Arial" w:cs="Arial"/>
                <w:sz w:val="18"/>
                <w:szCs w:val="18"/>
                <w:lang w:val="en-US"/>
              </w:rPr>
              <w:t>Importantly,</w:t>
            </w:r>
            <w:r>
              <w:rPr>
                <w:rFonts w:ascii="Arial" w:hAnsi="Arial" w:cs="Arial"/>
                <w:sz w:val="18"/>
                <w:szCs w:val="18"/>
              </w:rPr>
              <w:t xml:space="preserve"> more </w:t>
            </w:r>
            <w:r>
              <w:rPr>
                <w:rFonts w:hint="default" w:ascii="Arial" w:hAnsi="Arial" w:cs="Arial"/>
                <w:sz w:val="18"/>
                <w:szCs w:val="18"/>
                <w:lang w:val="en-US"/>
              </w:rPr>
              <w:t>needs</w:t>
            </w:r>
            <w:r>
              <w:rPr>
                <w:rFonts w:ascii="Arial" w:hAnsi="Arial" w:cs="Arial"/>
                <w:sz w:val="18"/>
                <w:szCs w:val="18"/>
              </w:rPr>
              <w:t xml:space="preserve"> to be done by the Nigeria </w:t>
            </w:r>
            <w:r>
              <w:rPr>
                <w:rFonts w:hint="default" w:ascii="Arial" w:hAnsi="Arial" w:cs="Arial"/>
                <w:sz w:val="18"/>
                <w:szCs w:val="18"/>
                <w:lang w:val="en-US"/>
              </w:rPr>
              <w:t>C</w:t>
            </w:r>
            <w:r>
              <w:rPr>
                <w:rFonts w:ascii="Arial" w:hAnsi="Arial" w:cs="Arial"/>
                <w:sz w:val="18"/>
                <w:szCs w:val="18"/>
              </w:rPr>
              <w:t>ent</w:t>
            </w:r>
            <w:r>
              <w:rPr>
                <w:rFonts w:hint="default" w:ascii="Arial" w:hAnsi="Arial" w:cs="Arial"/>
                <w:sz w:val="18"/>
                <w:szCs w:val="18"/>
                <w:lang w:val="en-US"/>
              </w:rPr>
              <w:t>re</w:t>
            </w:r>
            <w:r>
              <w:rPr>
                <w:rFonts w:ascii="Arial" w:hAnsi="Arial" w:cs="Arial"/>
                <w:sz w:val="18"/>
                <w:szCs w:val="18"/>
              </w:rPr>
              <w:t xml:space="preserve"> for Disease </w:t>
            </w:r>
            <w:r>
              <w:rPr>
                <w:rFonts w:hint="default" w:ascii="Arial" w:hAnsi="Arial" w:cs="Arial"/>
                <w:sz w:val="18"/>
                <w:szCs w:val="18"/>
                <w:lang w:val="en-US"/>
              </w:rPr>
              <w:t>C</w:t>
            </w:r>
            <w:r>
              <w:rPr>
                <w:rFonts w:ascii="Arial" w:hAnsi="Arial" w:cs="Arial"/>
                <w:sz w:val="18"/>
                <w:szCs w:val="18"/>
              </w:rPr>
              <w:t xml:space="preserve">ontrol (NCDC) in the area of coordination of already existing disease diagnostic infrastructure </w:t>
            </w:r>
            <w:r>
              <w:rPr>
                <w:rFonts w:hint="default" w:ascii="Arial" w:hAnsi="Arial" w:cs="Arial"/>
                <w:sz w:val="18"/>
                <w:szCs w:val="18"/>
                <w:lang w:val="en-US"/>
              </w:rPr>
              <w:t>and</w:t>
            </w:r>
            <w:r>
              <w:rPr>
                <w:rFonts w:ascii="Arial" w:hAnsi="Arial" w:cs="Arial"/>
                <w:sz w:val="18"/>
                <w:szCs w:val="18"/>
              </w:rPr>
              <w:t xml:space="preserve"> getting the states more involved in surveillance systems.</w:t>
            </w:r>
            <w:r>
              <w:rPr>
                <w:rFonts w:hint="default" w:ascii="Arial" w:hAnsi="Arial" w:cs="Arial"/>
                <w:sz w:val="18"/>
                <w:szCs w:val="18"/>
                <w:lang w:val="en-US"/>
              </w:rPr>
              <w:t xml:space="preserve"> </w:t>
            </w:r>
            <w:r>
              <w:rPr>
                <w:rFonts w:hint="default" w:ascii="Arial" w:hAnsi="Arial" w:cs="Arial"/>
                <w:sz w:val="18"/>
                <w:szCs w:val="18"/>
                <w:highlight w:val="none"/>
                <w:lang w:val="en-US"/>
              </w:rPr>
              <w:t>Finally, further support and collaboration will be required from international partners and organizations like the World Health Organization, World Organization for Animal Health  and the African Centre for Disease Control to strengthen mitigation and preparedness efforts towards averting future outbreaks.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177"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4"/>
              <w:rPr>
                <w:rFonts w:ascii="Arial" w:hAnsi="Arial" w:cs="Arial"/>
                <w:sz w:val="18"/>
                <w:szCs w:val="18"/>
              </w:rPr>
            </w:pPr>
            <w:r>
              <w:rPr>
                <w:rFonts w:ascii="Arial" w:hAnsi="Arial" w:cs="Arial"/>
                <w:b/>
                <w:bCs/>
                <w:sz w:val="18"/>
                <w:szCs w:val="18"/>
              </w:rPr>
              <w:t>OTHER INFORMATION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316" w:type="dxa"/>
            <w:vMerge w:val="restart"/>
            <w:tcBorders>
              <w:top w:val="single" w:color="000000" w:sz="4" w:space="0"/>
              <w:left w:val="single" w:color="000000" w:sz="4" w:space="0"/>
              <w:right w:val="single" w:color="000000" w:sz="4" w:space="0"/>
            </w:tcBorders>
          </w:tcPr>
          <w:p>
            <w:pPr>
              <w:pStyle w:val="4"/>
              <w:spacing w:before="40" w:after="40"/>
              <w:rPr>
                <w:rFonts w:ascii="Arial" w:hAnsi="Arial" w:cs="Arial"/>
                <w:sz w:val="18"/>
                <w:szCs w:val="18"/>
              </w:rPr>
            </w:pPr>
            <w:r>
              <w:rPr>
                <w:rFonts w:ascii="Arial" w:hAnsi="Arial" w:cs="Arial"/>
                <w:sz w:val="18"/>
                <w:szCs w:val="18"/>
              </w:rPr>
              <w:t>Registration and protocol</w:t>
            </w:r>
          </w:p>
        </w:tc>
        <w:tc>
          <w:tcPr>
            <w:tcW w:w="610" w:type="dxa"/>
            <w:tcBorders>
              <w:top w:val="single" w:color="000000" w:sz="4" w:space="0"/>
              <w:left w:val="single" w:color="000000" w:sz="4" w:space="0"/>
              <w:bottom w:val="single" w:color="000000" w:sz="4" w:space="0"/>
              <w:right w:val="single" w:color="000000" w:sz="4" w:space="0"/>
            </w:tcBorders>
          </w:tcPr>
          <w:p>
            <w:pPr>
              <w:pStyle w:val="4"/>
              <w:spacing w:before="40" w:after="40"/>
              <w:jc w:val="right"/>
              <w:rPr>
                <w:rFonts w:ascii="Arial" w:hAnsi="Arial" w:cs="Arial"/>
                <w:sz w:val="18"/>
                <w:szCs w:val="18"/>
              </w:rPr>
            </w:pPr>
            <w:r>
              <w:rPr>
                <w:rFonts w:ascii="Arial" w:hAnsi="Arial" w:cs="Arial"/>
                <w:sz w:val="18"/>
                <w:szCs w:val="18"/>
              </w:rPr>
              <w:t>24a</w:t>
            </w:r>
          </w:p>
        </w:tc>
        <w:tc>
          <w:tcPr>
            <w:tcW w:w="12251" w:type="dxa"/>
            <w:tcBorders>
              <w:top w:val="single" w:color="000000" w:sz="4" w:space="0"/>
              <w:left w:val="single" w:color="000000" w:sz="4" w:space="0"/>
              <w:bottom w:val="single" w:color="000000" w:sz="4" w:space="0"/>
              <w:right w:val="single" w:color="000000" w:sz="4" w:space="0"/>
            </w:tcBorders>
          </w:tcPr>
          <w:p>
            <w:pPr>
              <w:pStyle w:val="4"/>
              <w:spacing w:before="40" w:after="40"/>
              <w:rPr>
                <w:rFonts w:ascii="Arial" w:hAnsi="Arial" w:cs="Arial"/>
                <w:sz w:val="18"/>
                <w:szCs w:val="18"/>
              </w:rPr>
            </w:pPr>
            <w:r>
              <w:rPr>
                <w:rFonts w:ascii="Arial" w:hAnsi="Arial" w:cs="Arial"/>
                <w:sz w:val="18"/>
                <w:szCs w:val="18"/>
              </w:rPr>
              <w:t xml:space="preserve">Not applicable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1316" w:type="dxa"/>
            <w:vMerge w:val="continue"/>
            <w:tcBorders>
              <w:left w:val="single" w:color="000000" w:sz="4" w:space="0"/>
              <w:right w:val="single" w:color="000000" w:sz="4" w:space="0"/>
            </w:tcBorders>
          </w:tcPr>
          <w:p>
            <w:pPr>
              <w:pStyle w:val="4"/>
              <w:spacing w:before="40" w:after="40"/>
              <w:rPr>
                <w:rFonts w:ascii="Arial" w:hAnsi="Arial" w:cs="Arial"/>
                <w:sz w:val="18"/>
                <w:szCs w:val="18"/>
              </w:rPr>
            </w:pPr>
          </w:p>
        </w:tc>
        <w:tc>
          <w:tcPr>
            <w:tcW w:w="610" w:type="dxa"/>
            <w:tcBorders>
              <w:top w:val="single" w:color="000000" w:sz="4" w:space="0"/>
              <w:left w:val="single" w:color="000000" w:sz="4" w:space="0"/>
              <w:bottom w:val="single" w:color="000000" w:sz="4" w:space="0"/>
              <w:right w:val="single" w:color="000000" w:sz="4" w:space="0"/>
            </w:tcBorders>
          </w:tcPr>
          <w:p>
            <w:pPr>
              <w:pStyle w:val="4"/>
              <w:spacing w:before="40" w:after="40"/>
              <w:jc w:val="right"/>
              <w:rPr>
                <w:rFonts w:ascii="Arial" w:hAnsi="Arial" w:cs="Arial"/>
                <w:sz w:val="18"/>
                <w:szCs w:val="18"/>
              </w:rPr>
            </w:pPr>
            <w:r>
              <w:rPr>
                <w:rFonts w:ascii="Arial" w:hAnsi="Arial" w:cs="Arial"/>
                <w:sz w:val="18"/>
                <w:szCs w:val="18"/>
              </w:rPr>
              <w:t>24b</w:t>
            </w:r>
          </w:p>
        </w:tc>
        <w:tc>
          <w:tcPr>
            <w:tcW w:w="12251" w:type="dxa"/>
            <w:tcBorders>
              <w:top w:val="single" w:color="000000" w:sz="4" w:space="0"/>
              <w:left w:val="single" w:color="000000" w:sz="4" w:space="0"/>
              <w:bottom w:val="single" w:color="000000" w:sz="4" w:space="0"/>
              <w:right w:val="single" w:color="000000" w:sz="4" w:space="0"/>
            </w:tcBorders>
          </w:tcPr>
          <w:p>
            <w:pPr>
              <w:pStyle w:val="4"/>
              <w:spacing w:before="40" w:after="40"/>
              <w:rPr>
                <w:rFonts w:ascii="Arial" w:hAnsi="Arial" w:cs="Arial"/>
                <w:sz w:val="18"/>
                <w:szCs w:val="18"/>
              </w:rPr>
            </w:pPr>
            <w:r>
              <w:rPr>
                <w:rFonts w:ascii="Arial" w:hAnsi="Arial" w:cs="Arial"/>
                <w:sz w:val="18"/>
                <w:szCs w:val="18"/>
              </w:rPr>
              <w:t>A protocol was not prepared.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316" w:type="dxa"/>
            <w:vMerge w:val="continue"/>
            <w:tcBorders>
              <w:left w:val="single" w:color="000000" w:sz="4" w:space="0"/>
              <w:bottom w:val="single" w:color="000000" w:sz="4" w:space="0"/>
              <w:right w:val="single" w:color="000000" w:sz="4" w:space="0"/>
            </w:tcBorders>
          </w:tcPr>
          <w:p>
            <w:pPr>
              <w:pStyle w:val="4"/>
              <w:spacing w:before="40" w:after="40"/>
              <w:rPr>
                <w:rFonts w:ascii="Arial" w:hAnsi="Arial" w:cs="Arial"/>
                <w:sz w:val="18"/>
                <w:szCs w:val="18"/>
              </w:rPr>
            </w:pPr>
          </w:p>
        </w:tc>
        <w:tc>
          <w:tcPr>
            <w:tcW w:w="610" w:type="dxa"/>
            <w:tcBorders>
              <w:top w:val="single" w:color="000000" w:sz="4" w:space="0"/>
              <w:left w:val="single" w:color="000000" w:sz="4" w:space="0"/>
              <w:bottom w:val="single" w:color="000000" w:sz="4" w:space="0"/>
              <w:right w:val="single" w:color="000000" w:sz="4" w:space="0"/>
            </w:tcBorders>
          </w:tcPr>
          <w:p>
            <w:pPr>
              <w:pStyle w:val="4"/>
              <w:spacing w:before="40" w:after="40"/>
              <w:jc w:val="right"/>
              <w:rPr>
                <w:rFonts w:ascii="Arial" w:hAnsi="Arial" w:cs="Arial"/>
                <w:sz w:val="18"/>
                <w:szCs w:val="18"/>
              </w:rPr>
            </w:pPr>
            <w:r>
              <w:rPr>
                <w:rFonts w:ascii="Arial" w:hAnsi="Arial" w:cs="Arial"/>
                <w:sz w:val="18"/>
                <w:szCs w:val="18"/>
              </w:rPr>
              <w:t>24c</w:t>
            </w:r>
          </w:p>
        </w:tc>
        <w:tc>
          <w:tcPr>
            <w:tcW w:w="12251" w:type="dxa"/>
            <w:tcBorders>
              <w:top w:val="single" w:color="000000" w:sz="4" w:space="0"/>
              <w:left w:val="single" w:color="000000" w:sz="4" w:space="0"/>
              <w:bottom w:val="single" w:color="000000" w:sz="4" w:space="0"/>
              <w:right w:val="single" w:color="000000" w:sz="4" w:space="0"/>
            </w:tcBorders>
          </w:tcPr>
          <w:p>
            <w:pPr>
              <w:pStyle w:val="4"/>
              <w:spacing w:before="40" w:after="40"/>
              <w:rPr>
                <w:rFonts w:ascii="Arial" w:hAnsi="Arial" w:cs="Arial"/>
                <w:sz w:val="18"/>
                <w:szCs w:val="18"/>
              </w:rPr>
            </w:pPr>
            <w:r>
              <w:rPr>
                <w:rFonts w:ascii="Arial" w:hAnsi="Arial" w:cs="Arial"/>
                <w:sz w:val="18"/>
                <w:szCs w:val="18"/>
              </w:rPr>
              <w:t>No amendment to amendments to information was carried out.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316" w:type="dxa"/>
            <w:tcBorders>
              <w:top w:val="single" w:color="000000" w:sz="4" w:space="0"/>
              <w:left w:val="single" w:color="000000" w:sz="4" w:space="0"/>
              <w:bottom w:val="single" w:color="000000" w:sz="4" w:space="0"/>
              <w:right w:val="single" w:color="000000" w:sz="4" w:space="0"/>
            </w:tcBorders>
          </w:tcPr>
          <w:p>
            <w:pPr>
              <w:pStyle w:val="4"/>
              <w:spacing w:before="40" w:after="40"/>
              <w:rPr>
                <w:rFonts w:ascii="Arial" w:hAnsi="Arial" w:cs="Arial"/>
                <w:sz w:val="18"/>
                <w:szCs w:val="18"/>
              </w:rPr>
            </w:pPr>
            <w:r>
              <w:rPr>
                <w:rFonts w:ascii="Arial" w:hAnsi="Arial" w:cs="Arial"/>
                <w:sz w:val="18"/>
                <w:szCs w:val="18"/>
              </w:rPr>
              <w:t>Support</w:t>
            </w:r>
          </w:p>
        </w:tc>
        <w:tc>
          <w:tcPr>
            <w:tcW w:w="610" w:type="dxa"/>
            <w:tcBorders>
              <w:top w:val="single" w:color="000000" w:sz="4" w:space="0"/>
              <w:left w:val="single" w:color="000000" w:sz="4" w:space="0"/>
              <w:bottom w:val="single" w:color="000000" w:sz="4" w:space="0"/>
              <w:right w:val="single" w:color="000000" w:sz="4" w:space="0"/>
            </w:tcBorders>
          </w:tcPr>
          <w:p>
            <w:pPr>
              <w:pStyle w:val="4"/>
              <w:spacing w:before="40" w:after="40"/>
              <w:jc w:val="right"/>
              <w:rPr>
                <w:rFonts w:ascii="Arial" w:hAnsi="Arial" w:cs="Arial"/>
                <w:sz w:val="18"/>
                <w:szCs w:val="18"/>
              </w:rPr>
            </w:pPr>
            <w:r>
              <w:rPr>
                <w:rFonts w:ascii="Arial" w:hAnsi="Arial" w:cs="Arial"/>
                <w:sz w:val="18"/>
                <w:szCs w:val="18"/>
              </w:rPr>
              <w:t>25</w:t>
            </w:r>
          </w:p>
        </w:tc>
        <w:tc>
          <w:tcPr>
            <w:tcW w:w="12251" w:type="dxa"/>
            <w:tcBorders>
              <w:top w:val="single" w:color="000000" w:sz="4" w:space="0"/>
              <w:left w:val="single" w:color="000000" w:sz="4" w:space="0"/>
              <w:bottom w:val="single" w:color="000000" w:sz="4" w:space="0"/>
              <w:right w:val="single" w:color="000000" w:sz="4" w:space="0"/>
            </w:tcBorders>
          </w:tcPr>
          <w:p>
            <w:pPr>
              <w:pStyle w:val="4"/>
              <w:spacing w:before="40" w:after="40"/>
              <w:rPr>
                <w:rFonts w:ascii="Arial" w:hAnsi="Arial" w:cs="Arial"/>
                <w:sz w:val="18"/>
                <w:szCs w:val="18"/>
              </w:rPr>
            </w:pPr>
            <w:r>
              <w:rPr>
                <w:rFonts w:ascii="Arial" w:hAnsi="Arial" w:cs="Arial"/>
                <w:sz w:val="18"/>
                <w:szCs w:val="18"/>
              </w:rPr>
              <w:t>No financial support for the study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316" w:type="dxa"/>
            <w:tcBorders>
              <w:top w:val="single" w:color="000000" w:sz="4" w:space="0"/>
              <w:left w:val="single" w:color="000000" w:sz="4" w:space="0"/>
              <w:bottom w:val="single" w:color="000000" w:sz="4" w:space="0"/>
              <w:right w:val="single" w:color="000000" w:sz="4" w:space="0"/>
            </w:tcBorders>
          </w:tcPr>
          <w:p>
            <w:pPr>
              <w:pStyle w:val="4"/>
              <w:spacing w:before="40" w:after="40"/>
              <w:rPr>
                <w:rFonts w:ascii="Arial" w:hAnsi="Arial" w:cs="Arial"/>
                <w:sz w:val="18"/>
                <w:szCs w:val="18"/>
              </w:rPr>
            </w:pPr>
            <w:r>
              <w:rPr>
                <w:rFonts w:ascii="Arial" w:hAnsi="Arial" w:cs="Arial"/>
                <w:sz w:val="18"/>
                <w:szCs w:val="18"/>
              </w:rPr>
              <w:t>Competing interests</w:t>
            </w:r>
          </w:p>
        </w:tc>
        <w:tc>
          <w:tcPr>
            <w:tcW w:w="610" w:type="dxa"/>
            <w:tcBorders>
              <w:top w:val="single" w:color="000000" w:sz="4" w:space="0"/>
              <w:left w:val="single" w:color="000000" w:sz="4" w:space="0"/>
              <w:bottom w:val="single" w:color="000000" w:sz="4" w:space="0"/>
              <w:right w:val="single" w:color="000000" w:sz="4" w:space="0"/>
            </w:tcBorders>
          </w:tcPr>
          <w:p>
            <w:pPr>
              <w:pStyle w:val="4"/>
              <w:spacing w:before="40" w:after="40"/>
              <w:jc w:val="right"/>
              <w:rPr>
                <w:rFonts w:ascii="Arial" w:hAnsi="Arial" w:cs="Arial"/>
                <w:sz w:val="18"/>
                <w:szCs w:val="18"/>
              </w:rPr>
            </w:pPr>
            <w:r>
              <w:rPr>
                <w:rFonts w:ascii="Arial" w:hAnsi="Arial" w:cs="Arial"/>
                <w:sz w:val="18"/>
                <w:szCs w:val="18"/>
              </w:rPr>
              <w:t>26</w:t>
            </w:r>
          </w:p>
        </w:tc>
        <w:tc>
          <w:tcPr>
            <w:tcW w:w="12251" w:type="dxa"/>
            <w:tcBorders>
              <w:top w:val="single" w:color="000000" w:sz="4" w:space="0"/>
              <w:left w:val="single" w:color="000000" w:sz="4" w:space="0"/>
              <w:bottom w:val="single" w:color="000000" w:sz="4" w:space="0"/>
              <w:right w:val="single" w:color="000000" w:sz="4" w:space="0"/>
            </w:tcBorders>
          </w:tcPr>
          <w:p>
            <w:pPr>
              <w:pStyle w:val="4"/>
              <w:spacing w:before="40" w:after="40"/>
              <w:rPr>
                <w:rFonts w:ascii="Arial" w:hAnsi="Arial" w:cs="Arial"/>
                <w:sz w:val="18"/>
                <w:szCs w:val="18"/>
              </w:rPr>
            </w:pPr>
            <w:r>
              <w:rPr>
                <w:rFonts w:ascii="Arial" w:hAnsi="Arial" w:cs="Arial"/>
                <w:sz w:val="18"/>
                <w:szCs w:val="18"/>
              </w:rPr>
              <w:t>The authors hereby declare no competing interests.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1316" w:type="dxa"/>
            <w:tcBorders>
              <w:top w:val="single" w:color="000000" w:sz="4" w:space="0"/>
              <w:left w:val="single" w:color="000000" w:sz="4" w:space="0"/>
              <w:bottom w:val="double" w:color="000000" w:sz="4" w:space="0"/>
              <w:right w:val="single" w:color="000000" w:sz="4" w:space="0"/>
            </w:tcBorders>
          </w:tcPr>
          <w:p>
            <w:pPr>
              <w:pStyle w:val="4"/>
              <w:spacing w:before="40" w:after="40"/>
              <w:rPr>
                <w:rFonts w:ascii="Arial" w:hAnsi="Arial" w:cs="Arial"/>
                <w:sz w:val="18"/>
                <w:szCs w:val="18"/>
              </w:rPr>
            </w:pPr>
            <w:r>
              <w:rPr>
                <w:rFonts w:ascii="Arial" w:hAnsi="Arial" w:cs="Arial"/>
                <w:sz w:val="18"/>
                <w:szCs w:val="18"/>
              </w:rPr>
              <w:t>Availability of data, code and other materials</w:t>
            </w:r>
          </w:p>
        </w:tc>
        <w:tc>
          <w:tcPr>
            <w:tcW w:w="610" w:type="dxa"/>
            <w:tcBorders>
              <w:top w:val="single" w:color="000000" w:sz="4" w:space="0"/>
              <w:left w:val="single" w:color="000000" w:sz="4" w:space="0"/>
              <w:bottom w:val="double" w:color="000000" w:sz="4" w:space="0"/>
              <w:right w:val="single" w:color="000000" w:sz="4" w:space="0"/>
            </w:tcBorders>
          </w:tcPr>
          <w:p>
            <w:pPr>
              <w:pStyle w:val="4"/>
              <w:spacing w:before="40" w:after="40"/>
              <w:jc w:val="right"/>
              <w:rPr>
                <w:rFonts w:ascii="Arial" w:hAnsi="Arial" w:cs="Arial"/>
                <w:sz w:val="18"/>
                <w:szCs w:val="18"/>
              </w:rPr>
            </w:pPr>
            <w:r>
              <w:rPr>
                <w:rFonts w:ascii="Arial" w:hAnsi="Arial" w:cs="Arial"/>
                <w:sz w:val="18"/>
                <w:szCs w:val="18"/>
              </w:rPr>
              <w:t>27</w:t>
            </w:r>
          </w:p>
        </w:tc>
        <w:tc>
          <w:tcPr>
            <w:tcW w:w="12251" w:type="dxa"/>
            <w:tcBorders>
              <w:top w:val="single" w:color="000000" w:sz="4" w:space="0"/>
              <w:left w:val="single" w:color="000000" w:sz="4" w:space="0"/>
              <w:bottom w:val="double" w:color="000000" w:sz="4" w:space="0"/>
              <w:right w:val="single" w:color="000000" w:sz="4" w:space="0"/>
            </w:tcBorders>
          </w:tcPr>
          <w:p>
            <w:pPr>
              <w:pStyle w:val="4"/>
              <w:spacing w:before="40" w:after="40"/>
              <w:rPr>
                <w:rFonts w:ascii="Arial" w:hAnsi="Arial" w:cs="Arial"/>
                <w:sz w:val="18"/>
                <w:szCs w:val="18"/>
              </w:rPr>
            </w:pPr>
            <w:r>
              <w:rPr>
                <w:rFonts w:ascii="Arial" w:hAnsi="Arial" w:cs="Arial"/>
                <w:sz w:val="18"/>
                <w:szCs w:val="18"/>
              </w:rPr>
              <w:t xml:space="preserve">None of the data presented in this study is publicly available. </w:t>
            </w:r>
          </w:p>
        </w:tc>
      </w:tr>
    </w:tbl>
    <w:p/>
    <w:p/>
    <w:sectPr>
      <w:pgSz w:w="16838" w:h="11906" w:orient="landscape"/>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26F"/>
    <w:rsid w:val="00015B2A"/>
    <w:rsid w:val="00117EE3"/>
    <w:rsid w:val="002B7654"/>
    <w:rsid w:val="00405863"/>
    <w:rsid w:val="00472951"/>
    <w:rsid w:val="00523EBB"/>
    <w:rsid w:val="005E6FEB"/>
    <w:rsid w:val="005F6AD2"/>
    <w:rsid w:val="00735740"/>
    <w:rsid w:val="00790E6B"/>
    <w:rsid w:val="007C1B52"/>
    <w:rsid w:val="00901963"/>
    <w:rsid w:val="009D3009"/>
    <w:rsid w:val="00A9226F"/>
    <w:rsid w:val="00B43535"/>
    <w:rsid w:val="00C479D5"/>
    <w:rsid w:val="00C61D63"/>
    <w:rsid w:val="00D46D4F"/>
    <w:rsid w:val="00DA0FFB"/>
    <w:rsid w:val="00DB0983"/>
    <w:rsid w:val="00EB5F08"/>
    <w:rsid w:val="00EE644A"/>
    <w:rsid w:val="00F207D9"/>
    <w:rsid w:val="00F94E6C"/>
    <w:rsid w:val="00FB1196"/>
    <w:rsid w:val="05CB0DE1"/>
    <w:rsid w:val="05FE28BF"/>
    <w:rsid w:val="31945827"/>
    <w:rsid w:val="34F60372"/>
    <w:rsid w:val="428638CB"/>
    <w:rsid w:val="54BC3D11"/>
    <w:rsid w:val="795450A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HAns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imes New Roman" w:hAnsi="Times New Roman" w:cs="Times New Roman" w:eastAsiaTheme="minorHAnsi"/>
      <w:sz w:val="24"/>
      <w:szCs w:val="22"/>
      <w:lang w:val="en-GB"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customStyle="1" w:styleId="4">
    <w:name w:val="Default"/>
    <w:qFormat/>
    <w:uiPriority w:val="0"/>
    <w:pPr>
      <w:widowControl w:val="0"/>
      <w:autoSpaceDE w:val="0"/>
      <w:autoSpaceDN w:val="0"/>
      <w:adjustRightInd w:val="0"/>
      <w:spacing w:after="0" w:line="240" w:lineRule="auto"/>
    </w:pPr>
    <w:rPr>
      <w:rFonts w:ascii="Calibri" w:hAnsi="Calibri" w:eastAsia="Times New Roman" w:cs="Calibri"/>
      <w:color w:val="000000"/>
      <w:sz w:val="24"/>
      <w:szCs w:val="24"/>
      <w:lang w:val="en-CA" w:eastAsia="en-CA" w:bidi="ar-SA"/>
    </w:rPr>
  </w:style>
  <w:style w:type="table" w:customStyle="1" w:styleId="5">
    <w:name w:val="_Style 14"/>
    <w:basedOn w:val="3"/>
    <w:qFormat/>
    <w:uiPriority w:val="0"/>
    <w:pPr>
      <w:spacing w:after="0" w:line="240" w:lineRule="auto"/>
    </w:pPr>
    <w:rPr>
      <w:rFonts w:ascii="Calibri" w:hAnsi="Calibri" w:eastAsia="Calibri" w:cs="Calibri"/>
      <w:sz w:val="20"/>
      <w:szCs w:val="20"/>
      <w:lang w:eastAsia="en-GB"/>
    </w:rPr>
  </w:style>
  <w:style w:type="table" w:customStyle="1" w:styleId="6">
    <w:name w:val="_Style 13"/>
    <w:basedOn w:val="3"/>
    <w:qFormat/>
    <w:uiPriority w:val="0"/>
    <w:pPr>
      <w:spacing w:after="0" w:line="240" w:lineRule="auto"/>
    </w:pPr>
    <w:rPr>
      <w:rFonts w:ascii="Calibri" w:hAnsi="Calibri" w:eastAsia="Calibri" w:cs="Calibri"/>
      <w:sz w:val="20"/>
      <w:szCs w:val="20"/>
      <w:lang w:eastAsia="en-GB"/>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2314</Words>
  <Characters>13193</Characters>
  <Lines>109</Lines>
  <Paragraphs>30</Paragraphs>
  <TotalTime>442</TotalTime>
  <ScaleCrop>false</ScaleCrop>
  <LinksUpToDate>false</LinksUpToDate>
  <CharactersWithSpaces>15477</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2023-08-23T14:04:00Z</dcterms:created>
  <dc:creator>Victor_Akinseye</dc:creator>
  <cp:lastModifiedBy>Simeon Cadmus</cp:lastModifiedBy>
  <dcterms:modified xsi:type="dcterms:W3CDTF">2023-08-24T09:43:09Z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4475C890F7D140EE8448A03C50D21ED1</vt:lpwstr>
  </property>
</Properties>
</file>