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AF4B11" w14:textId="5536E975" w:rsidR="009A0532" w:rsidRDefault="009A0532" w:rsidP="009A0532">
      <w:pPr>
        <w:pStyle w:val="Heading2"/>
        <w:rPr>
          <w:lang w:val="en-US"/>
        </w:rPr>
      </w:pPr>
      <w:r>
        <w:rPr>
          <w:lang w:val="en-US"/>
        </w:rPr>
        <w:t>Supplementary table 1</w:t>
      </w:r>
      <w:r w:rsidR="00C62915">
        <w:rPr>
          <w:lang w:val="en-US"/>
        </w:rPr>
        <w:t>9</w:t>
      </w:r>
      <w:r>
        <w:rPr>
          <w:lang w:val="en-US"/>
        </w:rPr>
        <w:t xml:space="preserve">. Suggested clinical decision support texts for various health care professionals for </w:t>
      </w:r>
      <w:r>
        <w:rPr>
          <w:i/>
          <w:iCs/>
          <w:lang w:val="en-GB"/>
        </w:rPr>
        <w:t>HLA-</w:t>
      </w:r>
      <w:r w:rsidRPr="0017379F">
        <w:rPr>
          <w:i/>
          <w:iCs/>
          <w:lang w:val="en-GB"/>
        </w:rPr>
        <w:t>B*</w:t>
      </w:r>
      <w:r>
        <w:rPr>
          <w:i/>
          <w:iCs/>
          <w:lang w:val="en-GB"/>
        </w:rPr>
        <w:t>15:02</w:t>
      </w:r>
      <w:r>
        <w:rPr>
          <w:lang w:val="en-US"/>
        </w:rPr>
        <w:t xml:space="preserve">– </w:t>
      </w:r>
      <w:r w:rsidR="00B567A1">
        <w:rPr>
          <w:lang w:val="en-US"/>
        </w:rPr>
        <w:t>oxcarbazepine</w:t>
      </w:r>
    </w:p>
    <w:p w14:paraId="031C312D" w14:textId="77777777" w:rsidR="009A0532" w:rsidRPr="00F52B05" w:rsidRDefault="009A0532" w:rsidP="009A0532">
      <w:pPr>
        <w:rPr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720"/>
      </w:tblGrid>
      <w:tr w:rsidR="00805885" w:rsidRPr="00C91D0A" w14:paraId="712F0F57" w14:textId="77777777" w:rsidTr="008D59ED">
        <w:tc>
          <w:tcPr>
            <w:tcW w:w="8720" w:type="dxa"/>
          </w:tcPr>
          <w:p w14:paraId="411A6A51" w14:textId="77777777" w:rsidR="00805885" w:rsidRPr="00F52B05" w:rsidRDefault="00805885" w:rsidP="008D59ED">
            <w:pPr>
              <w:rPr>
                <w:rFonts w:ascii="Times New Roman" w:hAnsi="Times New Roman"/>
                <w:b/>
                <w:sz w:val="20"/>
                <w:u w:val="single"/>
                <w:lang w:val="en-US"/>
              </w:rPr>
            </w:pPr>
          </w:p>
          <w:p w14:paraId="2D6D8FAD" w14:textId="43F34890" w:rsidR="00805885" w:rsidRDefault="00805885" w:rsidP="008D59ED">
            <w:pPr>
              <w:rPr>
                <w:rFonts w:cstheme="minorHAnsi"/>
                <w:b/>
                <w:sz w:val="20"/>
                <w:u w:val="single"/>
              </w:rPr>
            </w:pPr>
            <w:r>
              <w:rPr>
                <w:rFonts w:cstheme="minorHAnsi"/>
                <w:b/>
                <w:i/>
                <w:iCs/>
                <w:sz w:val="20"/>
                <w:u w:val="single"/>
              </w:rPr>
              <w:t>HLA-B*1502</w:t>
            </w:r>
            <w:r>
              <w:rPr>
                <w:rFonts w:cstheme="minorHAnsi"/>
                <w:b/>
                <w:sz w:val="20"/>
                <w:u w:val="single"/>
              </w:rPr>
              <w:t>:</w:t>
            </w:r>
            <w:r w:rsidR="00F52B05">
              <w:rPr>
                <w:rFonts w:cstheme="minorHAnsi"/>
                <w:b/>
                <w:sz w:val="20"/>
                <w:u w:val="single"/>
              </w:rPr>
              <w:t xml:space="preserve"> oxcarbazepine</w:t>
            </w:r>
          </w:p>
          <w:p w14:paraId="5F2DA90D" w14:textId="77777777" w:rsidR="00805885" w:rsidRDefault="00805885" w:rsidP="008D59ED">
            <w:pPr>
              <w:rPr>
                <w:rFonts w:cstheme="minorHAnsi"/>
                <w:b/>
                <w:sz w:val="20"/>
                <w:u w:val="single"/>
              </w:rPr>
            </w:pPr>
          </w:p>
          <w:p w14:paraId="75BB4351" w14:textId="450A77E3" w:rsidR="00805885" w:rsidRPr="0031548B" w:rsidRDefault="00805885" w:rsidP="008D59ED">
            <w:pPr>
              <w:rPr>
                <w:rFonts w:cstheme="minorHAnsi"/>
                <w:bCs/>
                <w:sz w:val="20"/>
                <w:lang w:val="en-US"/>
              </w:rPr>
            </w:pPr>
            <w:r w:rsidRPr="0031548B">
              <w:rPr>
                <w:rFonts w:cstheme="minorHAnsi"/>
                <w:b/>
                <w:bCs/>
                <w:sz w:val="20"/>
                <w:lang w:val="en-US"/>
              </w:rPr>
              <w:t xml:space="preserve">Pharmacist </w:t>
            </w:r>
            <w:r w:rsidR="005A369C" w:rsidRPr="005A369C">
              <w:rPr>
                <w:rFonts w:cstheme="minorHAnsi"/>
                <w:b/>
                <w:bCs/>
                <w:sz w:val="20"/>
                <w:lang w:val="en-US"/>
              </w:rPr>
              <w:t xml:space="preserve">and physician </w:t>
            </w:r>
            <w:r w:rsidRPr="0031548B">
              <w:rPr>
                <w:rFonts w:cstheme="minorHAnsi"/>
                <w:b/>
                <w:bCs/>
                <w:sz w:val="20"/>
                <w:lang w:val="en-US"/>
              </w:rPr>
              <w:t>text</w:t>
            </w:r>
          </w:p>
          <w:p w14:paraId="195CB1AE" w14:textId="475921AB" w:rsidR="00C71DC6" w:rsidRDefault="00C71DC6" w:rsidP="00C71DC6">
            <w:pPr>
              <w:rPr>
                <w:rFonts w:cstheme="minorHAnsi"/>
                <w:bCs/>
                <w:sz w:val="20"/>
              </w:rPr>
            </w:pPr>
            <w:r w:rsidRPr="00C71DC6">
              <w:rPr>
                <w:rFonts w:cstheme="minorHAnsi"/>
                <w:bCs/>
                <w:sz w:val="20"/>
              </w:rPr>
              <w:t xml:space="preserve">Stevens-Johnson syndrome, the severe cutaneous side effect </w:t>
            </w:r>
            <w:r w:rsidR="00AF1445">
              <w:rPr>
                <w:rFonts w:cstheme="minorHAnsi"/>
                <w:bCs/>
                <w:sz w:val="20"/>
              </w:rPr>
              <w:t xml:space="preserve">in the first three </w:t>
            </w:r>
            <w:r w:rsidR="00A70997">
              <w:rPr>
                <w:rFonts w:cstheme="minorHAnsi"/>
                <w:bCs/>
                <w:sz w:val="20"/>
              </w:rPr>
              <w:t xml:space="preserve">months </w:t>
            </w:r>
            <w:r w:rsidRPr="00C71DC6">
              <w:rPr>
                <w:rFonts w:cstheme="minorHAnsi"/>
                <w:bCs/>
                <w:sz w:val="20"/>
              </w:rPr>
              <w:t>that can potentially result in permanent damage, occurs more often in patients with this genetic variation. The calculated risk of oxcarbazepine-induced SJS in patients with HLA-B*1502 is 0.73%.</w:t>
            </w:r>
          </w:p>
          <w:p w14:paraId="5E651867" w14:textId="77777777" w:rsidR="008A536E" w:rsidRPr="00C71DC6" w:rsidRDefault="008A536E" w:rsidP="00C71DC6">
            <w:pPr>
              <w:rPr>
                <w:rFonts w:cstheme="minorHAnsi"/>
                <w:bCs/>
                <w:sz w:val="20"/>
                <w:lang w:val="en-US"/>
              </w:rPr>
            </w:pPr>
          </w:p>
          <w:p w14:paraId="14192992" w14:textId="2629D09E" w:rsidR="00C71DC6" w:rsidRPr="00C71DC6" w:rsidRDefault="00C71DC6" w:rsidP="00C71DC6">
            <w:pPr>
              <w:numPr>
                <w:ilvl w:val="0"/>
                <w:numId w:val="1"/>
              </w:numPr>
              <w:rPr>
                <w:rFonts w:cstheme="minorHAnsi"/>
                <w:bCs/>
                <w:sz w:val="20"/>
                <w:lang w:val="en-US"/>
              </w:rPr>
            </w:pPr>
            <w:r>
              <w:rPr>
                <w:rFonts w:cstheme="minorHAnsi"/>
                <w:bCs/>
                <w:sz w:val="20"/>
              </w:rPr>
              <w:t>C</w:t>
            </w:r>
            <w:r w:rsidRPr="00C71DC6">
              <w:rPr>
                <w:rFonts w:cstheme="minorHAnsi"/>
                <w:bCs/>
                <w:sz w:val="20"/>
              </w:rPr>
              <w:t>arefully weigh the risk of SJS against the benefits</w:t>
            </w:r>
            <w:r w:rsidR="00AE52BB">
              <w:rPr>
                <w:rFonts w:cstheme="minorHAnsi"/>
                <w:bCs/>
                <w:sz w:val="20"/>
              </w:rPr>
              <w:t>.</w:t>
            </w:r>
            <w:r w:rsidRPr="00C71DC6">
              <w:rPr>
                <w:rFonts w:cstheme="minorHAnsi"/>
                <w:bCs/>
                <w:sz w:val="20"/>
              </w:rPr>
              <w:t xml:space="preserve">    </w:t>
            </w:r>
          </w:p>
          <w:p w14:paraId="0F279940" w14:textId="29C30285" w:rsidR="00C71DC6" w:rsidRPr="00C71DC6" w:rsidRDefault="00EB2851" w:rsidP="00C71DC6">
            <w:pPr>
              <w:numPr>
                <w:ilvl w:val="0"/>
                <w:numId w:val="1"/>
              </w:numPr>
              <w:rPr>
                <w:rFonts w:cstheme="minorHAnsi"/>
                <w:bCs/>
                <w:sz w:val="20"/>
                <w:lang w:val="en-US"/>
              </w:rPr>
            </w:pPr>
            <w:r>
              <w:rPr>
                <w:rFonts w:cstheme="minorHAnsi"/>
                <w:bCs/>
                <w:sz w:val="20"/>
              </w:rPr>
              <w:t>A</w:t>
            </w:r>
            <w:r w:rsidR="00C71DC6" w:rsidRPr="00C71DC6">
              <w:rPr>
                <w:rFonts w:cstheme="minorHAnsi"/>
                <w:bCs/>
                <w:sz w:val="20"/>
              </w:rPr>
              <w:t xml:space="preserve">void oxcarbazepine if an alternative is </w:t>
            </w:r>
            <w:r w:rsidR="00AE52BB">
              <w:rPr>
                <w:rFonts w:cstheme="minorHAnsi"/>
                <w:bCs/>
                <w:sz w:val="20"/>
              </w:rPr>
              <w:t>possib</w:t>
            </w:r>
            <w:r w:rsidR="00E2610F">
              <w:rPr>
                <w:rFonts w:cstheme="minorHAnsi"/>
                <w:bCs/>
                <w:sz w:val="20"/>
              </w:rPr>
              <w:t>le</w:t>
            </w:r>
            <w:r w:rsidR="00C71DC6">
              <w:rPr>
                <w:rFonts w:cstheme="minorHAnsi"/>
                <w:bCs/>
                <w:sz w:val="20"/>
              </w:rPr>
              <w:t xml:space="preserve">. </w:t>
            </w:r>
            <w:r w:rsidR="00E2610F">
              <w:rPr>
                <w:rFonts w:cstheme="minorHAnsi"/>
                <w:bCs/>
                <w:sz w:val="20"/>
              </w:rPr>
              <w:br/>
            </w:r>
            <w:r w:rsidR="00C71DC6" w:rsidRPr="00C71DC6">
              <w:rPr>
                <w:rFonts w:cstheme="minorHAnsi"/>
                <w:bCs/>
                <w:sz w:val="20"/>
              </w:rPr>
              <w:t xml:space="preserve">Carbamazepine carries a 10-fold higher risk of SJS/TEN in these patients and is therefore not an alternative.  </w:t>
            </w:r>
            <w:r w:rsidR="00E2610F">
              <w:rPr>
                <w:rFonts w:cstheme="minorHAnsi"/>
                <w:bCs/>
                <w:sz w:val="20"/>
              </w:rPr>
              <w:br/>
            </w:r>
            <w:r w:rsidR="00C71DC6" w:rsidRPr="00C71DC6">
              <w:rPr>
                <w:rFonts w:cstheme="minorHAnsi"/>
                <w:bCs/>
                <w:sz w:val="20"/>
              </w:rPr>
              <w:t xml:space="preserve">In these patients, phenytoin and lamotrigine carry a similar risk of SJS/TEN as oxcarbazepine, but more severe forms of SJS/TEN (SJS/TEN overlap and TEN) are also observed with these medicines. Therefore, they are also not suitable as alternatives.    </w:t>
            </w:r>
          </w:p>
          <w:p w14:paraId="7D2ED921" w14:textId="31BAB72E" w:rsidR="00C71DC6" w:rsidRPr="00C71DC6" w:rsidRDefault="00EB2851" w:rsidP="00C71DC6">
            <w:pPr>
              <w:numPr>
                <w:ilvl w:val="0"/>
                <w:numId w:val="1"/>
              </w:numPr>
              <w:rPr>
                <w:rFonts w:cstheme="minorHAnsi"/>
                <w:bCs/>
                <w:sz w:val="20"/>
                <w:lang w:val="en-US"/>
              </w:rPr>
            </w:pPr>
            <w:r>
              <w:rPr>
                <w:rFonts w:cstheme="minorHAnsi"/>
                <w:bCs/>
                <w:sz w:val="20"/>
              </w:rPr>
              <w:t>I</w:t>
            </w:r>
            <w:r w:rsidR="00C71DC6" w:rsidRPr="00C71DC6">
              <w:rPr>
                <w:rFonts w:cstheme="minorHAnsi"/>
                <w:bCs/>
                <w:sz w:val="20"/>
              </w:rPr>
              <w:t xml:space="preserve">f it is not possible to avoid oxcarbazepine, advise the patient to report any </w:t>
            </w:r>
            <w:r w:rsidR="009348AA">
              <w:rPr>
                <w:rFonts w:cstheme="minorHAnsi"/>
                <w:bCs/>
                <w:sz w:val="20"/>
              </w:rPr>
              <w:t xml:space="preserve">skin </w:t>
            </w:r>
            <w:r w:rsidR="00C71DC6" w:rsidRPr="00C71DC6">
              <w:rPr>
                <w:rFonts w:cstheme="minorHAnsi"/>
                <w:bCs/>
                <w:sz w:val="20"/>
              </w:rPr>
              <w:t>rash immediately</w:t>
            </w:r>
            <w:r w:rsidR="009348AA">
              <w:rPr>
                <w:rFonts w:cstheme="minorHAnsi"/>
                <w:bCs/>
                <w:sz w:val="20"/>
              </w:rPr>
              <w:t>.</w:t>
            </w:r>
          </w:p>
          <w:p w14:paraId="7BB5E7C0" w14:textId="74530B9E" w:rsidR="00BD3D2B" w:rsidRPr="00C71DC6" w:rsidRDefault="00BD3D2B" w:rsidP="00C71DC6">
            <w:pPr>
              <w:rPr>
                <w:rFonts w:cstheme="minorHAnsi"/>
                <w:bCs/>
                <w:sz w:val="20"/>
                <w:lang w:val="en-US"/>
              </w:rPr>
            </w:pPr>
          </w:p>
          <w:p w14:paraId="30F1B299" w14:textId="77777777" w:rsidR="00C71DC6" w:rsidRPr="002B2D50" w:rsidRDefault="00C71DC6" w:rsidP="00C71DC6">
            <w:pPr>
              <w:rPr>
                <w:rFonts w:cstheme="minorHAnsi"/>
                <w:bCs/>
                <w:sz w:val="20"/>
                <w:lang w:val="en-US"/>
              </w:rPr>
            </w:pPr>
          </w:p>
          <w:p w14:paraId="3C069B49" w14:textId="77777777" w:rsidR="00805885" w:rsidRPr="0017379F" w:rsidRDefault="00805885" w:rsidP="008D59ED">
            <w:pPr>
              <w:rPr>
                <w:rFonts w:cstheme="minorHAnsi"/>
                <w:b/>
                <w:sz w:val="20"/>
              </w:rPr>
            </w:pPr>
            <w:r>
              <w:rPr>
                <w:rFonts w:cstheme="minorHAnsi"/>
                <w:b/>
                <w:sz w:val="20"/>
              </w:rPr>
              <w:t>Background information</w:t>
            </w:r>
          </w:p>
          <w:p w14:paraId="3F48CD7B" w14:textId="77777777" w:rsidR="003A74D3" w:rsidRDefault="003A74D3" w:rsidP="003A74D3">
            <w:pPr>
              <w:rPr>
                <w:rFonts w:cstheme="minorHAnsi"/>
                <w:bCs/>
                <w:sz w:val="20"/>
              </w:rPr>
            </w:pPr>
            <w:r>
              <w:rPr>
                <w:rFonts w:cstheme="minorHAnsi"/>
                <w:bCs/>
                <w:sz w:val="20"/>
              </w:rPr>
              <w:t xml:space="preserve">Other considerations: </w:t>
            </w:r>
          </w:p>
          <w:p w14:paraId="66FFBD79" w14:textId="4157577C" w:rsidR="003A74D3" w:rsidRDefault="003A74D3" w:rsidP="003A74D3">
            <w:pPr>
              <w:rPr>
                <w:rFonts w:cstheme="minorHAnsi"/>
                <w:bCs/>
                <w:sz w:val="20"/>
              </w:rPr>
            </w:pPr>
            <w:r w:rsidRPr="0017379F">
              <w:rPr>
                <w:rFonts w:cstheme="minorHAnsi"/>
                <w:bCs/>
                <w:sz w:val="20"/>
              </w:rPr>
              <w:t xml:space="preserve">The severe cutaneous side effect Stevens-Johnson syndrome/toxic epidermal necrolysis (SJS/TEN) always occurs within the first three months of treatment. If a patient does not develop SJS/TEN within the first three months of treatment, the chance of developing </w:t>
            </w:r>
            <w:r w:rsidR="00EB2851">
              <w:rPr>
                <w:rFonts w:cstheme="minorHAnsi"/>
                <w:bCs/>
                <w:sz w:val="20"/>
              </w:rPr>
              <w:t>ox</w:t>
            </w:r>
            <w:r>
              <w:rPr>
                <w:rFonts w:cstheme="minorHAnsi"/>
                <w:bCs/>
                <w:sz w:val="20"/>
              </w:rPr>
              <w:t>carbazepine</w:t>
            </w:r>
            <w:r w:rsidRPr="0017379F">
              <w:rPr>
                <w:rFonts w:cstheme="minorHAnsi"/>
                <w:bCs/>
                <w:sz w:val="20"/>
              </w:rPr>
              <w:t xml:space="preserve">-induced SJS/TEN </w:t>
            </w:r>
            <w:r w:rsidR="006721F6">
              <w:rPr>
                <w:rFonts w:cstheme="minorHAnsi"/>
                <w:bCs/>
                <w:sz w:val="20"/>
              </w:rPr>
              <w:t xml:space="preserve">later on </w:t>
            </w:r>
            <w:r w:rsidRPr="0017379F">
              <w:rPr>
                <w:rFonts w:cstheme="minorHAnsi"/>
                <w:bCs/>
                <w:sz w:val="20"/>
              </w:rPr>
              <w:t xml:space="preserve">is therefore very small. </w:t>
            </w:r>
            <w:r w:rsidR="006721F6">
              <w:rPr>
                <w:rFonts w:cstheme="minorHAnsi"/>
                <w:bCs/>
                <w:sz w:val="20"/>
              </w:rPr>
              <w:t>For this reason, t</w:t>
            </w:r>
            <w:r w:rsidRPr="0017379F">
              <w:rPr>
                <w:rFonts w:cstheme="minorHAnsi"/>
                <w:bCs/>
                <w:sz w:val="20"/>
              </w:rPr>
              <w:t xml:space="preserve">he recommendation to avoid </w:t>
            </w:r>
            <w:r w:rsidR="00EB2851">
              <w:rPr>
                <w:rFonts w:cstheme="minorHAnsi"/>
                <w:bCs/>
                <w:sz w:val="20"/>
              </w:rPr>
              <w:t>ox</w:t>
            </w:r>
            <w:r>
              <w:rPr>
                <w:rFonts w:cstheme="minorHAnsi"/>
                <w:bCs/>
                <w:sz w:val="20"/>
              </w:rPr>
              <w:t>carbazepine</w:t>
            </w:r>
            <w:r w:rsidRPr="0017379F">
              <w:rPr>
                <w:rFonts w:cstheme="minorHAnsi"/>
                <w:bCs/>
                <w:sz w:val="20"/>
              </w:rPr>
              <w:t xml:space="preserve"> applies only during the first three months of treatment.</w:t>
            </w:r>
          </w:p>
          <w:p w14:paraId="44A316FD" w14:textId="77777777" w:rsidR="003A74D3" w:rsidRDefault="003A74D3" w:rsidP="003A74D3">
            <w:pPr>
              <w:rPr>
                <w:rFonts w:cstheme="minorHAnsi"/>
                <w:bCs/>
                <w:sz w:val="20"/>
              </w:rPr>
            </w:pPr>
          </w:p>
          <w:p w14:paraId="648007E6" w14:textId="77777777" w:rsidR="00805885" w:rsidRPr="00805885" w:rsidRDefault="00805885" w:rsidP="008D59ED">
            <w:pPr>
              <w:rPr>
                <w:rFonts w:cstheme="minorHAnsi"/>
                <w:bCs/>
                <w:sz w:val="20"/>
                <w:lang w:val="en-US"/>
              </w:rPr>
            </w:pPr>
            <w:r w:rsidRPr="00805885">
              <w:rPr>
                <w:rFonts w:cstheme="minorHAnsi"/>
                <w:bCs/>
                <w:sz w:val="20"/>
                <w:lang w:val="en-US"/>
              </w:rPr>
              <w:t>Mechanism:</w:t>
            </w:r>
          </w:p>
          <w:p w14:paraId="1E9870DD" w14:textId="77F2E97F" w:rsidR="00AE6C3C" w:rsidRDefault="003A74D3" w:rsidP="003A74D3">
            <w:pPr>
              <w:rPr>
                <w:rFonts w:cstheme="minorHAnsi"/>
                <w:bCs/>
                <w:sz w:val="20"/>
                <w:lang w:val="en-US"/>
              </w:rPr>
            </w:pPr>
            <w:r w:rsidRPr="00F93EC1">
              <w:rPr>
                <w:rFonts w:cstheme="minorHAnsi"/>
                <w:bCs/>
                <w:sz w:val="20"/>
                <w:lang w:val="en-US"/>
              </w:rPr>
              <w:t xml:space="preserve">Although the mechanism of hypersensitivity reactions to </w:t>
            </w:r>
            <w:r w:rsidR="00EB2851">
              <w:rPr>
                <w:rFonts w:cstheme="minorHAnsi"/>
                <w:bCs/>
                <w:sz w:val="20"/>
                <w:lang w:val="en-US"/>
              </w:rPr>
              <w:t>ox</w:t>
            </w:r>
            <w:r w:rsidRPr="00F93EC1">
              <w:rPr>
                <w:rFonts w:cstheme="minorHAnsi"/>
                <w:bCs/>
                <w:sz w:val="20"/>
                <w:lang w:val="en-US"/>
              </w:rPr>
              <w:t>carba</w:t>
            </w:r>
            <w:r w:rsidR="00EB2851">
              <w:rPr>
                <w:rFonts w:cstheme="minorHAnsi"/>
                <w:bCs/>
                <w:sz w:val="20"/>
                <w:lang w:val="en-US"/>
              </w:rPr>
              <w:t>z</w:t>
            </w:r>
            <w:r w:rsidRPr="00F93EC1">
              <w:rPr>
                <w:rFonts w:cstheme="minorHAnsi"/>
                <w:bCs/>
                <w:sz w:val="20"/>
                <w:lang w:val="en-US"/>
              </w:rPr>
              <w:t xml:space="preserve">epine is not </w:t>
            </w:r>
            <w:r w:rsidR="00026D10">
              <w:rPr>
                <w:rFonts w:cstheme="minorHAnsi"/>
                <w:bCs/>
                <w:sz w:val="20"/>
                <w:lang w:val="en-US"/>
              </w:rPr>
              <w:t>fully</w:t>
            </w:r>
            <w:r w:rsidR="00026D10" w:rsidRPr="00F93EC1">
              <w:rPr>
                <w:rFonts w:cstheme="minorHAnsi"/>
                <w:bCs/>
                <w:sz w:val="20"/>
                <w:lang w:val="en-US"/>
              </w:rPr>
              <w:t xml:space="preserve"> </w:t>
            </w:r>
            <w:r w:rsidRPr="00F93EC1">
              <w:rPr>
                <w:rFonts w:cstheme="minorHAnsi"/>
                <w:bCs/>
                <w:sz w:val="20"/>
                <w:lang w:val="en-US"/>
              </w:rPr>
              <w:t>known, experimental data suggest the following mechanism.</w:t>
            </w:r>
            <w:r>
              <w:rPr>
                <w:rFonts w:cstheme="minorHAnsi"/>
                <w:bCs/>
                <w:sz w:val="20"/>
                <w:lang w:val="en-US"/>
              </w:rPr>
              <w:t xml:space="preserve"> </w:t>
            </w:r>
          </w:p>
          <w:p w14:paraId="7FB76BF4" w14:textId="40CF0FC8" w:rsidR="003A74D3" w:rsidRPr="00F93EC1" w:rsidRDefault="003A74D3" w:rsidP="003A74D3">
            <w:pPr>
              <w:rPr>
                <w:rFonts w:cstheme="minorHAnsi"/>
                <w:bCs/>
                <w:sz w:val="20"/>
                <w:lang w:val="en-US"/>
              </w:rPr>
            </w:pPr>
            <w:r w:rsidRPr="003A6915">
              <w:rPr>
                <w:rFonts w:cstheme="minorHAnsi"/>
                <w:bCs/>
                <w:sz w:val="20"/>
              </w:rPr>
              <w:t xml:space="preserve">A cellular immune reaction against cells </w:t>
            </w:r>
            <w:r w:rsidR="00AE6C3C">
              <w:rPr>
                <w:rFonts w:cstheme="minorHAnsi"/>
                <w:bCs/>
                <w:sz w:val="20"/>
              </w:rPr>
              <w:t xml:space="preserve">of the body </w:t>
            </w:r>
            <w:r w:rsidRPr="003A6915">
              <w:rPr>
                <w:rFonts w:cstheme="minorHAnsi"/>
                <w:bCs/>
                <w:sz w:val="20"/>
              </w:rPr>
              <w:t xml:space="preserve">is </w:t>
            </w:r>
            <w:r w:rsidR="00AE6C3C">
              <w:rPr>
                <w:rFonts w:cstheme="minorHAnsi"/>
                <w:bCs/>
                <w:sz w:val="20"/>
              </w:rPr>
              <w:t>provoked when</w:t>
            </w:r>
            <w:r w:rsidRPr="003A6915">
              <w:rPr>
                <w:rFonts w:cstheme="minorHAnsi"/>
                <w:bCs/>
                <w:sz w:val="20"/>
              </w:rPr>
              <w:t xml:space="preserve"> peptides</w:t>
            </w:r>
            <w:r w:rsidR="005E2592">
              <w:rPr>
                <w:rFonts w:cstheme="minorHAnsi"/>
                <w:bCs/>
                <w:sz w:val="20"/>
              </w:rPr>
              <w:t>,</w:t>
            </w:r>
            <w:r w:rsidRPr="003A6915">
              <w:rPr>
                <w:rFonts w:cstheme="minorHAnsi"/>
                <w:bCs/>
                <w:sz w:val="20"/>
              </w:rPr>
              <w:t xml:space="preserve"> </w:t>
            </w:r>
            <w:r w:rsidR="005E2592">
              <w:rPr>
                <w:rFonts w:cstheme="minorHAnsi"/>
                <w:bCs/>
                <w:sz w:val="20"/>
              </w:rPr>
              <w:t>originating</w:t>
            </w:r>
            <w:r w:rsidRPr="003A6915">
              <w:rPr>
                <w:rFonts w:cstheme="minorHAnsi"/>
                <w:bCs/>
                <w:sz w:val="20"/>
              </w:rPr>
              <w:t xml:space="preserve"> from proteins </w:t>
            </w:r>
            <w:r w:rsidR="005E2592">
              <w:rPr>
                <w:rFonts w:cstheme="minorHAnsi"/>
                <w:bCs/>
                <w:sz w:val="20"/>
              </w:rPr>
              <w:t>from</w:t>
            </w:r>
            <w:r w:rsidR="005E2592" w:rsidRPr="003A6915">
              <w:rPr>
                <w:rFonts w:cstheme="minorHAnsi"/>
                <w:bCs/>
                <w:sz w:val="20"/>
              </w:rPr>
              <w:t xml:space="preserve"> </w:t>
            </w:r>
            <w:r w:rsidRPr="003A6915">
              <w:rPr>
                <w:rFonts w:cstheme="minorHAnsi"/>
                <w:bCs/>
                <w:sz w:val="20"/>
              </w:rPr>
              <w:t>these cells</w:t>
            </w:r>
            <w:r w:rsidR="005E2592">
              <w:rPr>
                <w:rFonts w:cstheme="minorHAnsi"/>
                <w:bCs/>
                <w:sz w:val="20"/>
              </w:rPr>
              <w:t>,</w:t>
            </w:r>
            <w:r w:rsidRPr="003A6915">
              <w:rPr>
                <w:rFonts w:cstheme="minorHAnsi"/>
                <w:bCs/>
                <w:sz w:val="20"/>
              </w:rPr>
              <w:t xml:space="preserve"> bind to specific HLA proteins, </w:t>
            </w:r>
            <w:r w:rsidR="00B766D9">
              <w:rPr>
                <w:rFonts w:cstheme="minorHAnsi"/>
                <w:bCs/>
                <w:sz w:val="20"/>
              </w:rPr>
              <w:t xml:space="preserve">which </w:t>
            </w:r>
            <w:r w:rsidRPr="003A6915">
              <w:rPr>
                <w:rFonts w:cstheme="minorHAnsi"/>
                <w:bCs/>
                <w:sz w:val="20"/>
              </w:rPr>
              <w:t xml:space="preserve">are </w:t>
            </w:r>
            <w:r w:rsidR="00B766D9">
              <w:rPr>
                <w:rFonts w:cstheme="minorHAnsi"/>
                <w:bCs/>
                <w:sz w:val="20"/>
              </w:rPr>
              <w:t xml:space="preserve">then </w:t>
            </w:r>
            <w:r w:rsidRPr="003A6915">
              <w:rPr>
                <w:rFonts w:cstheme="minorHAnsi"/>
                <w:bCs/>
                <w:sz w:val="20"/>
              </w:rPr>
              <w:t xml:space="preserve">transported to the cell surface and ”recognised” as foreign by specific </w:t>
            </w:r>
            <w:r w:rsidR="00B766D9">
              <w:rPr>
                <w:rFonts w:cstheme="minorHAnsi"/>
                <w:bCs/>
                <w:sz w:val="20"/>
              </w:rPr>
              <w:t xml:space="preserve">proteins of the </w:t>
            </w:r>
            <w:r w:rsidRPr="003A6915">
              <w:rPr>
                <w:rFonts w:cstheme="minorHAnsi"/>
                <w:bCs/>
                <w:sz w:val="20"/>
              </w:rPr>
              <w:t>immune cell</w:t>
            </w:r>
            <w:r>
              <w:rPr>
                <w:rFonts w:cstheme="minorHAnsi"/>
                <w:bCs/>
                <w:sz w:val="20"/>
              </w:rPr>
              <w:t xml:space="preserve">s </w:t>
            </w:r>
            <w:r w:rsidRPr="003A6915">
              <w:rPr>
                <w:rFonts w:cstheme="minorHAnsi"/>
                <w:bCs/>
                <w:sz w:val="20"/>
              </w:rPr>
              <w:t>(T-cell receptors).</w:t>
            </w:r>
            <w:r w:rsidR="00EB2851">
              <w:rPr>
                <w:rFonts w:cstheme="minorHAnsi"/>
                <w:bCs/>
                <w:sz w:val="20"/>
              </w:rPr>
              <w:t xml:space="preserve"> Oxcarbazepine</w:t>
            </w:r>
            <w:r>
              <w:rPr>
                <w:rFonts w:cstheme="minorHAnsi"/>
                <w:bCs/>
                <w:sz w:val="20"/>
              </w:rPr>
              <w:t xml:space="preserve"> </w:t>
            </w:r>
            <w:r w:rsidR="005C15AD">
              <w:rPr>
                <w:rFonts w:cstheme="minorHAnsi"/>
                <w:bCs/>
                <w:sz w:val="20"/>
              </w:rPr>
              <w:t xml:space="preserve">either </w:t>
            </w:r>
            <w:r w:rsidRPr="003A6915">
              <w:rPr>
                <w:rFonts w:cstheme="minorHAnsi"/>
                <w:bCs/>
                <w:sz w:val="20"/>
              </w:rPr>
              <w:t xml:space="preserve">binds to the proteins </w:t>
            </w:r>
            <w:r w:rsidR="005C15AD">
              <w:rPr>
                <w:rFonts w:cstheme="minorHAnsi"/>
                <w:bCs/>
                <w:sz w:val="20"/>
              </w:rPr>
              <w:t xml:space="preserve">from the cells of the body, to the </w:t>
            </w:r>
            <w:r w:rsidRPr="003A6915">
              <w:rPr>
                <w:rFonts w:cstheme="minorHAnsi"/>
                <w:bCs/>
                <w:sz w:val="20"/>
              </w:rPr>
              <w:t>peptides</w:t>
            </w:r>
            <w:r w:rsidR="00B33181">
              <w:rPr>
                <w:rFonts w:cstheme="minorHAnsi"/>
                <w:bCs/>
                <w:sz w:val="20"/>
              </w:rPr>
              <w:t xml:space="preserve"> formed by these proteins</w:t>
            </w:r>
            <w:r w:rsidRPr="003A6915">
              <w:rPr>
                <w:rFonts w:cstheme="minorHAnsi"/>
                <w:bCs/>
                <w:sz w:val="20"/>
              </w:rPr>
              <w:t xml:space="preserve">, to </w:t>
            </w:r>
            <w:r>
              <w:rPr>
                <w:rFonts w:cstheme="minorHAnsi"/>
                <w:bCs/>
                <w:sz w:val="20"/>
              </w:rPr>
              <w:t>HLA-B*15</w:t>
            </w:r>
            <w:r w:rsidR="00B33181">
              <w:rPr>
                <w:rFonts w:cstheme="minorHAnsi"/>
                <w:bCs/>
                <w:sz w:val="20"/>
              </w:rPr>
              <w:t>02</w:t>
            </w:r>
            <w:r w:rsidRPr="003A6915">
              <w:rPr>
                <w:rFonts w:cstheme="minorHAnsi"/>
                <w:bCs/>
                <w:sz w:val="20"/>
              </w:rPr>
              <w:t xml:space="preserve"> or to specific T-cell receptors</w:t>
            </w:r>
            <w:r>
              <w:rPr>
                <w:rFonts w:cstheme="minorHAnsi"/>
                <w:bCs/>
                <w:sz w:val="20"/>
              </w:rPr>
              <w:t xml:space="preserve">. This </w:t>
            </w:r>
            <w:r w:rsidR="00B33181">
              <w:rPr>
                <w:rFonts w:cstheme="minorHAnsi"/>
                <w:bCs/>
                <w:sz w:val="20"/>
              </w:rPr>
              <w:t xml:space="preserve">results in </w:t>
            </w:r>
            <w:r>
              <w:rPr>
                <w:rFonts w:cstheme="minorHAnsi"/>
                <w:bCs/>
                <w:sz w:val="20"/>
              </w:rPr>
              <w:t xml:space="preserve">an </w:t>
            </w:r>
            <w:r w:rsidRPr="003A6915">
              <w:rPr>
                <w:rFonts w:cstheme="minorHAnsi"/>
                <w:bCs/>
                <w:sz w:val="20"/>
              </w:rPr>
              <w:t xml:space="preserve">interaction between </w:t>
            </w:r>
            <w:r w:rsidR="00B33181">
              <w:rPr>
                <w:rFonts w:cstheme="minorHAnsi"/>
                <w:bCs/>
                <w:sz w:val="20"/>
              </w:rPr>
              <w:t>the</w:t>
            </w:r>
            <w:r w:rsidR="00B33181" w:rsidRPr="003A6915">
              <w:rPr>
                <w:rFonts w:cstheme="minorHAnsi"/>
                <w:bCs/>
                <w:sz w:val="20"/>
              </w:rPr>
              <w:t xml:space="preserve"> </w:t>
            </w:r>
            <w:r w:rsidRPr="003A6915">
              <w:rPr>
                <w:rFonts w:cstheme="minorHAnsi"/>
                <w:bCs/>
                <w:sz w:val="20"/>
              </w:rPr>
              <w:t xml:space="preserve">HLA peptide complex and a T-cell receptor, </w:t>
            </w:r>
            <w:r w:rsidR="008B0341">
              <w:rPr>
                <w:rFonts w:cstheme="minorHAnsi"/>
                <w:bCs/>
                <w:sz w:val="20"/>
              </w:rPr>
              <w:t>which triggers</w:t>
            </w:r>
            <w:r w:rsidRPr="003A6915">
              <w:rPr>
                <w:rFonts w:cstheme="minorHAnsi"/>
                <w:bCs/>
                <w:sz w:val="20"/>
              </w:rPr>
              <w:t xml:space="preserve"> a cellular immune reaction against </w:t>
            </w:r>
            <w:r w:rsidR="008B0341">
              <w:rPr>
                <w:rFonts w:cstheme="minorHAnsi"/>
                <w:bCs/>
                <w:sz w:val="20"/>
              </w:rPr>
              <w:t>the</w:t>
            </w:r>
            <w:r w:rsidR="008B0341" w:rsidRPr="003A6915">
              <w:rPr>
                <w:rFonts w:cstheme="minorHAnsi"/>
                <w:bCs/>
                <w:sz w:val="20"/>
              </w:rPr>
              <w:t xml:space="preserve"> </w:t>
            </w:r>
            <w:r w:rsidRPr="003A6915">
              <w:rPr>
                <w:rFonts w:cstheme="minorHAnsi"/>
                <w:bCs/>
                <w:sz w:val="20"/>
              </w:rPr>
              <w:t>cells</w:t>
            </w:r>
            <w:r w:rsidR="008B0341">
              <w:rPr>
                <w:rFonts w:cstheme="minorHAnsi"/>
                <w:bCs/>
                <w:sz w:val="20"/>
              </w:rPr>
              <w:t xml:space="preserve"> of the body.</w:t>
            </w:r>
          </w:p>
          <w:p w14:paraId="16DC9B28" w14:textId="29250B08" w:rsidR="00805885" w:rsidRDefault="003A74D3" w:rsidP="008D59ED">
            <w:pPr>
              <w:rPr>
                <w:rFonts w:cstheme="minorHAnsi"/>
                <w:bCs/>
                <w:sz w:val="20"/>
              </w:rPr>
            </w:pPr>
            <w:r w:rsidRPr="008A0D76">
              <w:rPr>
                <w:rFonts w:cstheme="minorHAnsi"/>
                <w:bCs/>
                <w:sz w:val="20"/>
              </w:rPr>
              <w:t xml:space="preserve">For more information </w:t>
            </w:r>
            <w:r w:rsidR="003078B3">
              <w:rPr>
                <w:rFonts w:cstheme="minorHAnsi"/>
                <w:bCs/>
                <w:sz w:val="20"/>
              </w:rPr>
              <w:t>about</w:t>
            </w:r>
            <w:r w:rsidR="003078B3" w:rsidRPr="008A0D76">
              <w:rPr>
                <w:rFonts w:cstheme="minorHAnsi"/>
                <w:bCs/>
                <w:sz w:val="20"/>
              </w:rPr>
              <w:t xml:space="preserve"> </w:t>
            </w:r>
            <w:r w:rsidRPr="008A0D76">
              <w:rPr>
                <w:rFonts w:cstheme="minorHAnsi"/>
                <w:bCs/>
                <w:sz w:val="20"/>
              </w:rPr>
              <w:t>the HLA-</w:t>
            </w:r>
            <w:r>
              <w:rPr>
                <w:rFonts w:cstheme="minorHAnsi"/>
                <w:bCs/>
                <w:sz w:val="20"/>
              </w:rPr>
              <w:t>B*15</w:t>
            </w:r>
            <w:r w:rsidR="00EB2851">
              <w:rPr>
                <w:rFonts w:cstheme="minorHAnsi"/>
                <w:bCs/>
                <w:sz w:val="20"/>
              </w:rPr>
              <w:t>02</w:t>
            </w:r>
            <w:r w:rsidRPr="008A0D76">
              <w:rPr>
                <w:rFonts w:cstheme="minorHAnsi"/>
                <w:bCs/>
                <w:sz w:val="20"/>
              </w:rPr>
              <w:t>-positive genotype group</w:t>
            </w:r>
            <w:r w:rsidR="003078B3">
              <w:rPr>
                <w:rFonts w:cstheme="minorHAnsi"/>
                <w:bCs/>
                <w:sz w:val="20"/>
              </w:rPr>
              <w:t>:</w:t>
            </w:r>
            <w:r w:rsidRPr="008A0D76">
              <w:rPr>
                <w:rFonts w:cstheme="minorHAnsi"/>
                <w:bCs/>
                <w:sz w:val="20"/>
              </w:rPr>
              <w:t xml:space="preserve"> see the general background information </w:t>
            </w:r>
            <w:r w:rsidR="003078B3">
              <w:rPr>
                <w:rFonts w:cstheme="minorHAnsi"/>
                <w:bCs/>
                <w:sz w:val="20"/>
              </w:rPr>
              <w:t>about</w:t>
            </w:r>
            <w:r w:rsidR="003078B3" w:rsidRPr="008A0D76">
              <w:rPr>
                <w:rFonts w:cstheme="minorHAnsi"/>
                <w:bCs/>
                <w:sz w:val="20"/>
              </w:rPr>
              <w:t xml:space="preserve"> </w:t>
            </w:r>
            <w:r w:rsidRPr="008A0D76">
              <w:rPr>
                <w:rFonts w:cstheme="minorHAnsi"/>
                <w:bCs/>
                <w:sz w:val="20"/>
              </w:rPr>
              <w:t>HLA</w:t>
            </w:r>
            <w:r>
              <w:rPr>
                <w:rFonts w:cstheme="minorHAnsi"/>
                <w:bCs/>
                <w:sz w:val="20"/>
              </w:rPr>
              <w:t xml:space="preserve"> in the KNMP Kennisbank (search for HLA). </w:t>
            </w:r>
          </w:p>
          <w:p w14:paraId="07D95E3F" w14:textId="77777777" w:rsidR="00805885" w:rsidRDefault="00805885" w:rsidP="008D59ED">
            <w:pPr>
              <w:rPr>
                <w:rFonts w:cstheme="minorHAnsi"/>
                <w:bCs/>
                <w:sz w:val="20"/>
              </w:rPr>
            </w:pPr>
          </w:p>
          <w:p w14:paraId="390142DF" w14:textId="77777777" w:rsidR="00805885" w:rsidRDefault="00805885" w:rsidP="008D59ED">
            <w:pPr>
              <w:rPr>
                <w:rFonts w:cstheme="minorHAnsi"/>
                <w:bCs/>
                <w:sz w:val="20"/>
              </w:rPr>
            </w:pPr>
            <w:r>
              <w:rPr>
                <w:rFonts w:cstheme="minorHAnsi"/>
                <w:bCs/>
                <w:sz w:val="20"/>
              </w:rPr>
              <w:t xml:space="preserve">Clinical consequences: </w:t>
            </w:r>
          </w:p>
          <w:p w14:paraId="58BEE695" w14:textId="77777777" w:rsidR="007279E6" w:rsidRDefault="00EB2851" w:rsidP="00EB2851">
            <w:pPr>
              <w:pStyle w:val="NoSpacing"/>
              <w:rPr>
                <w:rFonts w:asciiTheme="minorHAnsi" w:hAnsiTheme="minorHAnsi" w:cstheme="minorHAnsi"/>
                <w:bCs/>
                <w:szCs w:val="20"/>
              </w:rPr>
            </w:pPr>
            <w:bookmarkStart w:id="0" w:name="_Hlk133914737"/>
            <w:r w:rsidRPr="00D83ED9">
              <w:rPr>
                <w:rFonts w:asciiTheme="minorHAnsi" w:hAnsiTheme="minorHAnsi" w:cstheme="minorHAnsi"/>
                <w:bCs/>
                <w:szCs w:val="20"/>
              </w:rPr>
              <w:t>Two case-control studies (with 20 and 3 cases of SJS respectively) and a meta-analysis of the largest case-control study and a case description reveal an increase in the risk of oxcarbazepine-induced Stevens-Johnson syndrome (OR = 26-81, with the OR decreasing with an increasing number of cases in the study). In addition, 4 of the 7 reported Asian cases with oxcarbazepine-induced SJS were carriers of HLA-B*1502. Two Canadian children with oxcarbazepine-induced SJS did not have HLA-B*1502, but the same applied to more than 100 Canadian controls without Asian ancestry.</w:t>
            </w:r>
            <w:bookmarkStart w:id="1" w:name="_Hlk133914774"/>
            <w:bookmarkEnd w:id="0"/>
            <w:r>
              <w:rPr>
                <w:rFonts w:asciiTheme="minorHAnsi" w:hAnsiTheme="minorHAnsi" w:cstheme="minorHAnsi"/>
                <w:bCs/>
                <w:szCs w:val="20"/>
              </w:rPr>
              <w:t xml:space="preserve"> </w:t>
            </w:r>
          </w:p>
          <w:p w14:paraId="0A51FC34" w14:textId="77777777" w:rsidR="00C80B48" w:rsidRDefault="00EB2851" w:rsidP="00EB2851">
            <w:pPr>
              <w:pStyle w:val="NoSpacing"/>
              <w:rPr>
                <w:rFonts w:asciiTheme="minorHAnsi" w:hAnsiTheme="minorHAnsi" w:cstheme="minorHAnsi"/>
                <w:bCs/>
                <w:szCs w:val="20"/>
              </w:rPr>
            </w:pPr>
            <w:r w:rsidRPr="00D83ED9">
              <w:rPr>
                <w:rFonts w:asciiTheme="minorHAnsi" w:hAnsiTheme="minorHAnsi" w:cstheme="minorHAnsi"/>
                <w:bCs/>
                <w:szCs w:val="20"/>
              </w:rPr>
              <w:t xml:space="preserve">A meta-analysis of 3 case-control studies with 23 SJS and 6 DRESS cases showed an increase in the risk of SJS or DRESS (OR = 18). </w:t>
            </w:r>
            <w:bookmarkEnd w:id="1"/>
            <w:r w:rsidRPr="00D83ED9">
              <w:rPr>
                <w:rFonts w:asciiTheme="minorHAnsi" w:hAnsiTheme="minorHAnsi" w:cstheme="minorHAnsi"/>
                <w:bCs/>
                <w:szCs w:val="20"/>
              </w:rPr>
              <w:t xml:space="preserve">Just like SJS, DRESS is a severe cutaneous adverse event. </w:t>
            </w:r>
            <w:bookmarkStart w:id="2" w:name="_Hlk133914803"/>
            <w:r w:rsidRPr="00D83ED9">
              <w:rPr>
                <w:rFonts w:asciiTheme="minorHAnsi" w:hAnsiTheme="minorHAnsi" w:cstheme="minorHAnsi"/>
                <w:bCs/>
                <w:szCs w:val="20"/>
              </w:rPr>
              <w:t>The relative low OR in this study is possibly caused by the inclusion of the DRESS cases. The study from which these cases originated, did find an association of HLA-B*1502 with SJS, but not with DRESS.</w:t>
            </w:r>
            <w:bookmarkEnd w:id="2"/>
            <w:r>
              <w:rPr>
                <w:rFonts w:asciiTheme="minorHAnsi" w:hAnsiTheme="minorHAnsi" w:cstheme="minorHAnsi"/>
                <w:bCs/>
                <w:szCs w:val="20"/>
              </w:rPr>
              <w:t xml:space="preserve"> </w:t>
            </w:r>
          </w:p>
          <w:p w14:paraId="4111BA36" w14:textId="77777777" w:rsidR="00CE068D" w:rsidRDefault="00EB2851" w:rsidP="00EB2851">
            <w:pPr>
              <w:pStyle w:val="NoSpacing"/>
              <w:rPr>
                <w:rFonts w:asciiTheme="minorHAnsi" w:hAnsiTheme="minorHAnsi" w:cstheme="minorHAnsi"/>
                <w:bCs/>
                <w:szCs w:val="20"/>
              </w:rPr>
            </w:pPr>
            <w:r w:rsidRPr="00D83ED9">
              <w:rPr>
                <w:rFonts w:asciiTheme="minorHAnsi" w:hAnsiTheme="minorHAnsi" w:cstheme="minorHAnsi"/>
                <w:bCs/>
                <w:szCs w:val="20"/>
              </w:rPr>
              <w:t xml:space="preserve">A retrospective cohort study with two patients with severe cutaneous adverse events (defined as toxic maculopapular eruption, acute generalised </w:t>
            </w:r>
            <w:proofErr w:type="spellStart"/>
            <w:r w:rsidRPr="00D83ED9">
              <w:rPr>
                <w:rFonts w:asciiTheme="minorHAnsi" w:hAnsiTheme="minorHAnsi" w:cstheme="minorHAnsi"/>
                <w:bCs/>
                <w:szCs w:val="20"/>
              </w:rPr>
              <w:t>exanthematous</w:t>
            </w:r>
            <w:proofErr w:type="spellEnd"/>
            <w:r w:rsidRPr="00D83ED9">
              <w:rPr>
                <w:rFonts w:asciiTheme="minorHAnsi" w:hAnsiTheme="minorHAnsi" w:cstheme="minorHAnsi"/>
                <w:bCs/>
                <w:szCs w:val="20"/>
              </w:rPr>
              <w:t xml:space="preserve"> pustulosis (AGEP), SJS, TEN or DRESS) found </w:t>
            </w:r>
            <w:r w:rsidRPr="00D83ED9">
              <w:rPr>
                <w:rFonts w:asciiTheme="minorHAnsi" w:hAnsiTheme="minorHAnsi" w:cstheme="minorHAnsi"/>
                <w:bCs/>
                <w:szCs w:val="20"/>
              </w:rPr>
              <w:lastRenderedPageBreak/>
              <w:t>no significantly increase</w:t>
            </w:r>
            <w:r w:rsidR="0079182B">
              <w:rPr>
                <w:rFonts w:asciiTheme="minorHAnsi" w:hAnsiTheme="minorHAnsi" w:cstheme="minorHAnsi"/>
                <w:bCs/>
                <w:szCs w:val="20"/>
              </w:rPr>
              <w:t>d</w:t>
            </w:r>
            <w:r w:rsidRPr="00D83ED9">
              <w:rPr>
                <w:rFonts w:asciiTheme="minorHAnsi" w:hAnsiTheme="minorHAnsi" w:cstheme="minorHAnsi"/>
                <w:bCs/>
                <w:szCs w:val="20"/>
              </w:rPr>
              <w:t xml:space="preserve"> risk of severe cutaneous adverse events in carriers of HLA-B*1502 and/or HLA-A*3101. The frequency of HLA-B*1502 and/or HLA-A*3101 in the patients in this study was 8.8%.</w:t>
            </w:r>
            <w:r>
              <w:rPr>
                <w:rFonts w:asciiTheme="minorHAnsi" w:hAnsiTheme="minorHAnsi" w:cstheme="minorHAnsi"/>
                <w:bCs/>
                <w:szCs w:val="20"/>
              </w:rPr>
              <w:t xml:space="preserve"> </w:t>
            </w:r>
          </w:p>
          <w:p w14:paraId="5D8CBABA" w14:textId="76DE167D" w:rsidR="00BD3D2B" w:rsidRDefault="00EB2851" w:rsidP="00EB2851">
            <w:pPr>
              <w:pStyle w:val="NoSpacing"/>
              <w:rPr>
                <w:rFonts w:asciiTheme="minorHAnsi" w:hAnsiTheme="minorHAnsi" w:cstheme="minorHAnsi"/>
                <w:bCs/>
                <w:szCs w:val="20"/>
                <w:lang w:val="en-US"/>
              </w:rPr>
            </w:pPr>
            <w:r w:rsidRPr="00D83ED9">
              <w:rPr>
                <w:rFonts w:asciiTheme="minorHAnsi" w:hAnsiTheme="minorHAnsi" w:cstheme="minorHAnsi"/>
                <w:bCs/>
                <w:szCs w:val="20"/>
                <w:lang w:val="en-US"/>
              </w:rPr>
              <w:t xml:space="preserve">An Asian case with oxcarbazepine-induced cervical lymphadenopathy was HLA-B*1502 carrier. </w:t>
            </w:r>
            <w:r>
              <w:rPr>
                <w:rFonts w:asciiTheme="minorHAnsi" w:hAnsiTheme="minorHAnsi" w:cstheme="minorHAnsi"/>
                <w:bCs/>
                <w:szCs w:val="20"/>
                <w:lang w:val="en-US"/>
              </w:rPr>
              <w:t>C</w:t>
            </w:r>
            <w:r w:rsidRPr="00D83ED9">
              <w:rPr>
                <w:rFonts w:asciiTheme="minorHAnsi" w:hAnsiTheme="minorHAnsi" w:cstheme="minorHAnsi"/>
                <w:bCs/>
                <w:szCs w:val="20"/>
                <w:lang w:val="en-US"/>
              </w:rPr>
              <w:t>ervical lymphadenopathy can be one of the symptoms of DRESS, but was the only symptom</w:t>
            </w:r>
            <w:r w:rsidRPr="00D83ED9">
              <w:rPr>
                <w:szCs w:val="20"/>
                <w:lang w:val="en-US"/>
              </w:rPr>
              <w:t xml:space="preserve"> </w:t>
            </w:r>
            <w:r w:rsidRPr="00D83ED9">
              <w:rPr>
                <w:rFonts w:asciiTheme="minorHAnsi" w:hAnsiTheme="minorHAnsi" w:cstheme="minorHAnsi"/>
                <w:bCs/>
                <w:szCs w:val="20"/>
                <w:lang w:val="en-US"/>
              </w:rPr>
              <w:t xml:space="preserve">in this case. </w:t>
            </w:r>
          </w:p>
          <w:p w14:paraId="6BE88516" w14:textId="77777777" w:rsidR="003078B3" w:rsidRPr="00EB2851" w:rsidRDefault="003078B3" w:rsidP="00EB2851">
            <w:pPr>
              <w:pStyle w:val="NoSpacing"/>
              <w:rPr>
                <w:rFonts w:asciiTheme="minorHAnsi" w:hAnsiTheme="minorHAnsi" w:cstheme="minorHAnsi"/>
                <w:bCs/>
                <w:szCs w:val="20"/>
              </w:rPr>
            </w:pPr>
          </w:p>
          <w:p w14:paraId="44A03BD4" w14:textId="77777777" w:rsidR="00805885" w:rsidRDefault="00805885" w:rsidP="008D59ED">
            <w:pPr>
              <w:rPr>
                <w:rFonts w:cstheme="minorHAnsi"/>
                <w:bCs/>
                <w:sz w:val="20"/>
              </w:rPr>
            </w:pPr>
            <w:r>
              <w:rPr>
                <w:rFonts w:cstheme="minorHAnsi"/>
                <w:bCs/>
                <w:sz w:val="20"/>
              </w:rPr>
              <w:t>Kinetic consequences:</w:t>
            </w:r>
          </w:p>
          <w:p w14:paraId="52240324" w14:textId="24785FF3" w:rsidR="00805885" w:rsidRDefault="003078B3" w:rsidP="008D59E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5BAA1527" w14:textId="77777777" w:rsidR="00805885" w:rsidRDefault="00805885" w:rsidP="008D59ED">
            <w:pPr>
              <w:jc w:val="both"/>
              <w:rPr>
                <w:sz w:val="20"/>
                <w:szCs w:val="20"/>
              </w:rPr>
            </w:pPr>
          </w:p>
          <w:p w14:paraId="26FA5CE6" w14:textId="77777777" w:rsidR="00805885" w:rsidRDefault="00805885" w:rsidP="008D59ED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Literature</w:t>
            </w:r>
          </w:p>
          <w:p w14:paraId="2FF49A23" w14:textId="77777777" w:rsidR="00EB2851" w:rsidRPr="00EB2851" w:rsidRDefault="00EB2851" w:rsidP="00EB2851">
            <w:pPr>
              <w:numPr>
                <w:ilvl w:val="0"/>
                <w:numId w:val="6"/>
              </w:numPr>
              <w:jc w:val="both"/>
              <w:rPr>
                <w:sz w:val="20"/>
                <w:szCs w:val="20"/>
                <w:lang w:val="en-US"/>
              </w:rPr>
            </w:pPr>
            <w:r w:rsidRPr="00EB2851">
              <w:rPr>
                <w:sz w:val="20"/>
                <w:szCs w:val="20"/>
                <w:lang w:val="en-US"/>
              </w:rPr>
              <w:t xml:space="preserve">Lee KH et al. Reducing severe cutaneous adverse and type B adverse drug reactions using pre-stored human leukocyte antigen genotypes. Clin </w:t>
            </w:r>
            <w:proofErr w:type="spellStart"/>
            <w:r w:rsidRPr="00EB2851">
              <w:rPr>
                <w:sz w:val="20"/>
                <w:szCs w:val="20"/>
                <w:lang w:val="en-US"/>
              </w:rPr>
              <w:t>Transl</w:t>
            </w:r>
            <w:proofErr w:type="spellEnd"/>
            <w:r w:rsidRPr="00EB2851">
              <w:rPr>
                <w:sz w:val="20"/>
                <w:szCs w:val="20"/>
                <w:lang w:val="en-US"/>
              </w:rPr>
              <w:t xml:space="preserve"> Allergy 2022;12:e12098.</w:t>
            </w:r>
          </w:p>
          <w:p w14:paraId="55CA00AA" w14:textId="77777777" w:rsidR="00EB2851" w:rsidRPr="00EB2851" w:rsidRDefault="00EB2851" w:rsidP="00EB2851">
            <w:pPr>
              <w:numPr>
                <w:ilvl w:val="0"/>
                <w:numId w:val="6"/>
              </w:numPr>
              <w:jc w:val="both"/>
              <w:rPr>
                <w:sz w:val="20"/>
                <w:szCs w:val="20"/>
                <w:lang w:val="en-US"/>
              </w:rPr>
            </w:pPr>
            <w:proofErr w:type="spellStart"/>
            <w:r w:rsidRPr="00EB2851">
              <w:rPr>
                <w:sz w:val="20"/>
                <w:szCs w:val="20"/>
                <w:lang w:val="en-US"/>
              </w:rPr>
              <w:t>Sukasem</w:t>
            </w:r>
            <w:proofErr w:type="spellEnd"/>
            <w:r w:rsidRPr="00EB2851">
              <w:rPr>
                <w:sz w:val="20"/>
                <w:szCs w:val="20"/>
                <w:lang w:val="en-US"/>
              </w:rPr>
              <w:t xml:space="preserve"> C et al. Spectrum of cutaneous adverse reactions to aromatic antiepileptic drugs and human leukocyte antigen genotypes in Thai patients and meta-analysis. Pharmacogenomics J 2021;21:682-90.</w:t>
            </w:r>
          </w:p>
          <w:p w14:paraId="41884C54" w14:textId="77777777" w:rsidR="00EB2851" w:rsidRPr="00EB2851" w:rsidRDefault="00EB2851" w:rsidP="00EB2851">
            <w:pPr>
              <w:numPr>
                <w:ilvl w:val="0"/>
                <w:numId w:val="6"/>
              </w:numPr>
              <w:jc w:val="both"/>
              <w:rPr>
                <w:sz w:val="20"/>
                <w:szCs w:val="20"/>
                <w:lang w:val="en-US"/>
              </w:rPr>
            </w:pPr>
            <w:r w:rsidRPr="00EB2851">
              <w:rPr>
                <w:sz w:val="20"/>
                <w:szCs w:val="20"/>
                <w:lang w:val="en-US"/>
              </w:rPr>
              <w:t xml:space="preserve">Liu H et al. Association of the HLA-B*15:02 allele with pure cervical lymphadenopathy induced by carbamazepine and oxcarbazepine: a case report and literature review. Basic Clin </w:t>
            </w:r>
            <w:proofErr w:type="spellStart"/>
            <w:r w:rsidRPr="00EB2851">
              <w:rPr>
                <w:sz w:val="20"/>
                <w:szCs w:val="20"/>
                <w:lang w:val="en-US"/>
              </w:rPr>
              <w:t>Pharmacol</w:t>
            </w:r>
            <w:proofErr w:type="spellEnd"/>
            <w:r w:rsidRPr="00EB2851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B2851">
              <w:rPr>
                <w:sz w:val="20"/>
                <w:szCs w:val="20"/>
                <w:lang w:val="en-US"/>
              </w:rPr>
              <w:t>Toxicol</w:t>
            </w:r>
            <w:proofErr w:type="spellEnd"/>
            <w:r w:rsidRPr="00EB2851">
              <w:rPr>
                <w:sz w:val="20"/>
                <w:szCs w:val="20"/>
                <w:lang w:val="en-US"/>
              </w:rPr>
              <w:t xml:space="preserve"> 2021;128:348-51.</w:t>
            </w:r>
          </w:p>
          <w:p w14:paraId="24E512CD" w14:textId="77777777" w:rsidR="00EB2851" w:rsidRPr="00EB2851" w:rsidRDefault="00EB2851" w:rsidP="00EB2851">
            <w:pPr>
              <w:numPr>
                <w:ilvl w:val="0"/>
                <w:numId w:val="6"/>
              </w:numPr>
              <w:jc w:val="both"/>
              <w:rPr>
                <w:sz w:val="20"/>
                <w:szCs w:val="20"/>
                <w:lang w:val="en-US"/>
              </w:rPr>
            </w:pPr>
            <w:r w:rsidRPr="00EB2851">
              <w:rPr>
                <w:sz w:val="20"/>
                <w:szCs w:val="20"/>
                <w:lang w:val="en-US"/>
              </w:rPr>
              <w:t>Liu Y et al. Association between HLA-B*15:02 and oxcarbazepine-induced cutaneous adverse reaction: a meta-analysis. Pharmacogenomics 2018;19:547-52.</w:t>
            </w:r>
          </w:p>
          <w:p w14:paraId="030F059D" w14:textId="77777777" w:rsidR="00EB2851" w:rsidRPr="00EB2851" w:rsidRDefault="00EB2851" w:rsidP="00EB2851">
            <w:pPr>
              <w:numPr>
                <w:ilvl w:val="0"/>
                <w:numId w:val="6"/>
              </w:numPr>
              <w:jc w:val="both"/>
              <w:rPr>
                <w:sz w:val="20"/>
                <w:szCs w:val="20"/>
                <w:lang w:val="en-US"/>
              </w:rPr>
            </w:pPr>
            <w:proofErr w:type="spellStart"/>
            <w:r w:rsidRPr="00EB2851">
              <w:rPr>
                <w:sz w:val="20"/>
                <w:szCs w:val="20"/>
                <w:lang w:val="en-US"/>
              </w:rPr>
              <w:t>Tangamornsuksan</w:t>
            </w:r>
            <w:proofErr w:type="spellEnd"/>
            <w:r w:rsidRPr="00EB2851">
              <w:rPr>
                <w:sz w:val="20"/>
                <w:szCs w:val="20"/>
                <w:lang w:val="en-US"/>
              </w:rPr>
              <w:t xml:space="preserve"> W et al. Association between HLA genotypes and oxcarbazepine-induced cutaneous adverse drug reactions: a systematic review and meta-analysis. J Pharm </w:t>
            </w:r>
            <w:proofErr w:type="spellStart"/>
            <w:r w:rsidRPr="00EB2851">
              <w:rPr>
                <w:sz w:val="20"/>
                <w:szCs w:val="20"/>
                <w:lang w:val="en-US"/>
              </w:rPr>
              <w:t>Pharm</w:t>
            </w:r>
            <w:proofErr w:type="spellEnd"/>
            <w:r w:rsidRPr="00EB2851">
              <w:rPr>
                <w:sz w:val="20"/>
                <w:szCs w:val="20"/>
                <w:lang w:val="en-US"/>
              </w:rPr>
              <w:t xml:space="preserve"> Sci 2018;21:1-18.</w:t>
            </w:r>
          </w:p>
          <w:p w14:paraId="725701EB" w14:textId="77777777" w:rsidR="00EB2851" w:rsidRPr="00EB2851" w:rsidRDefault="00EB2851" w:rsidP="00EB2851">
            <w:pPr>
              <w:numPr>
                <w:ilvl w:val="0"/>
                <w:numId w:val="6"/>
              </w:numPr>
              <w:jc w:val="both"/>
              <w:rPr>
                <w:sz w:val="20"/>
                <w:szCs w:val="20"/>
                <w:lang w:val="en-US"/>
              </w:rPr>
            </w:pPr>
            <w:r w:rsidRPr="00EB2851">
              <w:rPr>
                <w:sz w:val="20"/>
                <w:szCs w:val="20"/>
                <w:lang w:val="en-US"/>
              </w:rPr>
              <w:t>Chen CB et al. Risk and association of HLA with oxcarbazepine-induced cutaneous adverse reactions in Asians. Neurology 2017;88:78-86.</w:t>
            </w:r>
          </w:p>
          <w:p w14:paraId="0EF182D2" w14:textId="77777777" w:rsidR="00EB2851" w:rsidRPr="00EB2851" w:rsidRDefault="00EB2851" w:rsidP="00EB2851">
            <w:pPr>
              <w:numPr>
                <w:ilvl w:val="0"/>
                <w:numId w:val="6"/>
              </w:numPr>
              <w:jc w:val="both"/>
              <w:rPr>
                <w:sz w:val="20"/>
                <w:szCs w:val="20"/>
                <w:lang w:val="en-US"/>
              </w:rPr>
            </w:pPr>
            <w:r w:rsidRPr="00EB2851">
              <w:rPr>
                <w:sz w:val="20"/>
                <w:szCs w:val="20"/>
                <w:lang w:val="en-US"/>
              </w:rPr>
              <w:t xml:space="preserve">Sun D et al. Association of HLA-B*1502 and *1511 allele with antiepileptic drug- induced Stevens-Johnson syndrome in central China. J Huazhong Univ Sci </w:t>
            </w:r>
            <w:proofErr w:type="spellStart"/>
            <w:r w:rsidRPr="00EB2851">
              <w:rPr>
                <w:sz w:val="20"/>
                <w:szCs w:val="20"/>
                <w:lang w:val="en-US"/>
              </w:rPr>
              <w:t>Technolog</w:t>
            </w:r>
            <w:proofErr w:type="spellEnd"/>
            <w:r w:rsidRPr="00EB2851">
              <w:rPr>
                <w:sz w:val="20"/>
                <w:szCs w:val="20"/>
                <w:lang w:val="en-US"/>
              </w:rPr>
              <w:t xml:space="preserve"> Med Sci 2014;34:146-50.</w:t>
            </w:r>
          </w:p>
          <w:p w14:paraId="623472CD" w14:textId="77777777" w:rsidR="00EB2851" w:rsidRPr="00EB2851" w:rsidRDefault="00EB2851" w:rsidP="00EB2851">
            <w:pPr>
              <w:numPr>
                <w:ilvl w:val="0"/>
                <w:numId w:val="6"/>
              </w:numPr>
              <w:jc w:val="both"/>
              <w:rPr>
                <w:sz w:val="20"/>
                <w:szCs w:val="20"/>
                <w:lang w:val="en-US"/>
              </w:rPr>
            </w:pPr>
            <w:proofErr w:type="spellStart"/>
            <w:r w:rsidRPr="00EB2851">
              <w:rPr>
                <w:sz w:val="20"/>
                <w:szCs w:val="20"/>
                <w:lang w:val="en-US"/>
              </w:rPr>
              <w:t>Amstutz</w:t>
            </w:r>
            <w:proofErr w:type="spellEnd"/>
            <w:r w:rsidRPr="00EB2851">
              <w:rPr>
                <w:sz w:val="20"/>
                <w:szCs w:val="20"/>
                <w:lang w:val="en-US"/>
              </w:rPr>
              <w:t xml:space="preserve"> U et al. HLA-A*31:01 and HLA-B*15:02 as genetic markers for carbamazepine hypersensitivity in children. Clin </w:t>
            </w:r>
            <w:proofErr w:type="spellStart"/>
            <w:r w:rsidRPr="00EB2851">
              <w:rPr>
                <w:sz w:val="20"/>
                <w:szCs w:val="20"/>
                <w:lang w:val="en-US"/>
              </w:rPr>
              <w:t>Pharmacol</w:t>
            </w:r>
            <w:proofErr w:type="spellEnd"/>
            <w:r w:rsidRPr="00EB2851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B2851">
              <w:rPr>
                <w:sz w:val="20"/>
                <w:szCs w:val="20"/>
                <w:lang w:val="en-US"/>
              </w:rPr>
              <w:t>Ther</w:t>
            </w:r>
            <w:proofErr w:type="spellEnd"/>
            <w:r w:rsidRPr="00EB2851">
              <w:rPr>
                <w:sz w:val="20"/>
                <w:szCs w:val="20"/>
                <w:lang w:val="en-US"/>
              </w:rPr>
              <w:t xml:space="preserve"> 2013;94:142-9.</w:t>
            </w:r>
          </w:p>
          <w:p w14:paraId="11250B60" w14:textId="77777777" w:rsidR="00EB2851" w:rsidRPr="00EB2851" w:rsidRDefault="00EB2851" w:rsidP="00EB2851">
            <w:pPr>
              <w:numPr>
                <w:ilvl w:val="0"/>
                <w:numId w:val="6"/>
              </w:numPr>
              <w:jc w:val="both"/>
              <w:rPr>
                <w:sz w:val="20"/>
                <w:szCs w:val="20"/>
                <w:lang w:val="en-US"/>
              </w:rPr>
            </w:pPr>
            <w:r w:rsidRPr="00EB2851">
              <w:rPr>
                <w:sz w:val="20"/>
                <w:szCs w:val="20"/>
                <w:lang w:val="en-US"/>
              </w:rPr>
              <w:t>Wal P et al. Genetic predisposition to oxcarbazepine induced Stevens-Johnson syndrome. Indian J Crit Care Med 2011;15:173-5.</w:t>
            </w:r>
          </w:p>
          <w:p w14:paraId="553220BD" w14:textId="77777777" w:rsidR="00EB2851" w:rsidRPr="00EB2851" w:rsidRDefault="00EB2851" w:rsidP="00EB2851">
            <w:pPr>
              <w:numPr>
                <w:ilvl w:val="0"/>
                <w:numId w:val="6"/>
              </w:numPr>
              <w:jc w:val="both"/>
              <w:rPr>
                <w:sz w:val="20"/>
                <w:szCs w:val="20"/>
                <w:lang w:val="en-US"/>
              </w:rPr>
            </w:pPr>
            <w:r w:rsidRPr="00EB2851">
              <w:rPr>
                <w:sz w:val="20"/>
                <w:szCs w:val="20"/>
                <w:lang w:val="en-US"/>
              </w:rPr>
              <w:t>Hung SI et al. Common risk allele in aromatic antiepileptic-drug induced Stevens-Johnson syndrome and toxic epidermal necrolysis in Han Chinese. Pharmacogenomics 2010;11:349-56.</w:t>
            </w:r>
          </w:p>
          <w:p w14:paraId="7F1EDBB5" w14:textId="77777777" w:rsidR="00EB2851" w:rsidRPr="00EB2851" w:rsidRDefault="00EB2851" w:rsidP="00EB2851">
            <w:pPr>
              <w:numPr>
                <w:ilvl w:val="0"/>
                <w:numId w:val="6"/>
              </w:numPr>
              <w:jc w:val="both"/>
              <w:rPr>
                <w:sz w:val="20"/>
                <w:szCs w:val="20"/>
                <w:lang w:val="en-US"/>
              </w:rPr>
            </w:pPr>
            <w:proofErr w:type="spellStart"/>
            <w:r w:rsidRPr="00EB2851">
              <w:rPr>
                <w:sz w:val="20"/>
                <w:szCs w:val="20"/>
                <w:lang w:val="en-US"/>
              </w:rPr>
              <w:t>Shankarkumar</w:t>
            </w:r>
            <w:proofErr w:type="spellEnd"/>
            <w:r w:rsidRPr="00EB2851">
              <w:rPr>
                <w:sz w:val="20"/>
                <w:szCs w:val="20"/>
                <w:lang w:val="en-US"/>
              </w:rPr>
              <w:t xml:space="preserve"> U et al. HLA B*1502 allele association with </w:t>
            </w:r>
            <w:proofErr w:type="spellStart"/>
            <w:r w:rsidRPr="00EB2851">
              <w:rPr>
                <w:sz w:val="20"/>
                <w:szCs w:val="20"/>
                <w:lang w:val="en-US"/>
              </w:rPr>
              <w:t>oxcarbamazepine</w:t>
            </w:r>
            <w:proofErr w:type="spellEnd"/>
            <w:r w:rsidRPr="00EB2851">
              <w:rPr>
                <w:sz w:val="20"/>
                <w:szCs w:val="20"/>
                <w:lang w:val="en-US"/>
              </w:rPr>
              <w:t xml:space="preserve">-induced skin reactions in epilepsy patient from India. </w:t>
            </w:r>
            <w:proofErr w:type="spellStart"/>
            <w:r w:rsidRPr="00EB2851">
              <w:rPr>
                <w:sz w:val="20"/>
                <w:szCs w:val="20"/>
                <w:lang w:val="en-US"/>
              </w:rPr>
              <w:t>Epilepsia</w:t>
            </w:r>
            <w:proofErr w:type="spellEnd"/>
            <w:r w:rsidRPr="00EB2851">
              <w:rPr>
                <w:sz w:val="20"/>
                <w:szCs w:val="20"/>
                <w:lang w:val="en-US"/>
              </w:rPr>
              <w:t xml:space="preserve"> 2009;50:1837-8.</w:t>
            </w:r>
          </w:p>
          <w:p w14:paraId="5DDFA1EB" w14:textId="77777777" w:rsidR="00EB2851" w:rsidRPr="00EB2851" w:rsidRDefault="00EB2851" w:rsidP="00EB2851">
            <w:pPr>
              <w:numPr>
                <w:ilvl w:val="0"/>
                <w:numId w:val="6"/>
              </w:numPr>
              <w:jc w:val="both"/>
              <w:rPr>
                <w:sz w:val="20"/>
                <w:szCs w:val="20"/>
                <w:lang w:val="en-US"/>
              </w:rPr>
            </w:pPr>
            <w:r w:rsidRPr="00EB2851">
              <w:rPr>
                <w:sz w:val="20"/>
                <w:szCs w:val="20"/>
                <w:lang w:val="en-US"/>
              </w:rPr>
              <w:t>Lin LC et al. Oxcarbazepine-induced Stevens-Johnson syndrome: a case report. Kaohsiung J Med Sci 2009;25:82-6.</w:t>
            </w:r>
          </w:p>
          <w:p w14:paraId="67539540" w14:textId="20F6DFA0" w:rsidR="00EB2851" w:rsidRPr="00EB2851" w:rsidRDefault="00EB2851" w:rsidP="00EB2851">
            <w:pPr>
              <w:numPr>
                <w:ilvl w:val="0"/>
                <w:numId w:val="6"/>
              </w:numPr>
              <w:jc w:val="both"/>
              <w:rPr>
                <w:sz w:val="20"/>
                <w:szCs w:val="20"/>
                <w:lang w:val="en-US"/>
              </w:rPr>
            </w:pPr>
            <w:proofErr w:type="spellStart"/>
            <w:r w:rsidRPr="00EB2851">
              <w:rPr>
                <w:sz w:val="20"/>
                <w:szCs w:val="20"/>
                <w:lang w:val="en-US"/>
              </w:rPr>
              <w:t>SmPCs</w:t>
            </w:r>
            <w:proofErr w:type="spellEnd"/>
            <w:r w:rsidRPr="00EB2851">
              <w:rPr>
                <w:sz w:val="20"/>
                <w:szCs w:val="20"/>
                <w:lang w:val="en-US"/>
              </w:rPr>
              <w:t xml:space="preserve"> Trileptal (NL) </w:t>
            </w:r>
            <w:r w:rsidR="005A1102">
              <w:rPr>
                <w:sz w:val="20"/>
                <w:szCs w:val="20"/>
                <w:lang w:val="en-US"/>
              </w:rPr>
              <w:t>and</w:t>
            </w:r>
            <w:r w:rsidR="005A1102" w:rsidRPr="00EB2851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B2851">
              <w:rPr>
                <w:sz w:val="20"/>
                <w:szCs w:val="20"/>
                <w:lang w:val="en-US"/>
              </w:rPr>
              <w:t>Oxtellar</w:t>
            </w:r>
            <w:proofErr w:type="spellEnd"/>
            <w:r w:rsidRPr="00EB2851">
              <w:rPr>
                <w:sz w:val="20"/>
                <w:szCs w:val="20"/>
                <w:lang w:val="en-US"/>
              </w:rPr>
              <w:t xml:space="preserve"> XR (</w:t>
            </w:r>
            <w:r w:rsidR="005A1102">
              <w:rPr>
                <w:sz w:val="20"/>
                <w:szCs w:val="20"/>
                <w:lang w:val="en-US"/>
              </w:rPr>
              <w:t>USA</w:t>
            </w:r>
            <w:r w:rsidRPr="00EB2851">
              <w:rPr>
                <w:sz w:val="20"/>
                <w:szCs w:val="20"/>
                <w:lang w:val="en-US"/>
              </w:rPr>
              <w:t>).</w:t>
            </w:r>
          </w:p>
          <w:p w14:paraId="198728A5" w14:textId="6DAA0E54" w:rsidR="00805885" w:rsidRPr="003A74D3" w:rsidRDefault="00805885" w:rsidP="00EB2851">
            <w:pPr>
              <w:ind w:left="360"/>
              <w:jc w:val="both"/>
              <w:rPr>
                <w:sz w:val="20"/>
                <w:szCs w:val="20"/>
                <w:lang w:val="en-US"/>
              </w:rPr>
            </w:pPr>
          </w:p>
        </w:tc>
      </w:tr>
    </w:tbl>
    <w:p w14:paraId="37A325D3" w14:textId="24A123F4" w:rsidR="00562B53" w:rsidRDefault="00562B53">
      <w:pPr>
        <w:rPr>
          <w:lang w:val="en-US"/>
        </w:rPr>
      </w:pPr>
    </w:p>
    <w:sectPr w:rsidR="00562B5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E164C1"/>
    <w:multiLevelType w:val="multilevel"/>
    <w:tmpl w:val="28DAA8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20F6BC3"/>
    <w:multiLevelType w:val="multilevel"/>
    <w:tmpl w:val="D1728A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64E6D3B"/>
    <w:multiLevelType w:val="multilevel"/>
    <w:tmpl w:val="27BCB4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BF404BA"/>
    <w:multiLevelType w:val="multilevel"/>
    <w:tmpl w:val="FECA36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C41136B"/>
    <w:multiLevelType w:val="multilevel"/>
    <w:tmpl w:val="5F90B6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EC5125E"/>
    <w:multiLevelType w:val="hybridMultilevel"/>
    <w:tmpl w:val="A4389142"/>
    <w:lvl w:ilvl="0" w:tplc="134CA51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8D1B28"/>
    <w:multiLevelType w:val="multilevel"/>
    <w:tmpl w:val="27BCB4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4C5B87"/>
    <w:multiLevelType w:val="multilevel"/>
    <w:tmpl w:val="4CCE0A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D9266CF"/>
    <w:multiLevelType w:val="multilevel"/>
    <w:tmpl w:val="27BCB4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DF43715"/>
    <w:multiLevelType w:val="hybridMultilevel"/>
    <w:tmpl w:val="E3827BFA"/>
    <w:lvl w:ilvl="0" w:tplc="134CA51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EB5550"/>
    <w:multiLevelType w:val="multilevel"/>
    <w:tmpl w:val="5484CD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7213C29"/>
    <w:multiLevelType w:val="multilevel"/>
    <w:tmpl w:val="6A70E4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08A2119"/>
    <w:multiLevelType w:val="multilevel"/>
    <w:tmpl w:val="E0D60C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1FB0655"/>
    <w:multiLevelType w:val="multilevel"/>
    <w:tmpl w:val="27BCB4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248171B"/>
    <w:multiLevelType w:val="multilevel"/>
    <w:tmpl w:val="31B203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36D5E25"/>
    <w:multiLevelType w:val="multilevel"/>
    <w:tmpl w:val="082018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5BD779E"/>
    <w:multiLevelType w:val="multilevel"/>
    <w:tmpl w:val="7F520E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17C0B36"/>
    <w:multiLevelType w:val="multilevel"/>
    <w:tmpl w:val="91B2BF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BE747D6"/>
    <w:multiLevelType w:val="multilevel"/>
    <w:tmpl w:val="595A4BDC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D77376C"/>
    <w:multiLevelType w:val="multilevel"/>
    <w:tmpl w:val="F3C2E8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1D25B20"/>
    <w:multiLevelType w:val="multilevel"/>
    <w:tmpl w:val="51EE8B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7793A30"/>
    <w:multiLevelType w:val="multilevel"/>
    <w:tmpl w:val="F49A78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85D6982"/>
    <w:multiLevelType w:val="multilevel"/>
    <w:tmpl w:val="D0A016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CC44B43"/>
    <w:multiLevelType w:val="multilevel"/>
    <w:tmpl w:val="292E4D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FBB6C9C"/>
    <w:multiLevelType w:val="multilevel"/>
    <w:tmpl w:val="E72871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FFE03EE"/>
    <w:multiLevelType w:val="multilevel"/>
    <w:tmpl w:val="E29038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05001625">
    <w:abstractNumId w:val="18"/>
  </w:num>
  <w:num w:numId="2" w16cid:durableId="1707636095">
    <w:abstractNumId w:val="20"/>
  </w:num>
  <w:num w:numId="3" w16cid:durableId="2103407180">
    <w:abstractNumId w:val="5"/>
  </w:num>
  <w:num w:numId="4" w16cid:durableId="63719671">
    <w:abstractNumId w:val="4"/>
  </w:num>
  <w:num w:numId="5" w16cid:durableId="1261834595">
    <w:abstractNumId w:val="9"/>
  </w:num>
  <w:num w:numId="6" w16cid:durableId="1673338023">
    <w:abstractNumId w:val="6"/>
  </w:num>
  <w:num w:numId="7" w16cid:durableId="1641880487">
    <w:abstractNumId w:val="0"/>
  </w:num>
  <w:num w:numId="8" w16cid:durableId="63184012">
    <w:abstractNumId w:val="10"/>
  </w:num>
  <w:num w:numId="9" w16cid:durableId="1702509169">
    <w:abstractNumId w:val="23"/>
  </w:num>
  <w:num w:numId="10" w16cid:durableId="528880379">
    <w:abstractNumId w:val="24"/>
  </w:num>
  <w:num w:numId="11" w16cid:durableId="1051730453">
    <w:abstractNumId w:val="19"/>
  </w:num>
  <w:num w:numId="12" w16cid:durableId="1188107376">
    <w:abstractNumId w:val="21"/>
  </w:num>
  <w:num w:numId="13" w16cid:durableId="1899584673">
    <w:abstractNumId w:val="17"/>
  </w:num>
  <w:num w:numId="14" w16cid:durableId="991446719">
    <w:abstractNumId w:val="22"/>
  </w:num>
  <w:num w:numId="15" w16cid:durableId="386227118">
    <w:abstractNumId w:val="3"/>
  </w:num>
  <w:num w:numId="16" w16cid:durableId="913511276">
    <w:abstractNumId w:val="11"/>
  </w:num>
  <w:num w:numId="17" w16cid:durableId="1476028389">
    <w:abstractNumId w:val="12"/>
  </w:num>
  <w:num w:numId="18" w16cid:durableId="1122727018">
    <w:abstractNumId w:val="25"/>
  </w:num>
  <w:num w:numId="19" w16cid:durableId="1065371326">
    <w:abstractNumId w:val="16"/>
  </w:num>
  <w:num w:numId="20" w16cid:durableId="1311788663">
    <w:abstractNumId w:val="14"/>
  </w:num>
  <w:num w:numId="21" w16cid:durableId="748618831">
    <w:abstractNumId w:val="7"/>
  </w:num>
  <w:num w:numId="22" w16cid:durableId="618686745">
    <w:abstractNumId w:val="1"/>
  </w:num>
  <w:num w:numId="23" w16cid:durableId="1523132935">
    <w:abstractNumId w:val="15"/>
  </w:num>
  <w:num w:numId="24" w16cid:durableId="1649896176">
    <w:abstractNumId w:val="8"/>
  </w:num>
  <w:num w:numId="25" w16cid:durableId="1107196487">
    <w:abstractNumId w:val="2"/>
  </w:num>
  <w:num w:numId="26" w16cid:durableId="37840498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0532"/>
    <w:rsid w:val="00026D10"/>
    <w:rsid w:val="001F589C"/>
    <w:rsid w:val="002B2D50"/>
    <w:rsid w:val="003078B3"/>
    <w:rsid w:val="003A74D3"/>
    <w:rsid w:val="00481097"/>
    <w:rsid w:val="004B1502"/>
    <w:rsid w:val="00562B53"/>
    <w:rsid w:val="005A1102"/>
    <w:rsid w:val="005A369C"/>
    <w:rsid w:val="005C15AD"/>
    <w:rsid w:val="005E2592"/>
    <w:rsid w:val="006721F6"/>
    <w:rsid w:val="007279E6"/>
    <w:rsid w:val="0079182B"/>
    <w:rsid w:val="00805885"/>
    <w:rsid w:val="008A0D76"/>
    <w:rsid w:val="008A536E"/>
    <w:rsid w:val="008B0341"/>
    <w:rsid w:val="00922D44"/>
    <w:rsid w:val="009238A0"/>
    <w:rsid w:val="009348AA"/>
    <w:rsid w:val="00965838"/>
    <w:rsid w:val="009A0532"/>
    <w:rsid w:val="00A70997"/>
    <w:rsid w:val="00AE52BB"/>
    <w:rsid w:val="00AE6C3C"/>
    <w:rsid w:val="00AF1445"/>
    <w:rsid w:val="00B33181"/>
    <w:rsid w:val="00B567A1"/>
    <w:rsid w:val="00B766D9"/>
    <w:rsid w:val="00BD3D2B"/>
    <w:rsid w:val="00C020E2"/>
    <w:rsid w:val="00C41663"/>
    <w:rsid w:val="00C62915"/>
    <w:rsid w:val="00C71DC6"/>
    <w:rsid w:val="00C80B48"/>
    <w:rsid w:val="00C91D0A"/>
    <w:rsid w:val="00CE068D"/>
    <w:rsid w:val="00E2610F"/>
    <w:rsid w:val="00E74047"/>
    <w:rsid w:val="00EB2851"/>
    <w:rsid w:val="00F52B05"/>
    <w:rsid w:val="00F93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79DE0"/>
  <w15:chartTrackingRefBased/>
  <w15:docId w15:val="{363ED1F6-F5B1-4940-A03F-2DE4880631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0532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A053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9A053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styleId="TableGrid">
    <w:name w:val="Table Grid"/>
    <w:basedOn w:val="TableNormal"/>
    <w:rsid w:val="009A0532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A0532"/>
    <w:pPr>
      <w:ind w:left="720"/>
      <w:contextualSpacing/>
    </w:pPr>
  </w:style>
  <w:style w:type="character" w:customStyle="1" w:styleId="NoSpacingChar">
    <w:name w:val="No Spacing Char"/>
    <w:basedOn w:val="DefaultParagraphFont"/>
    <w:link w:val="NoSpacing"/>
    <w:uiPriority w:val="1"/>
    <w:locked/>
    <w:rsid w:val="003A74D3"/>
    <w:rPr>
      <w:rFonts w:ascii="Times New Roman" w:eastAsia="Times New Roman" w:hAnsi="Times New Roman" w:cs="Times New Roman"/>
      <w:sz w:val="20"/>
      <w:lang w:eastAsia="nl-NL"/>
    </w:rPr>
  </w:style>
  <w:style w:type="paragraph" w:styleId="NoSpacing">
    <w:name w:val="No Spacing"/>
    <w:link w:val="NoSpacingChar"/>
    <w:uiPriority w:val="1"/>
    <w:qFormat/>
    <w:rsid w:val="003A74D3"/>
    <w:pPr>
      <w:tabs>
        <w:tab w:val="left" w:pos="284"/>
        <w:tab w:val="left" w:pos="1701"/>
      </w:tabs>
      <w:spacing w:after="0" w:line="240" w:lineRule="auto"/>
    </w:pPr>
    <w:rPr>
      <w:rFonts w:ascii="Times New Roman" w:eastAsia="Times New Roman" w:hAnsi="Times New Roman" w:cs="Times New Roman"/>
      <w:sz w:val="20"/>
      <w:lang w:eastAsia="nl-NL"/>
    </w:rPr>
  </w:style>
  <w:style w:type="paragraph" w:styleId="Revision">
    <w:name w:val="Revision"/>
    <w:hidden/>
    <w:uiPriority w:val="99"/>
    <w:semiHidden/>
    <w:rsid w:val="00C020E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592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7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8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0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4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54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4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73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37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77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9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1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0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3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3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2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33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5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0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8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96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3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1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94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0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2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0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908</Words>
  <Characters>5178</Characters>
  <Application>Microsoft Office Word</Application>
  <DocSecurity>4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Manson, L.E.N. (KFT)</dc:creator>
  <cp:keywords/>
  <dc:description/>
  <cp:lastModifiedBy>Manson, L.E.N. (KFT)</cp:lastModifiedBy>
  <cp:revision>2</cp:revision>
  <dcterms:created xsi:type="dcterms:W3CDTF">2023-06-19T12:43:00Z</dcterms:created>
  <dcterms:modified xsi:type="dcterms:W3CDTF">2023-06-19T12:43:00Z</dcterms:modified>
</cp:coreProperties>
</file>