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4B11" w14:textId="36B423FF" w:rsidR="009A0532" w:rsidRDefault="009A0532" w:rsidP="009A0532">
      <w:pPr>
        <w:pStyle w:val="Kop2"/>
        <w:rPr>
          <w:lang w:val="en-US"/>
        </w:rPr>
      </w:pPr>
      <w:r>
        <w:rPr>
          <w:lang w:val="en-US"/>
        </w:rPr>
        <w:t>Supplementary table 1</w:t>
      </w:r>
      <w:r w:rsidR="00106834">
        <w:rPr>
          <w:lang w:val="en-US"/>
        </w:rPr>
        <w:t>7</w:t>
      </w:r>
      <w:r>
        <w:rPr>
          <w:lang w:val="en-US"/>
        </w:rPr>
        <w:t xml:space="preserve">. Suggested clinical decision support texts for various health care professionals for </w:t>
      </w:r>
      <w:r w:rsidRPr="0017379F">
        <w:rPr>
          <w:i/>
          <w:iCs/>
          <w:lang w:val="en-GB"/>
        </w:rPr>
        <w:t>HLA-</w:t>
      </w:r>
      <w:r>
        <w:rPr>
          <w:i/>
          <w:iCs/>
          <w:lang w:val="en-GB"/>
        </w:rPr>
        <w:t>A*31:01, HLA-</w:t>
      </w:r>
      <w:r w:rsidRPr="0017379F">
        <w:rPr>
          <w:i/>
          <w:iCs/>
          <w:lang w:val="en-GB"/>
        </w:rPr>
        <w:t>B*</w:t>
      </w:r>
      <w:r>
        <w:rPr>
          <w:i/>
          <w:iCs/>
          <w:lang w:val="en-GB"/>
        </w:rPr>
        <w:t>15:02</w:t>
      </w:r>
      <w:r>
        <w:rPr>
          <w:lang w:val="en-GB"/>
        </w:rPr>
        <w:t xml:space="preserve"> and </w:t>
      </w:r>
      <w:r>
        <w:rPr>
          <w:i/>
          <w:iCs/>
          <w:lang w:val="en-GB"/>
        </w:rPr>
        <w:t xml:space="preserve">HLA-B*15:11 </w:t>
      </w:r>
      <w:r>
        <w:rPr>
          <w:lang w:val="en-US"/>
        </w:rPr>
        <w:t>– carbamazepine</w:t>
      </w:r>
    </w:p>
    <w:p w14:paraId="66DFACA8" w14:textId="77777777" w:rsidR="009A0532" w:rsidRPr="0017379F" w:rsidRDefault="009A0532" w:rsidP="009A0532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20"/>
      </w:tblGrid>
      <w:tr w:rsidR="009A0532" w:rsidRPr="00555FF7" w14:paraId="54274F5B" w14:textId="77777777" w:rsidTr="008D59ED">
        <w:tc>
          <w:tcPr>
            <w:tcW w:w="8720" w:type="dxa"/>
          </w:tcPr>
          <w:p w14:paraId="2DEF8EEF" w14:textId="77777777" w:rsidR="009A0532" w:rsidRDefault="009A0532" w:rsidP="008D59ED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bookmarkStart w:id="0" w:name="_Hlk134007619"/>
          </w:p>
          <w:p w14:paraId="5A4B41DC" w14:textId="7D615CC7" w:rsidR="009A0532" w:rsidRDefault="009A0532" w:rsidP="008D59ED">
            <w:pPr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b/>
                <w:i/>
                <w:iCs/>
                <w:sz w:val="20"/>
                <w:u w:val="single"/>
              </w:rPr>
              <w:t>HLA-</w:t>
            </w:r>
            <w:r w:rsidR="00F93EC1">
              <w:rPr>
                <w:rFonts w:cstheme="minorHAnsi"/>
                <w:b/>
                <w:i/>
                <w:iCs/>
                <w:sz w:val="20"/>
                <w:u w:val="single"/>
              </w:rPr>
              <w:t>A</w:t>
            </w:r>
            <w:r>
              <w:rPr>
                <w:rFonts w:cstheme="minorHAnsi"/>
                <w:b/>
                <w:i/>
                <w:iCs/>
                <w:sz w:val="20"/>
                <w:u w:val="single"/>
              </w:rPr>
              <w:t>*</w:t>
            </w:r>
            <w:r w:rsidR="00F93EC1">
              <w:rPr>
                <w:rFonts w:cstheme="minorHAnsi"/>
                <w:b/>
                <w:i/>
                <w:iCs/>
                <w:sz w:val="20"/>
                <w:u w:val="single"/>
              </w:rPr>
              <w:t>3101</w:t>
            </w:r>
            <w:r>
              <w:rPr>
                <w:rFonts w:cstheme="minorHAnsi"/>
                <w:b/>
                <w:sz w:val="20"/>
                <w:u w:val="single"/>
              </w:rPr>
              <w:t xml:space="preserve">: </w:t>
            </w:r>
            <w:r w:rsidR="00F93EC1">
              <w:rPr>
                <w:rFonts w:cstheme="minorHAnsi"/>
                <w:b/>
                <w:sz w:val="20"/>
                <w:u w:val="single"/>
              </w:rPr>
              <w:t>carbamazepine</w:t>
            </w:r>
          </w:p>
          <w:p w14:paraId="142A895D" w14:textId="77777777" w:rsidR="009A0532" w:rsidRDefault="009A0532" w:rsidP="008D59ED">
            <w:pPr>
              <w:rPr>
                <w:rFonts w:cstheme="minorHAnsi"/>
                <w:b/>
                <w:sz w:val="20"/>
                <w:u w:val="single"/>
              </w:rPr>
            </w:pPr>
          </w:p>
          <w:p w14:paraId="3EE4729A" w14:textId="20E49D00" w:rsidR="009A0532" w:rsidRPr="0031548B" w:rsidRDefault="009A0532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31548B">
              <w:rPr>
                <w:rFonts w:cstheme="minorHAnsi"/>
                <w:b/>
                <w:bCs/>
                <w:sz w:val="20"/>
                <w:lang w:val="en-US"/>
              </w:rPr>
              <w:t xml:space="preserve">Pharmacist </w:t>
            </w:r>
            <w:r w:rsidR="00BE72A9">
              <w:rPr>
                <w:rFonts w:cstheme="minorHAnsi"/>
                <w:b/>
                <w:bCs/>
                <w:sz w:val="20"/>
                <w:lang w:val="en-US"/>
              </w:rPr>
              <w:t xml:space="preserve">and physician </w:t>
            </w:r>
            <w:r w:rsidRPr="0031548B">
              <w:rPr>
                <w:rFonts w:cstheme="minorHAnsi"/>
                <w:b/>
                <w:bCs/>
                <w:sz w:val="20"/>
                <w:lang w:val="en-US"/>
              </w:rPr>
              <w:t>text</w:t>
            </w:r>
          </w:p>
          <w:p w14:paraId="1461007F" w14:textId="4D29146A" w:rsidR="009A0532" w:rsidRDefault="009A0532" w:rsidP="008D59ED">
            <w:pPr>
              <w:rPr>
                <w:rFonts w:cstheme="minorHAnsi"/>
                <w:bCs/>
                <w:sz w:val="20"/>
              </w:rPr>
            </w:pPr>
            <w:r w:rsidRPr="009A0532">
              <w:rPr>
                <w:rFonts w:cstheme="minorHAnsi"/>
                <w:bCs/>
                <w:sz w:val="20"/>
              </w:rPr>
              <w:t xml:space="preserve">An increased risk of </w:t>
            </w:r>
            <w:r>
              <w:rPr>
                <w:rFonts w:cstheme="minorHAnsi"/>
                <w:bCs/>
                <w:sz w:val="20"/>
              </w:rPr>
              <w:t xml:space="preserve">the </w:t>
            </w:r>
            <w:r w:rsidRPr="009A0532">
              <w:rPr>
                <w:rFonts w:cstheme="minorHAnsi"/>
                <w:bCs/>
                <w:sz w:val="20"/>
              </w:rPr>
              <w:t>life-threatening cutaneous side effects DRESS and Stevens-Johnson syndrome/toxic epidermal necrolysis (SJS/TEN) within the first three months is present in patients with this genetic variation. The risk of carbamazepine-induced DRESS in these patients is 0.89%.</w:t>
            </w:r>
          </w:p>
          <w:p w14:paraId="39048747" w14:textId="77777777" w:rsidR="00424221" w:rsidRDefault="00424221" w:rsidP="008D59ED">
            <w:pPr>
              <w:rPr>
                <w:rFonts w:cstheme="minorHAnsi"/>
                <w:bCs/>
                <w:sz w:val="20"/>
              </w:rPr>
            </w:pPr>
          </w:p>
          <w:p w14:paraId="232C9919" w14:textId="77777777" w:rsidR="009A0532" w:rsidRPr="009A0532" w:rsidRDefault="009A0532" w:rsidP="009A0532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bCs/>
                <w:sz w:val="20"/>
                <w:lang w:val="en-US"/>
              </w:rPr>
            </w:pPr>
            <w:r w:rsidRPr="009A0532">
              <w:rPr>
                <w:rFonts w:cstheme="minorHAnsi"/>
                <w:bCs/>
                <w:sz w:val="20"/>
                <w:lang w:val="en-US"/>
              </w:rPr>
              <w:t>Carefully weigh the risk of DRESS and SJS/TEN against the benefits.</w:t>
            </w:r>
          </w:p>
          <w:p w14:paraId="00FA1F04" w14:textId="3C040BA6" w:rsidR="009A0532" w:rsidRPr="009A0532" w:rsidRDefault="009A0532" w:rsidP="009A0532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bCs/>
                <w:sz w:val="20"/>
                <w:lang w:val="en-US"/>
              </w:rPr>
            </w:pPr>
            <w:r w:rsidRPr="009A0532">
              <w:rPr>
                <w:rFonts w:cstheme="minorHAnsi"/>
                <w:bCs/>
                <w:sz w:val="20"/>
                <w:lang w:val="en-US"/>
              </w:rPr>
              <w:t xml:space="preserve">Avoid carbamazepine if an alternative is possible. </w:t>
            </w:r>
          </w:p>
          <w:p w14:paraId="16848225" w14:textId="76EC3007" w:rsidR="009A0532" w:rsidRPr="009A0532" w:rsidRDefault="009A0532" w:rsidP="009A0532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bCs/>
                <w:sz w:val="20"/>
                <w:lang w:val="en-US"/>
              </w:rPr>
            </w:pPr>
            <w:r w:rsidRPr="009A0532">
              <w:rPr>
                <w:rFonts w:cstheme="minorHAnsi"/>
                <w:bCs/>
                <w:sz w:val="20"/>
                <w:lang w:val="en-US"/>
              </w:rPr>
              <w:t>If it is not possible to avoid carbamazepine, advise the patient to report any skin rash immediately.</w:t>
            </w:r>
          </w:p>
          <w:p w14:paraId="4CD63C1A" w14:textId="77777777" w:rsidR="009A0532" w:rsidRPr="0017379F" w:rsidRDefault="009A0532" w:rsidP="008D59ED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51CC9F4A" w14:textId="77777777" w:rsidR="009A0532" w:rsidRPr="0017379F" w:rsidRDefault="009A0532" w:rsidP="008D59E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Background information</w:t>
            </w:r>
          </w:p>
          <w:p w14:paraId="23F5C4EC" w14:textId="77777777" w:rsidR="003A74D3" w:rsidRDefault="003A74D3" w:rsidP="003A74D3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Other considerations: </w:t>
            </w:r>
          </w:p>
          <w:p w14:paraId="26905386" w14:textId="33F96F0B" w:rsidR="003A74D3" w:rsidRDefault="003A74D3" w:rsidP="003A74D3">
            <w:pPr>
              <w:rPr>
                <w:rFonts w:cstheme="minorHAnsi"/>
                <w:bCs/>
                <w:sz w:val="20"/>
              </w:rPr>
            </w:pPr>
            <w:r w:rsidRPr="0017379F">
              <w:rPr>
                <w:rFonts w:cstheme="minorHAnsi"/>
                <w:bCs/>
                <w:sz w:val="20"/>
              </w:rPr>
              <w:t>The severe cutaneous side effect</w:t>
            </w:r>
            <w:r>
              <w:rPr>
                <w:rFonts w:cstheme="minorHAnsi"/>
                <w:bCs/>
                <w:sz w:val="20"/>
              </w:rPr>
              <w:t>s DRESS and</w:t>
            </w:r>
            <w:r w:rsidRPr="0017379F">
              <w:rPr>
                <w:rFonts w:cstheme="minorHAnsi"/>
                <w:bCs/>
                <w:sz w:val="20"/>
              </w:rPr>
              <w:t xml:space="preserve"> Stevens-Johnson syndrome/toxic epidermal necrolysis (SJS/TEN) always occur within the first three months of treatment. If a patient does not develop</w:t>
            </w:r>
            <w:r>
              <w:rPr>
                <w:rFonts w:cstheme="minorHAnsi"/>
                <w:bCs/>
                <w:sz w:val="20"/>
              </w:rPr>
              <w:t xml:space="preserve"> DRESS or</w:t>
            </w:r>
            <w:r w:rsidRPr="0017379F">
              <w:rPr>
                <w:rFonts w:cstheme="minorHAnsi"/>
                <w:bCs/>
                <w:sz w:val="20"/>
              </w:rPr>
              <w:t xml:space="preserve"> SJS/TEN within the first three months of treatment, the chance of developing </w:t>
            </w:r>
            <w:r>
              <w:rPr>
                <w:rFonts w:cstheme="minorHAnsi"/>
                <w:bCs/>
                <w:sz w:val="20"/>
              </w:rPr>
              <w:t>carbamazepine</w:t>
            </w:r>
            <w:r w:rsidRPr="0017379F">
              <w:rPr>
                <w:rFonts w:cstheme="minorHAnsi"/>
                <w:bCs/>
                <w:sz w:val="20"/>
              </w:rPr>
              <w:t xml:space="preserve">-induced </w:t>
            </w:r>
            <w:r>
              <w:rPr>
                <w:rFonts w:cstheme="minorHAnsi"/>
                <w:bCs/>
                <w:sz w:val="20"/>
              </w:rPr>
              <w:t xml:space="preserve">DRESS and </w:t>
            </w:r>
            <w:r w:rsidRPr="0017379F">
              <w:rPr>
                <w:rFonts w:cstheme="minorHAnsi"/>
                <w:bCs/>
                <w:sz w:val="20"/>
              </w:rPr>
              <w:t xml:space="preserve">SJS/TEN </w:t>
            </w:r>
            <w:r w:rsidR="001F6073">
              <w:rPr>
                <w:rFonts w:cstheme="minorHAnsi"/>
                <w:bCs/>
                <w:sz w:val="20"/>
              </w:rPr>
              <w:t xml:space="preserve">later on </w:t>
            </w:r>
            <w:r w:rsidRPr="0017379F">
              <w:rPr>
                <w:rFonts w:cstheme="minorHAnsi"/>
                <w:bCs/>
                <w:sz w:val="20"/>
              </w:rPr>
              <w:t xml:space="preserve">is therefore very small. </w:t>
            </w:r>
            <w:r w:rsidR="00827B6D">
              <w:rPr>
                <w:rFonts w:cstheme="minorHAnsi"/>
                <w:bCs/>
                <w:sz w:val="20"/>
              </w:rPr>
              <w:t>For this reason, t</w:t>
            </w:r>
            <w:r w:rsidRPr="0017379F">
              <w:rPr>
                <w:rFonts w:cstheme="minorHAnsi"/>
                <w:bCs/>
                <w:sz w:val="20"/>
              </w:rPr>
              <w:t xml:space="preserve">he recommendation to avoid </w:t>
            </w:r>
            <w:r>
              <w:rPr>
                <w:rFonts w:cstheme="minorHAnsi"/>
                <w:bCs/>
                <w:sz w:val="20"/>
              </w:rPr>
              <w:t>carbamazepine</w:t>
            </w:r>
            <w:r w:rsidRPr="0017379F">
              <w:rPr>
                <w:rFonts w:cstheme="minorHAnsi"/>
                <w:bCs/>
                <w:sz w:val="20"/>
              </w:rPr>
              <w:t xml:space="preserve"> applies only during the first three months of treatment.</w:t>
            </w:r>
          </w:p>
          <w:p w14:paraId="67939631" w14:textId="77777777" w:rsidR="003A74D3" w:rsidRPr="003A74D3" w:rsidRDefault="003A74D3" w:rsidP="008D59ED">
            <w:pPr>
              <w:rPr>
                <w:rFonts w:cstheme="minorHAnsi"/>
                <w:bCs/>
                <w:sz w:val="20"/>
              </w:rPr>
            </w:pPr>
          </w:p>
          <w:p w14:paraId="62F8C266" w14:textId="4208D301" w:rsidR="00F93EC1" w:rsidRPr="00692F9E" w:rsidRDefault="00F93EC1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692F9E">
              <w:rPr>
                <w:rFonts w:cstheme="minorHAnsi"/>
                <w:bCs/>
                <w:sz w:val="20"/>
                <w:lang w:val="en-US"/>
              </w:rPr>
              <w:t>Mechanism:</w:t>
            </w:r>
          </w:p>
          <w:p w14:paraId="2CB8BC76" w14:textId="0C8BD297" w:rsidR="00F01549" w:rsidRDefault="00F93EC1" w:rsidP="00F93EC1">
            <w:pPr>
              <w:rPr>
                <w:rFonts w:cstheme="minorHAnsi"/>
                <w:bCs/>
                <w:sz w:val="20"/>
                <w:lang w:val="en-US"/>
              </w:rPr>
            </w:pPr>
            <w:r w:rsidRPr="00F93EC1">
              <w:rPr>
                <w:rFonts w:cstheme="minorHAnsi"/>
                <w:bCs/>
                <w:sz w:val="20"/>
                <w:lang w:val="en-US"/>
              </w:rPr>
              <w:t xml:space="preserve">Although the mechanism of hypersensitivity reactions to carbamazepine is not </w:t>
            </w:r>
            <w:r w:rsidR="0014083A">
              <w:rPr>
                <w:rFonts w:cstheme="minorHAnsi"/>
                <w:bCs/>
                <w:sz w:val="20"/>
                <w:lang w:val="en-US"/>
              </w:rPr>
              <w:t>fully</w:t>
            </w:r>
            <w:r w:rsidR="0014083A" w:rsidRPr="00F93EC1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Pr="00F93EC1">
              <w:rPr>
                <w:rFonts w:cstheme="minorHAnsi"/>
                <w:bCs/>
                <w:sz w:val="20"/>
                <w:lang w:val="en-US"/>
              </w:rPr>
              <w:t>known, experimental data suggest the following mechanism.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 </w:t>
            </w:r>
          </w:p>
          <w:p w14:paraId="1EE655B8" w14:textId="58DEC3E3" w:rsidR="00F93EC1" w:rsidRPr="00F93EC1" w:rsidRDefault="00F93EC1" w:rsidP="00F93EC1">
            <w:pPr>
              <w:rPr>
                <w:rFonts w:cstheme="minorHAnsi"/>
                <w:bCs/>
                <w:sz w:val="20"/>
                <w:lang w:val="en-US"/>
              </w:rPr>
            </w:pPr>
            <w:r w:rsidRPr="003A6915">
              <w:rPr>
                <w:rFonts w:cstheme="minorHAnsi"/>
                <w:bCs/>
                <w:sz w:val="20"/>
              </w:rPr>
              <w:t xml:space="preserve">A cellular immune reaction against tissue cells is </w:t>
            </w:r>
            <w:r w:rsidR="00F01549">
              <w:rPr>
                <w:rFonts w:cstheme="minorHAnsi"/>
                <w:bCs/>
                <w:sz w:val="20"/>
              </w:rPr>
              <w:t>provoked when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F01549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derived from proteins </w:t>
            </w:r>
            <w:r w:rsidR="002A1964">
              <w:rPr>
                <w:rFonts w:cstheme="minorHAnsi"/>
                <w:bCs/>
                <w:sz w:val="20"/>
              </w:rPr>
              <w:t>from</w:t>
            </w:r>
            <w:r w:rsidR="002A1964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>these tissue cells</w:t>
            </w:r>
            <w:r w:rsidR="002A1964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bind to specific HLA proteins, </w:t>
            </w:r>
            <w:r w:rsidR="002A1964">
              <w:rPr>
                <w:rFonts w:cstheme="minorHAnsi"/>
                <w:bCs/>
                <w:sz w:val="20"/>
              </w:rPr>
              <w:t xml:space="preserve">which </w:t>
            </w:r>
            <w:r w:rsidRPr="003A6915">
              <w:rPr>
                <w:rFonts w:cstheme="minorHAnsi"/>
                <w:bCs/>
                <w:sz w:val="20"/>
              </w:rPr>
              <w:t xml:space="preserve">are </w:t>
            </w:r>
            <w:r w:rsidR="002A1964">
              <w:rPr>
                <w:rFonts w:cstheme="minorHAnsi"/>
                <w:bCs/>
                <w:sz w:val="20"/>
              </w:rPr>
              <w:t xml:space="preserve">then </w:t>
            </w:r>
            <w:r w:rsidRPr="003A6915">
              <w:rPr>
                <w:rFonts w:cstheme="minorHAnsi"/>
                <w:bCs/>
                <w:sz w:val="20"/>
              </w:rPr>
              <w:t>transported to the cell surface and</w:t>
            </w:r>
            <w:r w:rsidR="004A6613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”recognised” as </w:t>
            </w:r>
            <w:r w:rsidR="005A6745">
              <w:rPr>
                <w:rFonts w:cstheme="minorHAnsi"/>
                <w:bCs/>
                <w:sz w:val="20"/>
              </w:rPr>
              <w:t xml:space="preserve">being </w:t>
            </w:r>
            <w:r w:rsidRPr="003A6915">
              <w:rPr>
                <w:rFonts w:cstheme="minorHAnsi"/>
                <w:bCs/>
                <w:sz w:val="20"/>
              </w:rPr>
              <w:t>foreign by specific immune cell</w:t>
            </w:r>
            <w:r w:rsidR="004A6613">
              <w:rPr>
                <w:rFonts w:cstheme="minorHAnsi"/>
                <w:bCs/>
                <w:sz w:val="20"/>
              </w:rPr>
              <w:t xml:space="preserve"> protein</w:t>
            </w:r>
            <w:r w:rsidR="008A0D76">
              <w:rPr>
                <w:rFonts w:cstheme="minorHAnsi"/>
                <w:bCs/>
                <w:sz w:val="20"/>
              </w:rPr>
              <w:t xml:space="preserve">s </w:t>
            </w:r>
            <w:r w:rsidRPr="003A6915">
              <w:rPr>
                <w:rFonts w:cstheme="minorHAnsi"/>
                <w:bCs/>
                <w:sz w:val="20"/>
              </w:rPr>
              <w:t>(T-cell receptors).</w:t>
            </w:r>
            <w:r>
              <w:rPr>
                <w:rFonts w:cstheme="minorHAnsi"/>
                <w:bCs/>
                <w:sz w:val="20"/>
              </w:rPr>
              <w:t xml:space="preserve"> </w:t>
            </w:r>
            <w:r w:rsidR="008A0D76">
              <w:rPr>
                <w:rFonts w:cstheme="minorHAnsi"/>
                <w:bCs/>
                <w:sz w:val="20"/>
              </w:rPr>
              <w:t xml:space="preserve">Carbamazepine </w:t>
            </w:r>
            <w:r w:rsidR="007445D2">
              <w:rPr>
                <w:rFonts w:cstheme="minorHAnsi"/>
                <w:bCs/>
                <w:sz w:val="20"/>
              </w:rPr>
              <w:t xml:space="preserve">either </w:t>
            </w:r>
            <w:r w:rsidRPr="003A6915">
              <w:rPr>
                <w:rFonts w:cstheme="minorHAnsi"/>
                <w:bCs/>
                <w:sz w:val="20"/>
              </w:rPr>
              <w:t>binds</w:t>
            </w:r>
            <w:r w:rsidR="007445D2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to the proteins </w:t>
            </w:r>
            <w:r w:rsidR="007445D2">
              <w:rPr>
                <w:rFonts w:cstheme="minorHAnsi"/>
                <w:bCs/>
                <w:sz w:val="20"/>
              </w:rPr>
              <w:t xml:space="preserve">from the </w:t>
            </w:r>
            <w:r w:rsidR="00F67182">
              <w:rPr>
                <w:rFonts w:cstheme="minorHAnsi"/>
                <w:bCs/>
                <w:sz w:val="20"/>
              </w:rPr>
              <w:t xml:space="preserve">tissue cells, to the </w:t>
            </w:r>
            <w:r w:rsidRPr="003A6915">
              <w:rPr>
                <w:rFonts w:cstheme="minorHAnsi"/>
                <w:bCs/>
                <w:sz w:val="20"/>
              </w:rPr>
              <w:t>peptides</w:t>
            </w:r>
            <w:r w:rsidR="00F67182">
              <w:rPr>
                <w:rFonts w:cstheme="minorHAnsi"/>
                <w:bCs/>
                <w:sz w:val="20"/>
              </w:rPr>
              <w:t xml:space="preserve"> formed by these proteins</w:t>
            </w:r>
            <w:r w:rsidRPr="003A6915">
              <w:rPr>
                <w:rFonts w:cstheme="minorHAnsi"/>
                <w:bCs/>
                <w:sz w:val="20"/>
              </w:rPr>
              <w:t xml:space="preserve">, to </w:t>
            </w:r>
            <w:r w:rsidR="008A0D76">
              <w:rPr>
                <w:rFonts w:cstheme="minorHAnsi"/>
                <w:bCs/>
                <w:sz w:val="20"/>
              </w:rPr>
              <w:t>HLA-A*3101</w:t>
            </w:r>
            <w:r w:rsidRPr="003A6915">
              <w:rPr>
                <w:rFonts w:cstheme="minorHAnsi"/>
                <w:bCs/>
                <w:sz w:val="20"/>
              </w:rPr>
              <w:t xml:space="preserve"> or to specific T-cell receptors</w:t>
            </w:r>
            <w:r w:rsidR="008A0D76">
              <w:rPr>
                <w:rFonts w:cstheme="minorHAnsi"/>
                <w:bCs/>
                <w:sz w:val="20"/>
              </w:rPr>
              <w:t xml:space="preserve">. This </w:t>
            </w:r>
            <w:r w:rsidR="006C04B5">
              <w:rPr>
                <w:rFonts w:cstheme="minorHAnsi"/>
                <w:bCs/>
                <w:sz w:val="20"/>
              </w:rPr>
              <w:t xml:space="preserve">results in </w:t>
            </w:r>
            <w:r w:rsidR="008A0D76">
              <w:rPr>
                <w:rFonts w:cstheme="minorHAnsi"/>
                <w:bCs/>
                <w:sz w:val="20"/>
              </w:rPr>
              <w:t xml:space="preserve">an </w:t>
            </w:r>
            <w:r w:rsidRPr="003A6915">
              <w:rPr>
                <w:rFonts w:cstheme="minorHAnsi"/>
                <w:bCs/>
                <w:sz w:val="20"/>
              </w:rPr>
              <w:t xml:space="preserve">interaction between </w:t>
            </w:r>
            <w:r w:rsidR="006C04B5">
              <w:rPr>
                <w:rFonts w:cstheme="minorHAnsi"/>
                <w:bCs/>
                <w:sz w:val="20"/>
              </w:rPr>
              <w:t>the</w:t>
            </w:r>
            <w:r w:rsidR="006C04B5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HLA peptide complex and a T-cell receptor, </w:t>
            </w:r>
            <w:r w:rsidR="0048607F">
              <w:rPr>
                <w:rFonts w:cstheme="minorHAnsi"/>
                <w:bCs/>
                <w:sz w:val="20"/>
              </w:rPr>
              <w:t>which causes</w:t>
            </w:r>
            <w:r w:rsidRPr="003A6915">
              <w:rPr>
                <w:rFonts w:cstheme="minorHAnsi"/>
                <w:bCs/>
                <w:sz w:val="20"/>
              </w:rPr>
              <w:t xml:space="preserve"> a cellular immune reaction against tissue cells</w:t>
            </w:r>
            <w:r w:rsidR="0048607F">
              <w:rPr>
                <w:rFonts w:cstheme="minorHAnsi"/>
                <w:bCs/>
                <w:sz w:val="20"/>
              </w:rPr>
              <w:t>.</w:t>
            </w:r>
          </w:p>
          <w:p w14:paraId="5213B9AA" w14:textId="195B57F7" w:rsidR="00F93EC1" w:rsidRDefault="008A0D76" w:rsidP="008D59ED">
            <w:pPr>
              <w:rPr>
                <w:rFonts w:cstheme="minorHAnsi"/>
                <w:bCs/>
                <w:sz w:val="20"/>
              </w:rPr>
            </w:pPr>
            <w:r w:rsidRPr="008A0D76">
              <w:rPr>
                <w:rFonts w:cstheme="minorHAnsi"/>
                <w:bCs/>
                <w:sz w:val="20"/>
              </w:rPr>
              <w:t xml:space="preserve">For more information </w:t>
            </w:r>
            <w:r w:rsidR="0048607F">
              <w:rPr>
                <w:rFonts w:cstheme="minorHAnsi"/>
                <w:bCs/>
                <w:sz w:val="20"/>
              </w:rPr>
              <w:t>about</w:t>
            </w:r>
            <w:r w:rsidR="0048607F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the HLA-A*3101-positive genotype group</w:t>
            </w:r>
            <w:r w:rsidR="00AD54D7">
              <w:rPr>
                <w:rFonts w:cstheme="minorHAnsi"/>
                <w:bCs/>
                <w:sz w:val="20"/>
              </w:rPr>
              <w:t>:</w:t>
            </w:r>
            <w:r w:rsidRPr="008A0D76">
              <w:rPr>
                <w:rFonts w:cstheme="minorHAnsi"/>
                <w:bCs/>
                <w:sz w:val="20"/>
              </w:rPr>
              <w:t xml:space="preserve"> see the general background information </w:t>
            </w:r>
            <w:r w:rsidR="00973255">
              <w:rPr>
                <w:rFonts w:cstheme="minorHAnsi"/>
                <w:bCs/>
                <w:sz w:val="20"/>
              </w:rPr>
              <w:t>about</w:t>
            </w:r>
            <w:r w:rsidR="00973255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HLA</w:t>
            </w:r>
            <w:r>
              <w:rPr>
                <w:rFonts w:cstheme="minorHAnsi"/>
                <w:bCs/>
                <w:sz w:val="20"/>
              </w:rPr>
              <w:t xml:space="preserve"> in the KNMP Kennisbank (search for HLA). </w:t>
            </w:r>
          </w:p>
          <w:p w14:paraId="65BFA22A" w14:textId="77777777" w:rsidR="009A0532" w:rsidRDefault="009A0532" w:rsidP="008D59ED">
            <w:pPr>
              <w:rPr>
                <w:rFonts w:cstheme="minorHAnsi"/>
                <w:bCs/>
                <w:sz w:val="20"/>
              </w:rPr>
            </w:pPr>
          </w:p>
          <w:p w14:paraId="03BD03E5" w14:textId="77777777" w:rsidR="009A0532" w:rsidRDefault="009A0532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Clinical consequences: </w:t>
            </w:r>
          </w:p>
          <w:p w14:paraId="232D966C" w14:textId="77777777" w:rsidR="007B6D9C" w:rsidRDefault="00F93EC1" w:rsidP="00F93EC1">
            <w:pPr>
              <w:rPr>
                <w:sz w:val="20"/>
                <w:szCs w:val="20"/>
              </w:rPr>
            </w:pPr>
            <w:r w:rsidRPr="00F93EC1">
              <w:rPr>
                <w:sz w:val="20"/>
                <w:szCs w:val="20"/>
              </w:rPr>
              <w:t>Two meta-analyses found an increased risk of DRESS (drug reaction with eosinophilia and systemic symptoms) (OR = 10.2-13.2 for all ethnicities combined and OR = 24.1 for Europeans).</w:t>
            </w:r>
            <w:r>
              <w:rPr>
                <w:sz w:val="20"/>
                <w:szCs w:val="20"/>
              </w:rPr>
              <w:t xml:space="preserve"> </w:t>
            </w:r>
            <w:r w:rsidRPr="00F93EC1">
              <w:rPr>
                <w:sz w:val="20"/>
                <w:szCs w:val="20"/>
              </w:rPr>
              <w:t>Three meta-analyses found an increased risk of Stevens-Johnson syndrome/toxic epidermal necrolysis (OR = 3.9-8.0 for all ethnicities combined and OR = 7.9 for Europeans).</w:t>
            </w:r>
            <w:r>
              <w:rPr>
                <w:sz w:val="20"/>
                <w:szCs w:val="20"/>
              </w:rPr>
              <w:t xml:space="preserve"> </w:t>
            </w:r>
          </w:p>
          <w:p w14:paraId="3F74F515" w14:textId="77777777" w:rsidR="00770827" w:rsidRDefault="00F93EC1" w:rsidP="00F93EC1">
            <w:pPr>
              <w:rPr>
                <w:sz w:val="20"/>
                <w:szCs w:val="20"/>
              </w:rPr>
            </w:pPr>
            <w:r w:rsidRPr="00F93EC1">
              <w:rPr>
                <w:sz w:val="20"/>
                <w:szCs w:val="20"/>
              </w:rPr>
              <w:t xml:space="preserve">One meta-analysis of genome-wide association studies found an increased risk of severe cutaneous adverse events (DRESS, SJS/TEN or acute generalised </w:t>
            </w:r>
            <w:proofErr w:type="spellStart"/>
            <w:r w:rsidRPr="00F93EC1">
              <w:rPr>
                <w:sz w:val="20"/>
                <w:szCs w:val="20"/>
              </w:rPr>
              <w:t>exanthematous</w:t>
            </w:r>
            <w:proofErr w:type="spellEnd"/>
            <w:r w:rsidRPr="00F93EC1">
              <w:rPr>
                <w:sz w:val="20"/>
                <w:szCs w:val="20"/>
              </w:rPr>
              <w:t xml:space="preserve"> pustulosis) in Europeans (OR = 8.0)</w:t>
            </w:r>
            <w:r>
              <w:rPr>
                <w:sz w:val="20"/>
                <w:szCs w:val="20"/>
              </w:rPr>
              <w:t xml:space="preserve">. </w:t>
            </w:r>
            <w:r w:rsidRPr="00F93EC1">
              <w:rPr>
                <w:sz w:val="20"/>
                <w:szCs w:val="20"/>
              </w:rPr>
              <w:t xml:space="preserve">One meta-analysis found an increased risk of the mild cutaneous side effect “maculopapular exanthema” (OR = 7.2). </w:t>
            </w:r>
          </w:p>
          <w:p w14:paraId="02E65F92" w14:textId="77777777" w:rsidR="00B22920" w:rsidRDefault="00F93EC1" w:rsidP="00F93EC1">
            <w:pPr>
              <w:rPr>
                <w:sz w:val="20"/>
                <w:szCs w:val="20"/>
              </w:rPr>
            </w:pPr>
            <w:r w:rsidRPr="00F93EC1">
              <w:rPr>
                <w:sz w:val="20"/>
                <w:szCs w:val="20"/>
              </w:rPr>
              <w:t xml:space="preserve">One meta-analysis found an increased risk of all cutaneous side effects combined (OR = 9.5). </w:t>
            </w:r>
          </w:p>
          <w:p w14:paraId="5408B9A6" w14:textId="32A21496" w:rsidR="00FD2D42" w:rsidRDefault="00F93EC1" w:rsidP="00F93EC1">
            <w:pPr>
              <w:rPr>
                <w:sz w:val="20"/>
                <w:szCs w:val="20"/>
              </w:rPr>
            </w:pPr>
            <w:r w:rsidRPr="00F93EC1">
              <w:rPr>
                <w:sz w:val="20"/>
                <w:szCs w:val="20"/>
              </w:rPr>
              <w:t xml:space="preserve">One study in Japanese showed that exclusion of the 17.7% HLA-A*3101-positive patients from treatment with carbamazepine reduced the incidence of carbamazepine-induced cutaneous adverse events from 3.4% to 2.0%. </w:t>
            </w:r>
          </w:p>
          <w:p w14:paraId="7D981D08" w14:textId="77777777" w:rsidR="000375FE" w:rsidRDefault="00F93EC1" w:rsidP="00F93EC1">
            <w:pPr>
              <w:rPr>
                <w:sz w:val="20"/>
                <w:szCs w:val="20"/>
              </w:rPr>
            </w:pPr>
            <w:r w:rsidRPr="00F93EC1">
              <w:rPr>
                <w:sz w:val="20"/>
                <w:szCs w:val="20"/>
              </w:rPr>
              <w:t>Based on one large study, a positive predictive value of 0.89% was calculated for HLA-A*3101 as a predictor of developing carbamazepine-induced DRESS in Europeans.</w:t>
            </w:r>
            <w:r>
              <w:rPr>
                <w:sz w:val="20"/>
                <w:szCs w:val="20"/>
              </w:rPr>
              <w:t xml:space="preserve"> </w:t>
            </w:r>
          </w:p>
          <w:p w14:paraId="054B2B7B" w14:textId="5419D1F2" w:rsidR="009A0532" w:rsidRPr="00F93EC1" w:rsidRDefault="00F93EC1" w:rsidP="00F93EC1">
            <w:pPr>
              <w:rPr>
                <w:sz w:val="20"/>
                <w:szCs w:val="20"/>
              </w:rPr>
            </w:pPr>
            <w:r w:rsidRPr="00F93EC1">
              <w:rPr>
                <w:sz w:val="20"/>
                <w:szCs w:val="20"/>
              </w:rPr>
              <w:t>Based on the genotype-guided study, the positive predictive value for HLA-A*3101 as a predictor of developing carbamazepine-induced cutaneous side effects is 7.9%.</w:t>
            </w:r>
            <w:r w:rsidR="009A0532" w:rsidRPr="0069301C">
              <w:rPr>
                <w:sz w:val="20"/>
                <w:szCs w:val="20"/>
              </w:rPr>
              <w:br/>
            </w:r>
          </w:p>
          <w:p w14:paraId="2FCFC582" w14:textId="77777777" w:rsidR="009A0532" w:rsidRDefault="009A0532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Kinetic consequences:</w:t>
            </w:r>
          </w:p>
          <w:p w14:paraId="50D8CC11" w14:textId="3969BDD7" w:rsidR="009A0532" w:rsidRDefault="00254F0F" w:rsidP="008D59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4F2628BC" w14:textId="766DA9D0" w:rsidR="00805885" w:rsidRDefault="00805885" w:rsidP="008D59ED">
            <w:pPr>
              <w:jc w:val="both"/>
              <w:rPr>
                <w:sz w:val="20"/>
                <w:szCs w:val="20"/>
              </w:rPr>
            </w:pPr>
          </w:p>
          <w:p w14:paraId="281978BA" w14:textId="6ADB2970" w:rsidR="009A0532" w:rsidRDefault="009A0532" w:rsidP="008D59E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Literature</w:t>
            </w:r>
          </w:p>
          <w:p w14:paraId="15DC0F3F" w14:textId="77777777" w:rsidR="00805885" w:rsidRPr="00805885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805885">
              <w:rPr>
                <w:sz w:val="20"/>
                <w:szCs w:val="20"/>
              </w:rPr>
              <w:t xml:space="preserve">Nicoletti P et al. Shared genetic risk factors across carbamazepine-induced hypersensitivity reactions. Clin </w:t>
            </w:r>
            <w:proofErr w:type="spellStart"/>
            <w:r w:rsidRPr="00805885">
              <w:rPr>
                <w:sz w:val="20"/>
                <w:szCs w:val="20"/>
              </w:rPr>
              <w:t>Pharmacol</w:t>
            </w:r>
            <w:proofErr w:type="spellEnd"/>
            <w:r w:rsidRPr="00805885">
              <w:rPr>
                <w:sz w:val="20"/>
                <w:szCs w:val="20"/>
              </w:rPr>
              <w:t xml:space="preserve"> </w:t>
            </w:r>
            <w:proofErr w:type="spellStart"/>
            <w:r w:rsidRPr="00805885">
              <w:rPr>
                <w:sz w:val="20"/>
                <w:szCs w:val="20"/>
              </w:rPr>
              <w:t>Ther</w:t>
            </w:r>
            <w:proofErr w:type="spellEnd"/>
            <w:r w:rsidRPr="00805885">
              <w:rPr>
                <w:sz w:val="20"/>
                <w:szCs w:val="20"/>
              </w:rPr>
              <w:t xml:space="preserve"> 2019;106:1028-36.</w:t>
            </w:r>
          </w:p>
          <w:p w14:paraId="36419DA8" w14:textId="77777777" w:rsidR="00805885" w:rsidRPr="00805885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 w:rsidRPr="00805885">
              <w:rPr>
                <w:sz w:val="20"/>
                <w:szCs w:val="20"/>
              </w:rPr>
              <w:t>Mushiroda</w:t>
            </w:r>
            <w:proofErr w:type="spellEnd"/>
            <w:r w:rsidRPr="00805885">
              <w:rPr>
                <w:sz w:val="20"/>
                <w:szCs w:val="20"/>
              </w:rPr>
              <w:t xml:space="preserve"> T et al. Association of HLA-A*31:01 screening with the incidence of carbamazepine-induced cutaneous adverse reactions in a Japanese population. JAMA </w:t>
            </w:r>
            <w:proofErr w:type="spellStart"/>
            <w:r w:rsidRPr="00805885">
              <w:rPr>
                <w:sz w:val="20"/>
                <w:szCs w:val="20"/>
              </w:rPr>
              <w:t>Neurol</w:t>
            </w:r>
            <w:proofErr w:type="spellEnd"/>
            <w:r w:rsidRPr="00805885">
              <w:rPr>
                <w:sz w:val="20"/>
                <w:szCs w:val="20"/>
              </w:rPr>
              <w:t xml:space="preserve"> 2018;75:842-9.</w:t>
            </w:r>
          </w:p>
          <w:p w14:paraId="0E4A1199" w14:textId="77777777" w:rsidR="00805885" w:rsidRPr="00805885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proofErr w:type="spellStart"/>
            <w:r w:rsidRPr="00805885">
              <w:rPr>
                <w:sz w:val="20"/>
                <w:szCs w:val="20"/>
              </w:rPr>
              <w:t>Genin</w:t>
            </w:r>
            <w:proofErr w:type="spellEnd"/>
            <w:r w:rsidRPr="00805885">
              <w:rPr>
                <w:sz w:val="20"/>
                <w:szCs w:val="20"/>
              </w:rPr>
              <w:t xml:space="preserve"> E et al. HLA-A*31:01 and different types of carbamazepine-induced severe cutaneous adverse reactions: an international study and meta-analysis. Pharmacogenomics J 2014;14:281-8.</w:t>
            </w:r>
          </w:p>
          <w:p w14:paraId="4A91CCB5" w14:textId="77777777" w:rsidR="00805885" w:rsidRPr="00805885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805885">
              <w:rPr>
                <w:sz w:val="20"/>
                <w:szCs w:val="20"/>
              </w:rPr>
              <w:t>Bloch KM et al. Pharmacogenetics of antiepileptic drug-induced hypersensitivity. Pharmacogenomics 2014;15:857-68.</w:t>
            </w:r>
          </w:p>
          <w:p w14:paraId="56672973" w14:textId="77777777" w:rsidR="00805885" w:rsidRPr="00805885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805885">
              <w:rPr>
                <w:sz w:val="20"/>
                <w:szCs w:val="20"/>
              </w:rPr>
              <w:t xml:space="preserve">Grover S et al. HLA alleles and hypersensitivity to carbamazepine: an updated systematic review with meta-analysis. </w:t>
            </w:r>
            <w:proofErr w:type="spellStart"/>
            <w:r w:rsidRPr="00805885">
              <w:rPr>
                <w:sz w:val="20"/>
                <w:szCs w:val="20"/>
              </w:rPr>
              <w:t>Pharmacogenet</w:t>
            </w:r>
            <w:proofErr w:type="spellEnd"/>
            <w:r w:rsidRPr="00805885">
              <w:rPr>
                <w:sz w:val="20"/>
                <w:szCs w:val="20"/>
              </w:rPr>
              <w:t xml:space="preserve"> Genomics 2014;24:94-112.</w:t>
            </w:r>
          </w:p>
          <w:p w14:paraId="4EADF79E" w14:textId="77777777" w:rsidR="00805885" w:rsidRPr="00805885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805885">
              <w:rPr>
                <w:sz w:val="20"/>
                <w:szCs w:val="20"/>
              </w:rPr>
              <w:t xml:space="preserve">Yip VL et al. HLA genotype and carbamazepine-induced cutaneous adverse drug reactions: a systematic review. Clin </w:t>
            </w:r>
            <w:proofErr w:type="spellStart"/>
            <w:r w:rsidRPr="00805885">
              <w:rPr>
                <w:sz w:val="20"/>
                <w:szCs w:val="20"/>
              </w:rPr>
              <w:t>Pharmacol</w:t>
            </w:r>
            <w:proofErr w:type="spellEnd"/>
            <w:r w:rsidRPr="00805885">
              <w:rPr>
                <w:sz w:val="20"/>
                <w:szCs w:val="20"/>
              </w:rPr>
              <w:t xml:space="preserve"> </w:t>
            </w:r>
            <w:proofErr w:type="spellStart"/>
            <w:r w:rsidRPr="00805885">
              <w:rPr>
                <w:sz w:val="20"/>
                <w:szCs w:val="20"/>
              </w:rPr>
              <w:t>Ther</w:t>
            </w:r>
            <w:proofErr w:type="spellEnd"/>
            <w:r w:rsidRPr="00805885">
              <w:rPr>
                <w:sz w:val="20"/>
                <w:szCs w:val="20"/>
              </w:rPr>
              <w:t xml:space="preserve"> 2012;92:757-65.</w:t>
            </w:r>
          </w:p>
          <w:p w14:paraId="0301563F" w14:textId="6E98EEC0" w:rsidR="00805885" w:rsidRPr="00331CF8" w:rsidRDefault="00805885" w:rsidP="00805885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331CF8">
              <w:rPr>
                <w:sz w:val="20"/>
                <w:szCs w:val="20"/>
                <w:lang w:val="en-US"/>
              </w:rPr>
              <w:t>SmPCs</w:t>
            </w:r>
            <w:proofErr w:type="spellEnd"/>
            <w:r w:rsidRPr="00331CF8">
              <w:rPr>
                <w:sz w:val="20"/>
                <w:szCs w:val="20"/>
                <w:lang w:val="en-US"/>
              </w:rPr>
              <w:t xml:space="preserve"> Tegretol (NL </w:t>
            </w:r>
            <w:r w:rsidR="00854B42" w:rsidRPr="00331CF8">
              <w:rPr>
                <w:sz w:val="20"/>
                <w:szCs w:val="20"/>
                <w:lang w:val="en-US"/>
              </w:rPr>
              <w:t>and USA</w:t>
            </w:r>
            <w:r w:rsidRPr="00331CF8">
              <w:rPr>
                <w:sz w:val="20"/>
                <w:szCs w:val="20"/>
                <w:lang w:val="en-US"/>
              </w:rPr>
              <w:t>).</w:t>
            </w:r>
          </w:p>
          <w:p w14:paraId="616E00F3" w14:textId="77777777" w:rsidR="009A0532" w:rsidRPr="00331CF8" w:rsidRDefault="009A0532" w:rsidP="00805885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bookmarkEnd w:id="0"/>
    </w:tbl>
    <w:p w14:paraId="37A325D3" w14:textId="24A123F4" w:rsidR="00562B53" w:rsidRPr="00331CF8" w:rsidRDefault="00562B53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20"/>
      </w:tblGrid>
      <w:tr w:rsidR="00C41663" w:rsidRPr="003A74D3" w14:paraId="646F02AF" w14:textId="77777777" w:rsidTr="008D59ED">
        <w:tc>
          <w:tcPr>
            <w:tcW w:w="8720" w:type="dxa"/>
          </w:tcPr>
          <w:p w14:paraId="26FF4ACF" w14:textId="77777777" w:rsidR="00C41663" w:rsidRPr="00331CF8" w:rsidRDefault="00C41663" w:rsidP="008D59ED">
            <w:pPr>
              <w:rPr>
                <w:rFonts w:ascii="Times New Roman" w:hAnsi="Times New Roman"/>
                <w:b/>
                <w:sz w:val="20"/>
                <w:u w:val="single"/>
                <w:lang w:val="en-US"/>
              </w:rPr>
            </w:pPr>
          </w:p>
          <w:p w14:paraId="2AE5A0D2" w14:textId="7AD07E21" w:rsidR="00C41663" w:rsidRDefault="00C41663" w:rsidP="008D59ED">
            <w:pPr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b/>
                <w:i/>
                <w:iCs/>
                <w:sz w:val="20"/>
                <w:u w:val="single"/>
              </w:rPr>
              <w:t>HLA-B*15</w:t>
            </w:r>
            <w:r w:rsidR="00BD3D2B">
              <w:rPr>
                <w:rFonts w:cstheme="minorHAnsi"/>
                <w:b/>
                <w:i/>
                <w:iCs/>
                <w:sz w:val="20"/>
                <w:u w:val="single"/>
              </w:rPr>
              <w:t>02</w:t>
            </w:r>
            <w:r>
              <w:rPr>
                <w:rFonts w:cstheme="minorHAnsi"/>
                <w:b/>
                <w:sz w:val="20"/>
                <w:u w:val="single"/>
              </w:rPr>
              <w:t>: carbamazepine</w:t>
            </w:r>
          </w:p>
          <w:p w14:paraId="465765EA" w14:textId="77777777" w:rsidR="00C41663" w:rsidRDefault="00C41663" w:rsidP="008D59ED">
            <w:pPr>
              <w:rPr>
                <w:rFonts w:cstheme="minorHAnsi"/>
                <w:b/>
                <w:sz w:val="20"/>
                <w:u w:val="single"/>
              </w:rPr>
            </w:pPr>
          </w:p>
          <w:p w14:paraId="21EDA2BE" w14:textId="76A595AC" w:rsidR="00C41663" w:rsidRPr="0031548B" w:rsidRDefault="00C41663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31548B">
              <w:rPr>
                <w:rFonts w:cstheme="minorHAnsi"/>
                <w:b/>
                <w:bCs/>
                <w:sz w:val="20"/>
                <w:lang w:val="en-US"/>
              </w:rPr>
              <w:t xml:space="preserve">Pharmacist </w:t>
            </w:r>
            <w:r w:rsidR="00BE72A9">
              <w:rPr>
                <w:rFonts w:cstheme="minorHAnsi"/>
                <w:b/>
                <w:bCs/>
                <w:sz w:val="20"/>
                <w:lang w:val="en-US"/>
              </w:rPr>
              <w:t xml:space="preserve">and physician </w:t>
            </w:r>
            <w:r w:rsidRPr="0031548B">
              <w:rPr>
                <w:rFonts w:cstheme="minorHAnsi"/>
                <w:b/>
                <w:bCs/>
                <w:sz w:val="20"/>
                <w:lang w:val="en-US"/>
              </w:rPr>
              <w:t>text</w:t>
            </w:r>
          </w:p>
          <w:p w14:paraId="3489199B" w14:textId="77777777" w:rsidR="00C41663" w:rsidRDefault="00C41663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2B2D50">
              <w:rPr>
                <w:rFonts w:cstheme="minorHAnsi"/>
                <w:bCs/>
                <w:sz w:val="20"/>
                <w:lang w:val="en-US"/>
              </w:rPr>
              <w:t>The risk of carbamazepine-induced SJS/TEN is strongly increased the first three months in patients with the HLA-B*15:02 allele.</w:t>
            </w:r>
            <w:r>
              <w:t xml:space="preserve"> </w:t>
            </w:r>
            <w:r w:rsidRPr="002B2D50">
              <w:rPr>
                <w:rFonts w:cstheme="minorHAnsi"/>
                <w:bCs/>
                <w:sz w:val="20"/>
                <w:lang w:val="en-US"/>
              </w:rPr>
              <w:t>The risk of carbamazepine-induced SJS/TEN in these patients is 1.8-</w:t>
            </w:r>
            <w:r>
              <w:rPr>
                <w:rFonts w:cstheme="minorHAnsi"/>
                <w:bCs/>
                <w:sz w:val="20"/>
                <w:lang w:val="en-US"/>
              </w:rPr>
              <w:t>7</w:t>
            </w:r>
            <w:r w:rsidRPr="002B2D50">
              <w:rPr>
                <w:rFonts w:cstheme="minorHAnsi"/>
                <w:bCs/>
                <w:sz w:val="20"/>
                <w:lang w:val="en-US"/>
              </w:rPr>
              <w:t>.</w:t>
            </w:r>
            <w:r>
              <w:rPr>
                <w:rFonts w:cstheme="minorHAnsi"/>
                <w:bCs/>
                <w:sz w:val="20"/>
                <w:lang w:val="en-US"/>
              </w:rPr>
              <w:t>7</w:t>
            </w:r>
            <w:r w:rsidRPr="002B2D50">
              <w:rPr>
                <w:rFonts w:cstheme="minorHAnsi"/>
                <w:bCs/>
                <w:sz w:val="20"/>
                <w:lang w:val="en-US"/>
              </w:rPr>
              <w:t>%.</w:t>
            </w:r>
          </w:p>
          <w:p w14:paraId="39573832" w14:textId="77777777" w:rsidR="00DB472A" w:rsidRDefault="00DB472A" w:rsidP="008D59ED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0AA82D33" w14:textId="4975839C" w:rsidR="00C41663" w:rsidRPr="003A74D3" w:rsidRDefault="00C41663" w:rsidP="008D59ED">
            <w:pPr>
              <w:pStyle w:val="Lijstalinea"/>
              <w:numPr>
                <w:ilvl w:val="0"/>
                <w:numId w:val="5"/>
              </w:numPr>
              <w:rPr>
                <w:rFonts w:cstheme="minorHAnsi"/>
                <w:bCs/>
                <w:sz w:val="20"/>
                <w:lang w:val="en-US"/>
              </w:rPr>
            </w:pPr>
            <w:r w:rsidRPr="003A74D3">
              <w:rPr>
                <w:rFonts w:cstheme="minorHAnsi"/>
                <w:bCs/>
                <w:sz w:val="20"/>
                <w:lang w:val="en-US"/>
              </w:rPr>
              <w:t xml:space="preserve">Avoid carbamazepine. </w:t>
            </w:r>
            <w:r w:rsidR="00E84BAC">
              <w:rPr>
                <w:rFonts w:cstheme="minorHAnsi"/>
                <w:bCs/>
                <w:sz w:val="20"/>
                <w:lang w:val="en-US"/>
              </w:rPr>
              <w:br/>
            </w:r>
            <w:r w:rsidRPr="003A74D3">
              <w:rPr>
                <w:rFonts w:cstheme="minorHAnsi"/>
                <w:bCs/>
                <w:sz w:val="20"/>
                <w:lang w:val="en-US"/>
              </w:rPr>
              <w:t>Phenytoin, lamotrigine and oxcarbazepine also pose an increased risk of SJS/TEN in these patients, but the final risk is 5-10-fold lower for these medicines than for carbamazepine. Furthermore, in the case of oxcarbazepine, the most severe forms (SJS/TEN overlap and TEN) have not been observed.</w:t>
            </w:r>
          </w:p>
          <w:p w14:paraId="70DAA17E" w14:textId="77777777" w:rsidR="00C41663" w:rsidRPr="002B2D50" w:rsidRDefault="00C41663" w:rsidP="008D59ED">
            <w:pPr>
              <w:rPr>
                <w:rFonts w:cstheme="minorHAnsi"/>
                <w:bCs/>
                <w:sz w:val="20"/>
                <w:lang w:val="en-US"/>
              </w:rPr>
            </w:pPr>
          </w:p>
          <w:p w14:paraId="0E723FCF" w14:textId="77777777" w:rsidR="00C41663" w:rsidRPr="0017379F" w:rsidRDefault="00C41663" w:rsidP="008D59E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Background information</w:t>
            </w:r>
          </w:p>
          <w:p w14:paraId="5006A45E" w14:textId="77777777" w:rsidR="00C41663" w:rsidRDefault="00C41663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Other considerations: </w:t>
            </w:r>
          </w:p>
          <w:p w14:paraId="29DC7E85" w14:textId="576304E5" w:rsidR="00C41663" w:rsidRDefault="00C41663" w:rsidP="008D59ED">
            <w:pPr>
              <w:rPr>
                <w:rFonts w:cstheme="minorHAnsi"/>
                <w:bCs/>
                <w:sz w:val="20"/>
              </w:rPr>
            </w:pPr>
            <w:r w:rsidRPr="0017379F">
              <w:rPr>
                <w:rFonts w:cstheme="minorHAnsi"/>
                <w:bCs/>
                <w:sz w:val="20"/>
              </w:rPr>
              <w:t xml:space="preserve">The severe cutaneous side effect Stevens-Johnson syndrome/toxic epidermal necrolysis (SJS/TEN) always occurs within the first three months of treatment. If a patient does not develop SJS/TEN within the first three months of treatment, the chance of developing </w:t>
            </w:r>
            <w:r>
              <w:rPr>
                <w:rFonts w:cstheme="minorHAnsi"/>
                <w:bCs/>
                <w:sz w:val="20"/>
              </w:rPr>
              <w:t>carbamazepine</w:t>
            </w:r>
            <w:r w:rsidRPr="0017379F">
              <w:rPr>
                <w:rFonts w:cstheme="minorHAnsi"/>
                <w:bCs/>
                <w:sz w:val="20"/>
              </w:rPr>
              <w:t xml:space="preserve">-induced SJS/TEN </w:t>
            </w:r>
            <w:r w:rsidR="00F2492D">
              <w:rPr>
                <w:rFonts w:cstheme="minorHAnsi"/>
                <w:bCs/>
                <w:sz w:val="20"/>
              </w:rPr>
              <w:t xml:space="preserve">later on </w:t>
            </w:r>
            <w:r w:rsidRPr="0017379F">
              <w:rPr>
                <w:rFonts w:cstheme="minorHAnsi"/>
                <w:bCs/>
                <w:sz w:val="20"/>
              </w:rPr>
              <w:t xml:space="preserve">is therefore very small. </w:t>
            </w:r>
            <w:r w:rsidR="006222E2">
              <w:rPr>
                <w:rFonts w:cstheme="minorHAnsi"/>
                <w:bCs/>
                <w:sz w:val="20"/>
              </w:rPr>
              <w:t>For this reason, t</w:t>
            </w:r>
            <w:r w:rsidRPr="0017379F">
              <w:rPr>
                <w:rFonts w:cstheme="minorHAnsi"/>
                <w:bCs/>
                <w:sz w:val="20"/>
              </w:rPr>
              <w:t xml:space="preserve">he recommendation to avoid </w:t>
            </w:r>
            <w:r>
              <w:rPr>
                <w:rFonts w:cstheme="minorHAnsi"/>
                <w:bCs/>
                <w:sz w:val="20"/>
              </w:rPr>
              <w:t>carbamazepine</w:t>
            </w:r>
            <w:r w:rsidRPr="0017379F">
              <w:rPr>
                <w:rFonts w:cstheme="minorHAnsi"/>
                <w:bCs/>
                <w:sz w:val="20"/>
              </w:rPr>
              <w:t xml:space="preserve"> applies only during the first three months of treatment.</w:t>
            </w:r>
          </w:p>
          <w:p w14:paraId="0AEE7C07" w14:textId="77777777" w:rsidR="00C41663" w:rsidRDefault="00C41663" w:rsidP="008D59ED">
            <w:pPr>
              <w:rPr>
                <w:rFonts w:cstheme="minorHAnsi"/>
                <w:bCs/>
                <w:sz w:val="20"/>
              </w:rPr>
            </w:pPr>
          </w:p>
          <w:p w14:paraId="7A18C57F" w14:textId="77777777" w:rsidR="00C41663" w:rsidRPr="00805885" w:rsidRDefault="00C41663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805885">
              <w:rPr>
                <w:rFonts w:cstheme="minorHAnsi"/>
                <w:bCs/>
                <w:sz w:val="20"/>
                <w:lang w:val="en-US"/>
              </w:rPr>
              <w:t>Mechanism:</w:t>
            </w:r>
          </w:p>
          <w:p w14:paraId="2EE5899E" w14:textId="0DFE35C0" w:rsidR="00E25C97" w:rsidRDefault="00C41663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F93EC1">
              <w:rPr>
                <w:rFonts w:cstheme="minorHAnsi"/>
                <w:bCs/>
                <w:sz w:val="20"/>
                <w:lang w:val="en-US"/>
              </w:rPr>
              <w:t xml:space="preserve">Although the mechanism of hypersensitivity reactions to carbamazepine is not </w:t>
            </w:r>
            <w:r w:rsidR="00E25C97">
              <w:rPr>
                <w:rFonts w:cstheme="minorHAnsi"/>
                <w:bCs/>
                <w:sz w:val="20"/>
                <w:lang w:val="en-US"/>
              </w:rPr>
              <w:t>fully</w:t>
            </w:r>
            <w:r w:rsidR="00E25C97" w:rsidRPr="00F93EC1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Pr="00F93EC1">
              <w:rPr>
                <w:rFonts w:cstheme="minorHAnsi"/>
                <w:bCs/>
                <w:sz w:val="20"/>
                <w:lang w:val="en-US"/>
              </w:rPr>
              <w:t>known, experimental data suggest the following mechanism.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 </w:t>
            </w:r>
          </w:p>
          <w:p w14:paraId="235D98BE" w14:textId="73AC69FE" w:rsidR="00C41663" w:rsidRPr="00F93EC1" w:rsidRDefault="00C41663" w:rsidP="008D59ED">
            <w:pPr>
              <w:rPr>
                <w:rFonts w:cstheme="minorHAnsi"/>
                <w:bCs/>
                <w:sz w:val="20"/>
                <w:lang w:val="en-US"/>
              </w:rPr>
            </w:pPr>
            <w:r w:rsidRPr="003A6915">
              <w:rPr>
                <w:rFonts w:cstheme="minorHAnsi"/>
                <w:bCs/>
                <w:sz w:val="20"/>
              </w:rPr>
              <w:t xml:space="preserve">A cellular immune reaction against tissue cells is </w:t>
            </w:r>
            <w:r w:rsidR="00E25C97">
              <w:rPr>
                <w:rFonts w:cstheme="minorHAnsi"/>
                <w:bCs/>
                <w:sz w:val="20"/>
              </w:rPr>
              <w:t>provoked when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E25C97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derived from proteins </w:t>
            </w:r>
            <w:r w:rsidR="00E25C97">
              <w:rPr>
                <w:rFonts w:cstheme="minorHAnsi"/>
                <w:bCs/>
                <w:sz w:val="20"/>
              </w:rPr>
              <w:t>from</w:t>
            </w:r>
            <w:r w:rsidR="00E25C97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>these tissue cells</w:t>
            </w:r>
            <w:r w:rsidR="00E25C97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bind to specific HLA proteins, </w:t>
            </w:r>
            <w:r w:rsidR="001F3F47">
              <w:rPr>
                <w:rFonts w:cstheme="minorHAnsi"/>
                <w:bCs/>
                <w:sz w:val="20"/>
              </w:rPr>
              <w:t xml:space="preserve">which </w:t>
            </w:r>
            <w:r w:rsidRPr="003A6915">
              <w:rPr>
                <w:rFonts w:cstheme="minorHAnsi"/>
                <w:bCs/>
                <w:sz w:val="20"/>
              </w:rPr>
              <w:t xml:space="preserve">are </w:t>
            </w:r>
            <w:r w:rsidR="001F3F47">
              <w:rPr>
                <w:rFonts w:cstheme="minorHAnsi"/>
                <w:bCs/>
                <w:sz w:val="20"/>
              </w:rPr>
              <w:t xml:space="preserve">then </w:t>
            </w:r>
            <w:r w:rsidRPr="003A6915">
              <w:rPr>
                <w:rFonts w:cstheme="minorHAnsi"/>
                <w:bCs/>
                <w:sz w:val="20"/>
              </w:rPr>
              <w:t>transported to the cell surface and</w:t>
            </w:r>
            <w:r w:rsidR="001F3F47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”recognised” as </w:t>
            </w:r>
            <w:r w:rsidR="001D1521">
              <w:rPr>
                <w:rFonts w:cstheme="minorHAnsi"/>
                <w:bCs/>
                <w:sz w:val="20"/>
              </w:rPr>
              <w:t xml:space="preserve">being </w:t>
            </w:r>
            <w:r w:rsidRPr="003A6915">
              <w:rPr>
                <w:rFonts w:cstheme="minorHAnsi"/>
                <w:bCs/>
                <w:sz w:val="20"/>
              </w:rPr>
              <w:t>foreign by specific immune cell</w:t>
            </w:r>
            <w:r w:rsidR="001F3F47">
              <w:rPr>
                <w:rFonts w:cstheme="minorHAnsi"/>
                <w:bCs/>
                <w:sz w:val="20"/>
              </w:rPr>
              <w:t xml:space="preserve"> protein</w:t>
            </w:r>
            <w:r>
              <w:rPr>
                <w:rFonts w:cstheme="minorHAnsi"/>
                <w:bCs/>
                <w:sz w:val="20"/>
              </w:rPr>
              <w:t xml:space="preserve">s </w:t>
            </w:r>
            <w:r w:rsidRPr="003A6915">
              <w:rPr>
                <w:rFonts w:cstheme="minorHAnsi"/>
                <w:bCs/>
                <w:sz w:val="20"/>
              </w:rPr>
              <w:t>(T-cell receptors).</w:t>
            </w:r>
            <w:r>
              <w:rPr>
                <w:rFonts w:cstheme="minorHAnsi"/>
                <w:bCs/>
                <w:sz w:val="20"/>
              </w:rPr>
              <w:t xml:space="preserve"> Carbamazepine </w:t>
            </w:r>
            <w:r w:rsidR="00F713EE">
              <w:rPr>
                <w:rFonts w:cstheme="minorHAnsi"/>
                <w:bCs/>
                <w:sz w:val="20"/>
              </w:rPr>
              <w:t xml:space="preserve">either </w:t>
            </w:r>
            <w:r w:rsidRPr="003A6915">
              <w:rPr>
                <w:rFonts w:cstheme="minorHAnsi"/>
                <w:bCs/>
                <w:sz w:val="20"/>
              </w:rPr>
              <w:t>binds to the proteins</w:t>
            </w:r>
            <w:r w:rsidR="00EB6BE8">
              <w:t xml:space="preserve"> </w:t>
            </w:r>
            <w:r w:rsidR="00EB6BE8" w:rsidRPr="00EB6BE8">
              <w:rPr>
                <w:rFonts w:cstheme="minorHAnsi"/>
                <w:bCs/>
                <w:sz w:val="20"/>
              </w:rPr>
              <w:t>from the tissue cells</w:t>
            </w:r>
            <w:r w:rsidR="00C9151B">
              <w:rPr>
                <w:rFonts w:cstheme="minorHAnsi"/>
                <w:bCs/>
                <w:sz w:val="20"/>
              </w:rPr>
              <w:t xml:space="preserve">, to </w:t>
            </w:r>
            <w:r w:rsidR="005C132A">
              <w:rPr>
                <w:rFonts w:cstheme="minorHAnsi"/>
                <w:bCs/>
                <w:sz w:val="20"/>
              </w:rPr>
              <w:t>the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5C132A">
              <w:rPr>
                <w:rFonts w:cstheme="minorHAnsi"/>
                <w:bCs/>
                <w:sz w:val="20"/>
              </w:rPr>
              <w:t xml:space="preserve"> formed by these proteins</w:t>
            </w:r>
            <w:r w:rsidRPr="003A6915">
              <w:rPr>
                <w:rFonts w:cstheme="minorHAnsi"/>
                <w:bCs/>
                <w:sz w:val="20"/>
              </w:rPr>
              <w:t xml:space="preserve">, to </w:t>
            </w:r>
            <w:r>
              <w:rPr>
                <w:rFonts w:cstheme="minorHAnsi"/>
                <w:bCs/>
                <w:sz w:val="20"/>
              </w:rPr>
              <w:t>HLA-B*1502</w:t>
            </w:r>
            <w:r w:rsidRPr="003A6915">
              <w:rPr>
                <w:rFonts w:cstheme="minorHAnsi"/>
                <w:bCs/>
                <w:sz w:val="20"/>
              </w:rPr>
              <w:t xml:space="preserve"> or to specific T-cell receptors</w:t>
            </w:r>
            <w:r>
              <w:rPr>
                <w:rFonts w:cstheme="minorHAnsi"/>
                <w:bCs/>
                <w:sz w:val="20"/>
              </w:rPr>
              <w:t xml:space="preserve">. This </w:t>
            </w:r>
            <w:r w:rsidR="002E52F9">
              <w:rPr>
                <w:rFonts w:cstheme="minorHAnsi"/>
                <w:bCs/>
                <w:sz w:val="20"/>
              </w:rPr>
              <w:t xml:space="preserve">results in </w:t>
            </w:r>
            <w:r>
              <w:rPr>
                <w:rFonts w:cstheme="minorHAnsi"/>
                <w:bCs/>
                <w:sz w:val="20"/>
              </w:rPr>
              <w:t xml:space="preserve">an </w:t>
            </w:r>
            <w:r w:rsidRPr="003A6915">
              <w:rPr>
                <w:rFonts w:cstheme="minorHAnsi"/>
                <w:bCs/>
                <w:sz w:val="20"/>
              </w:rPr>
              <w:t xml:space="preserve">interaction between </w:t>
            </w:r>
            <w:r w:rsidR="002E52F9">
              <w:rPr>
                <w:rFonts w:cstheme="minorHAnsi"/>
                <w:bCs/>
                <w:sz w:val="20"/>
              </w:rPr>
              <w:t>the</w:t>
            </w:r>
            <w:r w:rsidR="002E52F9" w:rsidRPr="003A6915">
              <w:rPr>
                <w:rFonts w:cstheme="minorHAnsi"/>
                <w:bCs/>
                <w:sz w:val="20"/>
              </w:rPr>
              <w:t xml:space="preserve"> </w:t>
            </w:r>
            <w:r w:rsidRPr="003A6915">
              <w:rPr>
                <w:rFonts w:cstheme="minorHAnsi"/>
                <w:bCs/>
                <w:sz w:val="20"/>
              </w:rPr>
              <w:t xml:space="preserve">HLA peptide complex and a T-cell receptor, </w:t>
            </w:r>
            <w:r w:rsidR="002E52F9">
              <w:rPr>
                <w:rFonts w:cstheme="minorHAnsi"/>
                <w:bCs/>
                <w:sz w:val="20"/>
              </w:rPr>
              <w:t>which causes</w:t>
            </w:r>
            <w:r w:rsidRPr="003A6915">
              <w:rPr>
                <w:rFonts w:cstheme="minorHAnsi"/>
                <w:bCs/>
                <w:sz w:val="20"/>
              </w:rPr>
              <w:t xml:space="preserve"> a cellular immune reaction against </w:t>
            </w:r>
            <w:r w:rsidR="00064FD3">
              <w:rPr>
                <w:rFonts w:cstheme="minorHAnsi"/>
                <w:bCs/>
                <w:sz w:val="20"/>
              </w:rPr>
              <w:t xml:space="preserve">the </w:t>
            </w:r>
            <w:r w:rsidRPr="003A6915">
              <w:rPr>
                <w:rFonts w:cstheme="minorHAnsi"/>
                <w:bCs/>
                <w:sz w:val="20"/>
              </w:rPr>
              <w:t>tissue cells</w:t>
            </w:r>
            <w:r w:rsidR="00064FD3">
              <w:rPr>
                <w:rFonts w:cstheme="minorHAnsi"/>
                <w:bCs/>
                <w:sz w:val="20"/>
              </w:rPr>
              <w:t>.</w:t>
            </w:r>
          </w:p>
          <w:p w14:paraId="58B97163" w14:textId="13464EAC" w:rsidR="00C41663" w:rsidRDefault="00C41663" w:rsidP="008D59ED">
            <w:pPr>
              <w:rPr>
                <w:rFonts w:cstheme="minorHAnsi"/>
                <w:bCs/>
                <w:sz w:val="20"/>
              </w:rPr>
            </w:pPr>
            <w:r w:rsidRPr="008A0D76">
              <w:rPr>
                <w:rFonts w:cstheme="minorHAnsi"/>
                <w:bCs/>
                <w:sz w:val="20"/>
              </w:rPr>
              <w:t xml:space="preserve">For more information </w:t>
            </w:r>
            <w:r w:rsidR="00064FD3">
              <w:rPr>
                <w:rFonts w:cstheme="minorHAnsi"/>
                <w:bCs/>
                <w:sz w:val="20"/>
              </w:rPr>
              <w:t>about</w:t>
            </w:r>
            <w:r w:rsidR="00064FD3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the HLA-</w:t>
            </w:r>
            <w:r>
              <w:rPr>
                <w:rFonts w:cstheme="minorHAnsi"/>
                <w:bCs/>
                <w:sz w:val="20"/>
              </w:rPr>
              <w:t>B*1502</w:t>
            </w:r>
            <w:r w:rsidRPr="008A0D76">
              <w:rPr>
                <w:rFonts w:cstheme="minorHAnsi"/>
                <w:bCs/>
                <w:sz w:val="20"/>
              </w:rPr>
              <w:t>-positive genotype group</w:t>
            </w:r>
            <w:r w:rsidR="00AD54D7">
              <w:rPr>
                <w:rFonts w:cstheme="minorHAnsi"/>
                <w:bCs/>
                <w:sz w:val="20"/>
              </w:rPr>
              <w:t>:</w:t>
            </w:r>
            <w:r w:rsidRPr="008A0D76">
              <w:rPr>
                <w:rFonts w:cstheme="minorHAnsi"/>
                <w:bCs/>
                <w:sz w:val="20"/>
              </w:rPr>
              <w:t xml:space="preserve"> see the general background information </w:t>
            </w:r>
            <w:r w:rsidR="00064FD3">
              <w:rPr>
                <w:rFonts w:cstheme="minorHAnsi"/>
                <w:bCs/>
                <w:sz w:val="20"/>
              </w:rPr>
              <w:t>about</w:t>
            </w:r>
            <w:r w:rsidR="00064FD3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HLA</w:t>
            </w:r>
            <w:r>
              <w:rPr>
                <w:rFonts w:cstheme="minorHAnsi"/>
                <w:bCs/>
                <w:sz w:val="20"/>
              </w:rPr>
              <w:t xml:space="preserve"> in the KNMP Kennisbank (search for HLA). </w:t>
            </w:r>
          </w:p>
          <w:p w14:paraId="5D3FBDED" w14:textId="77777777" w:rsidR="00C41663" w:rsidRDefault="00C41663" w:rsidP="008D59ED">
            <w:pPr>
              <w:rPr>
                <w:rFonts w:cstheme="minorHAnsi"/>
                <w:bCs/>
                <w:sz w:val="20"/>
              </w:rPr>
            </w:pPr>
          </w:p>
          <w:p w14:paraId="71661A91" w14:textId="77777777" w:rsidR="00C41663" w:rsidRDefault="00C41663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Clinical consequences: </w:t>
            </w:r>
          </w:p>
          <w:p w14:paraId="0FB36F02" w14:textId="77777777" w:rsidR="00024161" w:rsidRDefault="00C41663" w:rsidP="008D59ED">
            <w:pPr>
              <w:pStyle w:val="Geenafstand"/>
              <w:rPr>
                <w:rFonts w:asciiTheme="minorHAnsi" w:hAnsiTheme="minorHAnsi" w:cstheme="minorHAnsi"/>
                <w:bCs/>
                <w:szCs w:val="20"/>
              </w:rPr>
            </w:pPr>
            <w:r w:rsidRPr="00BA487B">
              <w:rPr>
                <w:rFonts w:asciiTheme="minorHAnsi" w:hAnsiTheme="minorHAnsi" w:cstheme="minorHAnsi"/>
                <w:bCs/>
                <w:szCs w:val="20"/>
              </w:rPr>
              <w:t xml:space="preserve">Six meta-analyses found a strongly increased risk of Stevens-Johnson syndrome/toxic epidermal necrolysis (SJS/TEN) (OR = 27-138). </w:t>
            </w:r>
          </w:p>
          <w:p w14:paraId="56FEBA5F" w14:textId="77777777" w:rsidR="0045167F" w:rsidRDefault="00C41663" w:rsidP="008D59ED">
            <w:pPr>
              <w:pStyle w:val="Geenafstand"/>
              <w:rPr>
                <w:rFonts w:asciiTheme="minorHAnsi" w:hAnsiTheme="minorHAnsi" w:cstheme="minorHAnsi"/>
                <w:bCs/>
                <w:szCs w:val="20"/>
              </w:rPr>
            </w:pPr>
            <w:r w:rsidRPr="00BA487B">
              <w:rPr>
                <w:rFonts w:asciiTheme="minorHAnsi" w:hAnsiTheme="minorHAnsi" w:cstheme="minorHAnsi"/>
                <w:bCs/>
                <w:szCs w:val="20"/>
              </w:rPr>
              <w:lastRenderedPageBreak/>
              <w:t xml:space="preserve">One study involving Han Chinese individuals demonstrated that exclusion of HLA-B*1502-positive patients from treatment with carbamazepine resulted in a reduction in the incidence of carbamazepine-induced SJS/TEN from 0.23% to 0%. </w:t>
            </w:r>
          </w:p>
          <w:p w14:paraId="751614F9" w14:textId="2C4E6829" w:rsidR="00C41663" w:rsidRPr="00BA487B" w:rsidRDefault="00C41663" w:rsidP="008D59ED">
            <w:pPr>
              <w:pStyle w:val="Geenafstand"/>
              <w:rPr>
                <w:rFonts w:asciiTheme="minorHAnsi" w:hAnsiTheme="minorHAnsi" w:cstheme="minorHAnsi"/>
                <w:bCs/>
                <w:szCs w:val="20"/>
              </w:rPr>
            </w:pPr>
            <w:r w:rsidRPr="00BA487B">
              <w:rPr>
                <w:rFonts w:asciiTheme="minorHAnsi" w:hAnsiTheme="minorHAnsi" w:cstheme="minorHAnsi"/>
                <w:bCs/>
                <w:szCs w:val="20"/>
              </w:rPr>
              <w:t xml:space="preserve">Based on the study above and a meta-analysis, a positive predictive value of 3.0% and 1.8% respectively was calculated for HLA-B*1502 as a predictor of developing carbamazepine-induced SJS/TEN. A review mentions a positive predictive value of 7.7%. </w:t>
            </w:r>
          </w:p>
          <w:p w14:paraId="6B2F8EAA" w14:textId="77777777" w:rsidR="00C41663" w:rsidRPr="00F93EC1" w:rsidRDefault="00C41663" w:rsidP="008D59ED">
            <w:pPr>
              <w:rPr>
                <w:sz w:val="20"/>
                <w:szCs w:val="20"/>
              </w:rPr>
            </w:pPr>
          </w:p>
          <w:p w14:paraId="1A80F37D" w14:textId="77777777" w:rsidR="00C41663" w:rsidRDefault="00C41663" w:rsidP="008D59ED">
            <w:pPr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Kinetic consequences:</w:t>
            </w:r>
          </w:p>
          <w:p w14:paraId="6009D342" w14:textId="0E39B0DC" w:rsidR="00C41663" w:rsidRDefault="00331CF8" w:rsidP="008D59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FA6470" w14:textId="77777777" w:rsidR="00C41663" w:rsidRDefault="00C41663" w:rsidP="008D59ED">
            <w:pPr>
              <w:jc w:val="both"/>
              <w:rPr>
                <w:sz w:val="20"/>
                <w:szCs w:val="20"/>
              </w:rPr>
            </w:pPr>
          </w:p>
          <w:p w14:paraId="67EC183E" w14:textId="77777777" w:rsidR="00C41663" w:rsidRDefault="00C41663" w:rsidP="008D59ED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Literature</w:t>
            </w:r>
          </w:p>
          <w:p w14:paraId="676AF097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3A74D3">
              <w:rPr>
                <w:sz w:val="20"/>
                <w:szCs w:val="20"/>
                <w:lang w:val="en-US"/>
              </w:rPr>
              <w:t>Sukasem</w:t>
            </w:r>
            <w:proofErr w:type="spellEnd"/>
            <w:r w:rsidRPr="003A74D3">
              <w:rPr>
                <w:sz w:val="20"/>
                <w:szCs w:val="20"/>
                <w:lang w:val="en-US"/>
              </w:rPr>
              <w:t xml:space="preserve"> C et al. Spectrum of cutaneous adverse reactions to aromatic antiepileptic drugs and human leukocyte antigen genotypes in Thai patients and meta-analysis.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Pharmacogenomics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J 2021;21:682-90.</w:t>
            </w:r>
          </w:p>
          <w:p w14:paraId="0C9CCA8B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3A74D3">
              <w:rPr>
                <w:sz w:val="20"/>
                <w:szCs w:val="20"/>
                <w:lang w:val="en-US"/>
              </w:rPr>
              <w:t>Chouchi</w:t>
            </w:r>
            <w:proofErr w:type="spellEnd"/>
            <w:r w:rsidRPr="003A74D3">
              <w:rPr>
                <w:sz w:val="20"/>
                <w:szCs w:val="20"/>
                <w:lang w:val="en-US"/>
              </w:rPr>
              <w:t xml:space="preserve"> M et al. The HLA-B*15:02 polymorphism and Tegretol®-induced serious cutaneous reactions in epilepsy: an updated systematic review and meta-analysis.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Rev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Neurol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(Paris) 2018;174:278-91.</w:t>
            </w:r>
          </w:p>
          <w:p w14:paraId="7612E95F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r w:rsidRPr="003A74D3">
              <w:rPr>
                <w:sz w:val="20"/>
                <w:szCs w:val="20"/>
                <w:lang w:val="en-US"/>
              </w:rPr>
              <w:t xml:space="preserve">Bloch KM et al. Pharmacogenetics of antiepileptic drug- induced hypersensitivity.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Pharmacogenomics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2014;15:857-68.</w:t>
            </w:r>
          </w:p>
          <w:p w14:paraId="4E8FC82A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r w:rsidRPr="003A74D3">
              <w:rPr>
                <w:sz w:val="20"/>
                <w:szCs w:val="20"/>
                <w:lang w:val="en-US"/>
              </w:rPr>
              <w:t xml:space="preserve">Grover S et al. HLA alleles and hypersensitivity to carbamazepine: an updated systematic review with meta-analysis.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Pharmacogenet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Genomics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2014;24:94-112.</w:t>
            </w:r>
          </w:p>
          <w:p w14:paraId="7CFEC766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proofErr w:type="spellStart"/>
            <w:r w:rsidRPr="003A74D3">
              <w:rPr>
                <w:sz w:val="20"/>
                <w:szCs w:val="20"/>
                <w:lang w:val="en-US"/>
              </w:rPr>
              <w:t>Tangamornsuksan</w:t>
            </w:r>
            <w:proofErr w:type="spellEnd"/>
            <w:r w:rsidRPr="003A74D3">
              <w:rPr>
                <w:sz w:val="20"/>
                <w:szCs w:val="20"/>
                <w:lang w:val="en-US"/>
              </w:rPr>
              <w:t xml:space="preserve"> W et al. Relationship between the HLA-B*1502 allele and carbamazepine-induced Stevens-Johnson syndrome and toxic epidermal necrolysis: a systematic review and meta-analysis. </w:t>
            </w:r>
            <w:r w:rsidRPr="003A74D3">
              <w:rPr>
                <w:sz w:val="20"/>
                <w:szCs w:val="20"/>
                <w:lang w:val="nl-NL"/>
              </w:rPr>
              <w:t xml:space="preserve">JAMA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Dermatol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2013;149:1025-32.</w:t>
            </w:r>
          </w:p>
          <w:p w14:paraId="55349395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r w:rsidRPr="003A74D3">
              <w:rPr>
                <w:sz w:val="20"/>
                <w:szCs w:val="20"/>
                <w:lang w:val="en-US"/>
              </w:rPr>
              <w:t xml:space="preserve">Yip VL et al. HLA genotype and carbamazepine-induced cutaneous adverse drug reactions: a systematic review.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Clin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Pharmacol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Ther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2012;92:757-65.</w:t>
            </w:r>
          </w:p>
          <w:p w14:paraId="5D0E9AF6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r w:rsidRPr="003A74D3">
              <w:rPr>
                <w:sz w:val="20"/>
                <w:szCs w:val="20"/>
                <w:lang w:val="en-US"/>
              </w:rPr>
              <w:t xml:space="preserve">Chen P et al. Carbamazepine-induced toxic effects and HLA-B*1502 screening in Taiwan. </w:t>
            </w:r>
            <w:r w:rsidRPr="003A74D3">
              <w:rPr>
                <w:sz w:val="20"/>
                <w:szCs w:val="20"/>
                <w:lang w:val="nl-NL"/>
              </w:rPr>
              <w:t xml:space="preserve">N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Engl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J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Med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2011;364:1126-33.</w:t>
            </w:r>
          </w:p>
          <w:p w14:paraId="145BB56C" w14:textId="6EAD49A9" w:rsidR="00C41663" w:rsidRPr="00331CF8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331CF8">
              <w:rPr>
                <w:sz w:val="20"/>
                <w:szCs w:val="20"/>
                <w:lang w:val="en-US"/>
              </w:rPr>
              <w:t>SmPCs</w:t>
            </w:r>
            <w:proofErr w:type="spellEnd"/>
            <w:r w:rsidRPr="00331CF8">
              <w:rPr>
                <w:sz w:val="20"/>
                <w:szCs w:val="20"/>
                <w:lang w:val="en-US"/>
              </w:rPr>
              <w:t xml:space="preserve"> Tegretol (NL </w:t>
            </w:r>
            <w:r w:rsidR="001E1365" w:rsidRPr="00331CF8">
              <w:rPr>
                <w:sz w:val="20"/>
                <w:szCs w:val="20"/>
                <w:lang w:val="en-US"/>
              </w:rPr>
              <w:t>and USA</w:t>
            </w:r>
            <w:r w:rsidRPr="00331CF8">
              <w:rPr>
                <w:sz w:val="20"/>
                <w:szCs w:val="20"/>
                <w:lang w:val="en-US"/>
              </w:rPr>
              <w:t>).</w:t>
            </w:r>
          </w:p>
          <w:p w14:paraId="1D4BB2D9" w14:textId="77777777" w:rsidR="00C41663" w:rsidRPr="003A74D3" w:rsidRDefault="00C41663" w:rsidP="00BD3D2B">
            <w:pPr>
              <w:numPr>
                <w:ilvl w:val="0"/>
                <w:numId w:val="26"/>
              </w:numPr>
              <w:jc w:val="both"/>
              <w:rPr>
                <w:sz w:val="20"/>
                <w:szCs w:val="20"/>
                <w:lang w:val="nl-NL"/>
              </w:rPr>
            </w:pPr>
            <w:r w:rsidRPr="003A74D3">
              <w:rPr>
                <w:sz w:val="20"/>
                <w:szCs w:val="20"/>
                <w:lang w:val="en-US"/>
              </w:rPr>
              <w:t xml:space="preserve">Hung SI et al. HLA-B genotyping to detect carbamazepine-induced Stevens-Johnson syndrome: implications for personalizing medicine.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Personalized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3A74D3">
              <w:rPr>
                <w:sz w:val="20"/>
                <w:szCs w:val="20"/>
                <w:lang w:val="nl-NL"/>
              </w:rPr>
              <w:t>Med</w:t>
            </w:r>
            <w:proofErr w:type="spellEnd"/>
            <w:r w:rsidRPr="003A74D3">
              <w:rPr>
                <w:sz w:val="20"/>
                <w:szCs w:val="20"/>
                <w:lang w:val="nl-NL"/>
              </w:rPr>
              <w:t xml:space="preserve"> 2005;2:225-37.</w:t>
            </w:r>
          </w:p>
          <w:p w14:paraId="7C18F4A9" w14:textId="77777777" w:rsidR="00C41663" w:rsidRPr="003A74D3" w:rsidRDefault="00C41663" w:rsidP="008D59E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54ED19B0" w14:textId="1D9B9788" w:rsidR="00C41663" w:rsidRDefault="00C41663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20"/>
      </w:tblGrid>
      <w:tr w:rsidR="00BD3D2B" w:rsidRPr="00106834" w14:paraId="6CFB7234" w14:textId="77777777" w:rsidTr="00331CF8">
        <w:tc>
          <w:tcPr>
            <w:tcW w:w="8720" w:type="dxa"/>
          </w:tcPr>
          <w:p w14:paraId="17BFBDEA" w14:textId="77777777" w:rsidR="00BD3D2B" w:rsidRDefault="00BD3D2B" w:rsidP="00331CF8">
            <w:pPr>
              <w:widowControl w:val="0"/>
              <w:rPr>
                <w:rFonts w:ascii="Times New Roman" w:hAnsi="Times New Roman"/>
                <w:b/>
                <w:sz w:val="20"/>
                <w:u w:val="single"/>
              </w:rPr>
            </w:pPr>
          </w:p>
          <w:p w14:paraId="31E58490" w14:textId="25CC6B59" w:rsidR="00BD3D2B" w:rsidRDefault="00BD3D2B" w:rsidP="00331CF8">
            <w:pPr>
              <w:widowControl w:val="0"/>
              <w:rPr>
                <w:rFonts w:cstheme="minorHAnsi"/>
                <w:b/>
                <w:sz w:val="20"/>
                <w:u w:val="single"/>
              </w:rPr>
            </w:pPr>
            <w:r>
              <w:rPr>
                <w:rFonts w:cstheme="minorHAnsi"/>
                <w:b/>
                <w:i/>
                <w:iCs/>
                <w:sz w:val="20"/>
                <w:u w:val="single"/>
              </w:rPr>
              <w:t>HLA-B*1511</w:t>
            </w:r>
            <w:r>
              <w:rPr>
                <w:rFonts w:cstheme="minorHAnsi"/>
                <w:b/>
                <w:sz w:val="20"/>
                <w:u w:val="single"/>
              </w:rPr>
              <w:t>: carbamazepine</w:t>
            </w:r>
          </w:p>
          <w:p w14:paraId="4D1B57E3" w14:textId="77777777" w:rsidR="00BD3D2B" w:rsidRDefault="00BD3D2B" w:rsidP="00331CF8">
            <w:pPr>
              <w:widowControl w:val="0"/>
              <w:rPr>
                <w:rFonts w:cstheme="minorHAnsi"/>
                <w:b/>
                <w:sz w:val="20"/>
                <w:u w:val="single"/>
              </w:rPr>
            </w:pPr>
          </w:p>
          <w:p w14:paraId="2D07758F" w14:textId="69FBA079" w:rsidR="00BD3D2B" w:rsidRPr="0031548B" w:rsidRDefault="00BD3D2B" w:rsidP="00331CF8">
            <w:pPr>
              <w:widowControl w:val="0"/>
              <w:rPr>
                <w:rFonts w:cstheme="minorHAnsi"/>
                <w:bCs/>
                <w:sz w:val="20"/>
                <w:lang w:val="en-US"/>
              </w:rPr>
            </w:pPr>
            <w:r w:rsidRPr="0031548B">
              <w:rPr>
                <w:rFonts w:cstheme="minorHAnsi"/>
                <w:b/>
                <w:bCs/>
                <w:sz w:val="20"/>
                <w:lang w:val="en-US"/>
              </w:rPr>
              <w:t xml:space="preserve">Pharmacist </w:t>
            </w:r>
            <w:r w:rsidR="00BE72A9">
              <w:rPr>
                <w:rFonts w:cstheme="minorHAnsi"/>
                <w:b/>
                <w:bCs/>
                <w:sz w:val="20"/>
                <w:lang w:val="en-US"/>
              </w:rPr>
              <w:t xml:space="preserve">and physician </w:t>
            </w:r>
            <w:r w:rsidRPr="0031548B">
              <w:rPr>
                <w:rFonts w:cstheme="minorHAnsi"/>
                <w:b/>
                <w:bCs/>
                <w:sz w:val="20"/>
                <w:lang w:val="en-US"/>
              </w:rPr>
              <w:t>text</w:t>
            </w:r>
          </w:p>
          <w:p w14:paraId="1235BD7A" w14:textId="023B8BE5" w:rsidR="00BD3D2B" w:rsidRDefault="00BD3D2B" w:rsidP="00331CF8">
            <w:pPr>
              <w:widowControl w:val="0"/>
              <w:rPr>
                <w:sz w:val="20"/>
                <w:szCs w:val="20"/>
              </w:rPr>
            </w:pPr>
            <w:r w:rsidRPr="002B2D50">
              <w:rPr>
                <w:rFonts w:cstheme="minorHAnsi"/>
                <w:bCs/>
                <w:sz w:val="20"/>
                <w:lang w:val="en-US"/>
              </w:rPr>
              <w:t xml:space="preserve">The risk of 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the life-threatening cutaneous side effect </w:t>
            </w:r>
            <w:r w:rsidR="00B26EF0">
              <w:rPr>
                <w:rFonts w:cstheme="minorHAnsi"/>
                <w:bCs/>
                <w:sz w:val="20"/>
                <w:lang w:val="en-US"/>
              </w:rPr>
              <w:t>S</w:t>
            </w:r>
            <w:r>
              <w:rPr>
                <w:rFonts w:cstheme="minorHAnsi"/>
                <w:bCs/>
                <w:sz w:val="20"/>
                <w:lang w:val="en-US"/>
              </w:rPr>
              <w:t>tevens-</w:t>
            </w:r>
            <w:r w:rsidR="00B26EF0">
              <w:rPr>
                <w:rFonts w:cstheme="minorHAnsi"/>
                <w:bCs/>
                <w:sz w:val="20"/>
                <w:lang w:val="en-US"/>
              </w:rPr>
              <w:t>J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ohnson syndrome/toxic epidermal necrolysis (SJS/TEN) </w:t>
            </w:r>
            <w:r w:rsidR="00F47432" w:rsidRPr="00BD3D2B">
              <w:rPr>
                <w:rFonts w:cstheme="minorHAnsi"/>
                <w:bCs/>
                <w:sz w:val="20"/>
                <w:szCs w:val="20"/>
                <w:lang w:val="en-US"/>
              </w:rPr>
              <w:t xml:space="preserve">in the first three months </w:t>
            </w:r>
            <w:r w:rsidRPr="00BD3D2B">
              <w:rPr>
                <w:rFonts w:cstheme="minorHAnsi"/>
                <w:bCs/>
                <w:sz w:val="20"/>
                <w:szCs w:val="20"/>
                <w:lang w:val="en-US"/>
              </w:rPr>
              <w:t xml:space="preserve">is increased in patients with </w:t>
            </w:r>
            <w:r w:rsidR="008842D0">
              <w:rPr>
                <w:rFonts w:cstheme="minorHAnsi"/>
                <w:bCs/>
                <w:sz w:val="20"/>
                <w:szCs w:val="20"/>
                <w:lang w:val="en-US"/>
              </w:rPr>
              <w:t>this genetic variation</w:t>
            </w:r>
            <w:r w:rsidRPr="00BD3D2B"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  <w:r w:rsidRPr="00BD3D2B">
              <w:rPr>
                <w:sz w:val="20"/>
                <w:szCs w:val="20"/>
              </w:rPr>
              <w:t xml:space="preserve"> The risk of carbamazepine-induced SJS/TEN in patients with the HLA-B</w:t>
            </w:r>
            <w:r w:rsidR="0084108A">
              <w:rPr>
                <w:sz w:val="20"/>
                <w:szCs w:val="20"/>
              </w:rPr>
              <w:t>*</w:t>
            </w:r>
            <w:r w:rsidRPr="00BD3D2B">
              <w:rPr>
                <w:sz w:val="20"/>
                <w:szCs w:val="20"/>
              </w:rPr>
              <w:t xml:space="preserve">1502 allele, which </w:t>
            </w:r>
            <w:r w:rsidR="003B3F80">
              <w:rPr>
                <w:sz w:val="20"/>
                <w:szCs w:val="20"/>
              </w:rPr>
              <w:t>carries</w:t>
            </w:r>
            <w:r w:rsidR="003B3F80" w:rsidRPr="00BD3D2B">
              <w:rPr>
                <w:sz w:val="20"/>
                <w:szCs w:val="20"/>
              </w:rPr>
              <w:t xml:space="preserve"> </w:t>
            </w:r>
            <w:r w:rsidRPr="00BD3D2B">
              <w:rPr>
                <w:sz w:val="20"/>
                <w:szCs w:val="20"/>
              </w:rPr>
              <w:t>a 1.6-9.9 times higher risk than the HLA-B</w:t>
            </w:r>
            <w:r w:rsidR="003B3F80">
              <w:rPr>
                <w:sz w:val="20"/>
                <w:szCs w:val="20"/>
              </w:rPr>
              <w:t>*</w:t>
            </w:r>
            <w:r w:rsidRPr="00BD3D2B">
              <w:rPr>
                <w:sz w:val="20"/>
                <w:szCs w:val="20"/>
              </w:rPr>
              <w:t xml:space="preserve">1511 allele, is 1.8-7.7%. This would </w:t>
            </w:r>
            <w:r w:rsidR="00413730">
              <w:rPr>
                <w:sz w:val="20"/>
                <w:szCs w:val="20"/>
              </w:rPr>
              <w:t>equate</w:t>
            </w:r>
            <w:r w:rsidR="00413730" w:rsidRPr="00BD3D2B">
              <w:rPr>
                <w:sz w:val="20"/>
                <w:szCs w:val="20"/>
              </w:rPr>
              <w:t xml:space="preserve"> </w:t>
            </w:r>
            <w:r w:rsidRPr="00BD3D2B">
              <w:rPr>
                <w:sz w:val="20"/>
                <w:szCs w:val="20"/>
              </w:rPr>
              <w:t>to a risk of carbamazepine-induced SJS/TEN in this patient of 0.18-4.8%.</w:t>
            </w:r>
          </w:p>
          <w:p w14:paraId="56E38B87" w14:textId="77777777" w:rsidR="00322885" w:rsidRDefault="00322885" w:rsidP="00331CF8">
            <w:pPr>
              <w:widowControl w:val="0"/>
            </w:pPr>
          </w:p>
          <w:p w14:paraId="32B2B296" w14:textId="49260D30" w:rsidR="00BD3D2B" w:rsidRPr="00BD3D2B" w:rsidRDefault="00BD3D2B" w:rsidP="00331CF8">
            <w:pPr>
              <w:pStyle w:val="Lijstalinea"/>
              <w:widowControl w:val="0"/>
              <w:numPr>
                <w:ilvl w:val="0"/>
                <w:numId w:val="24"/>
              </w:numPr>
              <w:rPr>
                <w:rFonts w:cstheme="minorHAnsi"/>
                <w:bCs/>
                <w:sz w:val="20"/>
                <w:lang w:val="en-US"/>
              </w:rPr>
            </w:pPr>
            <w:r w:rsidRPr="00BD3D2B">
              <w:rPr>
                <w:rFonts w:cstheme="minorHAnsi"/>
                <w:bCs/>
                <w:sz w:val="20"/>
                <w:lang w:val="en-US"/>
              </w:rPr>
              <w:t>Carefully weigh the risk of SJS/TEN against the benefits.</w:t>
            </w:r>
          </w:p>
          <w:p w14:paraId="0C79DFFD" w14:textId="3C4F4486" w:rsidR="00BD3D2B" w:rsidRPr="00BD3D2B" w:rsidRDefault="00BD3D2B" w:rsidP="00331CF8">
            <w:pPr>
              <w:pStyle w:val="Lijstalinea"/>
              <w:widowControl w:val="0"/>
              <w:numPr>
                <w:ilvl w:val="0"/>
                <w:numId w:val="24"/>
              </w:numPr>
              <w:rPr>
                <w:rFonts w:cstheme="minorHAnsi"/>
                <w:bCs/>
                <w:sz w:val="20"/>
                <w:lang w:val="en-US"/>
              </w:rPr>
            </w:pPr>
            <w:r w:rsidRPr="00BD3D2B">
              <w:rPr>
                <w:rFonts w:cstheme="minorHAnsi"/>
                <w:bCs/>
                <w:sz w:val="20"/>
                <w:lang w:val="en-US"/>
              </w:rPr>
              <w:t>Avoid carbamazepine, if an alternative is possible.</w:t>
            </w:r>
          </w:p>
          <w:p w14:paraId="3A92A8EE" w14:textId="4998F7C6" w:rsidR="00BD3D2B" w:rsidRDefault="00BD3D2B" w:rsidP="00331CF8">
            <w:pPr>
              <w:widowControl w:val="0"/>
              <w:numPr>
                <w:ilvl w:val="0"/>
                <w:numId w:val="24"/>
              </w:numPr>
              <w:rPr>
                <w:rFonts w:cstheme="minorHAnsi"/>
                <w:bCs/>
                <w:sz w:val="20"/>
                <w:lang w:val="en-US"/>
              </w:rPr>
            </w:pPr>
            <w:r w:rsidRPr="00BD3D2B">
              <w:rPr>
                <w:rFonts w:cstheme="minorHAnsi"/>
                <w:bCs/>
                <w:sz w:val="20"/>
                <w:lang w:val="en-US"/>
              </w:rPr>
              <w:t>If it is not possible to avoid carbamazepine, advise the patient to report any skin rash immediately.</w:t>
            </w:r>
          </w:p>
          <w:p w14:paraId="276778E5" w14:textId="77777777" w:rsidR="00BD3D2B" w:rsidRPr="002B2D50" w:rsidRDefault="00BD3D2B" w:rsidP="00331CF8">
            <w:pPr>
              <w:widowControl w:val="0"/>
              <w:ind w:left="720"/>
              <w:rPr>
                <w:rFonts w:cstheme="minorHAnsi"/>
                <w:bCs/>
                <w:sz w:val="20"/>
                <w:lang w:val="en-US"/>
              </w:rPr>
            </w:pPr>
          </w:p>
          <w:p w14:paraId="4795B924" w14:textId="77777777" w:rsidR="00BD3D2B" w:rsidRPr="0017379F" w:rsidRDefault="00BD3D2B" w:rsidP="00331CF8">
            <w:pPr>
              <w:widowControl w:val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Background information</w:t>
            </w:r>
          </w:p>
          <w:p w14:paraId="55EC6CA6" w14:textId="77777777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Other considerations: </w:t>
            </w:r>
          </w:p>
          <w:p w14:paraId="6A10FC96" w14:textId="66214589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  <w:r w:rsidRPr="0017379F">
              <w:rPr>
                <w:rFonts w:cstheme="minorHAnsi"/>
                <w:bCs/>
                <w:sz w:val="20"/>
              </w:rPr>
              <w:t xml:space="preserve">The severe cutaneous side effect Stevens-Johnson syndrome/toxic epidermal necrolysis (SJS/TEN) always occurs within the first three months of treatment. If a patient does not develop SJS/TEN within the first three months of treatment, the chance of developing </w:t>
            </w:r>
            <w:r>
              <w:rPr>
                <w:rFonts w:cstheme="minorHAnsi"/>
                <w:bCs/>
                <w:sz w:val="20"/>
              </w:rPr>
              <w:t>carbamazepine</w:t>
            </w:r>
            <w:r w:rsidRPr="0017379F">
              <w:rPr>
                <w:rFonts w:cstheme="minorHAnsi"/>
                <w:bCs/>
                <w:sz w:val="20"/>
              </w:rPr>
              <w:t xml:space="preserve">-induced SJS/TEN </w:t>
            </w:r>
            <w:r w:rsidR="00A2738C">
              <w:rPr>
                <w:rFonts w:cstheme="minorHAnsi"/>
                <w:bCs/>
                <w:sz w:val="20"/>
              </w:rPr>
              <w:t xml:space="preserve">later on </w:t>
            </w:r>
            <w:r w:rsidRPr="0017379F">
              <w:rPr>
                <w:rFonts w:cstheme="minorHAnsi"/>
                <w:bCs/>
                <w:sz w:val="20"/>
              </w:rPr>
              <w:t xml:space="preserve">is therefore very small. </w:t>
            </w:r>
            <w:r w:rsidR="00A2738C">
              <w:rPr>
                <w:rFonts w:cstheme="minorHAnsi"/>
                <w:bCs/>
                <w:sz w:val="20"/>
              </w:rPr>
              <w:t>For this reason, t</w:t>
            </w:r>
            <w:r w:rsidRPr="0017379F">
              <w:rPr>
                <w:rFonts w:cstheme="minorHAnsi"/>
                <w:bCs/>
                <w:sz w:val="20"/>
              </w:rPr>
              <w:t xml:space="preserve">he recommendation to avoid </w:t>
            </w:r>
            <w:r>
              <w:rPr>
                <w:rFonts w:cstheme="minorHAnsi"/>
                <w:bCs/>
                <w:sz w:val="20"/>
              </w:rPr>
              <w:t>carbamazepine</w:t>
            </w:r>
            <w:r w:rsidRPr="0017379F">
              <w:rPr>
                <w:rFonts w:cstheme="minorHAnsi"/>
                <w:bCs/>
                <w:sz w:val="20"/>
              </w:rPr>
              <w:t xml:space="preserve"> applies only during the first three months of treatment.</w:t>
            </w:r>
          </w:p>
          <w:p w14:paraId="28B6EFFE" w14:textId="77777777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</w:p>
          <w:p w14:paraId="0D21B386" w14:textId="77777777" w:rsidR="00BD3D2B" w:rsidRPr="00805885" w:rsidRDefault="00BD3D2B" w:rsidP="00331CF8">
            <w:pPr>
              <w:widowControl w:val="0"/>
              <w:rPr>
                <w:rFonts w:cstheme="minorHAnsi"/>
                <w:bCs/>
                <w:sz w:val="20"/>
                <w:lang w:val="en-US"/>
              </w:rPr>
            </w:pPr>
            <w:r w:rsidRPr="00805885">
              <w:rPr>
                <w:rFonts w:cstheme="minorHAnsi"/>
                <w:bCs/>
                <w:sz w:val="20"/>
                <w:lang w:val="en-US"/>
              </w:rPr>
              <w:lastRenderedPageBreak/>
              <w:t>Mechanism:</w:t>
            </w:r>
          </w:p>
          <w:p w14:paraId="7A7393CF" w14:textId="7B187192" w:rsidR="007E2EAF" w:rsidRDefault="00BD3D2B" w:rsidP="00331CF8">
            <w:pPr>
              <w:widowControl w:val="0"/>
              <w:rPr>
                <w:rFonts w:cstheme="minorHAnsi"/>
                <w:bCs/>
                <w:sz w:val="20"/>
                <w:lang w:val="en-US"/>
              </w:rPr>
            </w:pPr>
            <w:r w:rsidRPr="00F93EC1">
              <w:rPr>
                <w:rFonts w:cstheme="minorHAnsi"/>
                <w:bCs/>
                <w:sz w:val="20"/>
                <w:lang w:val="en-US"/>
              </w:rPr>
              <w:t xml:space="preserve">Although the mechanism of hypersensitivity reactions to carbamazepine is not </w:t>
            </w:r>
            <w:r w:rsidR="007E2EAF">
              <w:rPr>
                <w:rFonts w:cstheme="minorHAnsi"/>
                <w:bCs/>
                <w:sz w:val="20"/>
                <w:lang w:val="en-US"/>
              </w:rPr>
              <w:t>fully</w:t>
            </w:r>
            <w:r w:rsidR="007E2EAF" w:rsidRPr="00F93EC1">
              <w:rPr>
                <w:rFonts w:cstheme="minorHAnsi"/>
                <w:bCs/>
                <w:sz w:val="20"/>
                <w:lang w:val="en-US"/>
              </w:rPr>
              <w:t xml:space="preserve"> </w:t>
            </w:r>
            <w:r w:rsidRPr="00F93EC1">
              <w:rPr>
                <w:rFonts w:cstheme="minorHAnsi"/>
                <w:bCs/>
                <w:sz w:val="20"/>
                <w:lang w:val="en-US"/>
              </w:rPr>
              <w:t>known, experimental data suggest the following mechanism.</w:t>
            </w:r>
            <w:r>
              <w:rPr>
                <w:rFonts w:cstheme="minorHAnsi"/>
                <w:bCs/>
                <w:sz w:val="20"/>
                <w:lang w:val="en-US"/>
              </w:rPr>
              <w:t xml:space="preserve"> </w:t>
            </w:r>
          </w:p>
          <w:p w14:paraId="60F0E3C2" w14:textId="2866FCDD" w:rsidR="00BD3D2B" w:rsidRPr="00F93EC1" w:rsidRDefault="00BD3D2B" w:rsidP="00331CF8">
            <w:pPr>
              <w:widowControl w:val="0"/>
              <w:rPr>
                <w:rFonts w:cstheme="minorHAnsi"/>
                <w:bCs/>
                <w:sz w:val="20"/>
                <w:lang w:val="en-US"/>
              </w:rPr>
            </w:pPr>
            <w:r w:rsidRPr="003A6915">
              <w:rPr>
                <w:rFonts w:cstheme="minorHAnsi"/>
                <w:bCs/>
                <w:sz w:val="20"/>
              </w:rPr>
              <w:t xml:space="preserve">A cellular immune reaction against tissue cells is </w:t>
            </w:r>
            <w:r w:rsidR="00C13671">
              <w:rPr>
                <w:rFonts w:cstheme="minorHAnsi"/>
                <w:bCs/>
                <w:sz w:val="20"/>
              </w:rPr>
              <w:t>provoked when</w:t>
            </w:r>
            <w:r w:rsidRPr="003A6915">
              <w:rPr>
                <w:rFonts w:cstheme="minorHAnsi"/>
                <w:bCs/>
                <w:sz w:val="20"/>
              </w:rPr>
              <w:t xml:space="preserve"> peptides</w:t>
            </w:r>
            <w:r w:rsidR="00C13671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derived from proteins </w:t>
            </w:r>
            <w:r w:rsidR="00C13671">
              <w:rPr>
                <w:rFonts w:cstheme="minorHAnsi"/>
                <w:bCs/>
                <w:sz w:val="20"/>
              </w:rPr>
              <w:t xml:space="preserve">from </w:t>
            </w:r>
            <w:r w:rsidRPr="003A6915">
              <w:rPr>
                <w:rFonts w:cstheme="minorHAnsi"/>
                <w:bCs/>
                <w:sz w:val="20"/>
              </w:rPr>
              <w:t>these tissue cells</w:t>
            </w:r>
            <w:r w:rsidR="00C13671">
              <w:rPr>
                <w:rFonts w:cstheme="minorHAnsi"/>
                <w:bCs/>
                <w:sz w:val="20"/>
              </w:rPr>
              <w:t>,</w:t>
            </w:r>
            <w:r w:rsidRPr="003A6915">
              <w:rPr>
                <w:rFonts w:cstheme="minorHAnsi"/>
                <w:bCs/>
                <w:sz w:val="20"/>
              </w:rPr>
              <w:t xml:space="preserve"> bind to specific HLA proteins, </w:t>
            </w:r>
            <w:r w:rsidR="00C13671">
              <w:rPr>
                <w:rFonts w:cstheme="minorHAnsi"/>
                <w:bCs/>
                <w:sz w:val="20"/>
              </w:rPr>
              <w:t xml:space="preserve">which </w:t>
            </w:r>
            <w:r w:rsidRPr="003A6915">
              <w:rPr>
                <w:rFonts w:cstheme="minorHAnsi"/>
                <w:bCs/>
                <w:sz w:val="20"/>
              </w:rPr>
              <w:t xml:space="preserve">are </w:t>
            </w:r>
            <w:r w:rsidR="00C13671">
              <w:rPr>
                <w:rFonts w:cstheme="minorHAnsi"/>
                <w:bCs/>
                <w:sz w:val="20"/>
              </w:rPr>
              <w:t xml:space="preserve">then </w:t>
            </w:r>
            <w:r w:rsidRPr="003A6915">
              <w:rPr>
                <w:rFonts w:cstheme="minorHAnsi"/>
                <w:bCs/>
                <w:sz w:val="20"/>
              </w:rPr>
              <w:t xml:space="preserve">transported to the cell surface and ”recognised” as </w:t>
            </w:r>
            <w:r w:rsidR="001D1521">
              <w:rPr>
                <w:rFonts w:cstheme="minorHAnsi"/>
                <w:bCs/>
                <w:sz w:val="20"/>
              </w:rPr>
              <w:t xml:space="preserve">being </w:t>
            </w:r>
            <w:r w:rsidRPr="003A6915">
              <w:rPr>
                <w:rFonts w:cstheme="minorHAnsi"/>
                <w:bCs/>
                <w:sz w:val="20"/>
              </w:rPr>
              <w:t>foreign by specific immune cell</w:t>
            </w:r>
            <w:r w:rsidR="005A6745">
              <w:rPr>
                <w:rFonts w:cstheme="minorHAnsi"/>
                <w:bCs/>
                <w:sz w:val="20"/>
              </w:rPr>
              <w:t xml:space="preserve"> protein</w:t>
            </w:r>
            <w:r>
              <w:rPr>
                <w:rFonts w:cstheme="minorHAnsi"/>
                <w:bCs/>
                <w:sz w:val="20"/>
              </w:rPr>
              <w:t xml:space="preserve">s </w:t>
            </w:r>
            <w:r w:rsidRPr="003A6915">
              <w:rPr>
                <w:rFonts w:cstheme="minorHAnsi"/>
                <w:bCs/>
                <w:sz w:val="20"/>
              </w:rPr>
              <w:t>(T-cell receptors).</w:t>
            </w:r>
            <w:r>
              <w:rPr>
                <w:rFonts w:cstheme="minorHAnsi"/>
                <w:bCs/>
                <w:sz w:val="20"/>
              </w:rPr>
              <w:t xml:space="preserve"> Carbamazepine </w:t>
            </w:r>
            <w:r w:rsidR="00024114">
              <w:rPr>
                <w:rFonts w:cstheme="minorHAnsi"/>
                <w:bCs/>
                <w:sz w:val="20"/>
              </w:rPr>
              <w:t xml:space="preserve">either </w:t>
            </w:r>
            <w:r w:rsidRPr="003A6915">
              <w:rPr>
                <w:rFonts w:cstheme="minorHAnsi"/>
                <w:bCs/>
                <w:sz w:val="20"/>
              </w:rPr>
              <w:t xml:space="preserve">binds to the proteins </w:t>
            </w:r>
            <w:r w:rsidR="00024114">
              <w:rPr>
                <w:rFonts w:cstheme="minorHAnsi"/>
                <w:bCs/>
                <w:sz w:val="20"/>
              </w:rPr>
              <w:t xml:space="preserve">from the tissue cells, to the </w:t>
            </w:r>
            <w:r w:rsidRPr="003A6915">
              <w:rPr>
                <w:rFonts w:cstheme="minorHAnsi"/>
                <w:bCs/>
                <w:sz w:val="20"/>
              </w:rPr>
              <w:t>peptides</w:t>
            </w:r>
            <w:r w:rsidR="000F4955">
              <w:rPr>
                <w:rFonts w:cstheme="minorHAnsi"/>
                <w:bCs/>
                <w:sz w:val="20"/>
              </w:rPr>
              <w:t xml:space="preserve"> formed by these proteins</w:t>
            </w:r>
            <w:r w:rsidRPr="003A6915">
              <w:rPr>
                <w:rFonts w:cstheme="minorHAnsi"/>
                <w:bCs/>
                <w:sz w:val="20"/>
              </w:rPr>
              <w:t xml:space="preserve">, to </w:t>
            </w:r>
            <w:r>
              <w:rPr>
                <w:rFonts w:cstheme="minorHAnsi"/>
                <w:bCs/>
                <w:sz w:val="20"/>
              </w:rPr>
              <w:t>HLA-B*1511</w:t>
            </w:r>
            <w:r w:rsidRPr="003A6915">
              <w:rPr>
                <w:rFonts w:cstheme="minorHAnsi"/>
                <w:bCs/>
                <w:sz w:val="20"/>
              </w:rPr>
              <w:t xml:space="preserve"> or to specific T-cell receptors</w:t>
            </w:r>
            <w:r>
              <w:rPr>
                <w:rFonts w:cstheme="minorHAnsi"/>
                <w:bCs/>
                <w:sz w:val="20"/>
              </w:rPr>
              <w:t xml:space="preserve">. This </w:t>
            </w:r>
            <w:r w:rsidR="0010335B" w:rsidRPr="0010335B">
              <w:rPr>
                <w:rFonts w:cstheme="minorHAnsi"/>
                <w:bCs/>
                <w:sz w:val="20"/>
              </w:rPr>
              <w:t>results in</w:t>
            </w:r>
            <w:r>
              <w:rPr>
                <w:rFonts w:cstheme="minorHAnsi"/>
                <w:bCs/>
                <w:sz w:val="20"/>
              </w:rPr>
              <w:t xml:space="preserve"> an </w:t>
            </w:r>
            <w:r w:rsidRPr="003A6915">
              <w:rPr>
                <w:rFonts w:cstheme="minorHAnsi"/>
                <w:bCs/>
                <w:sz w:val="20"/>
              </w:rPr>
              <w:t xml:space="preserve">interaction between </w:t>
            </w:r>
            <w:r w:rsidR="0010335B">
              <w:rPr>
                <w:rFonts w:cstheme="minorHAnsi"/>
                <w:bCs/>
                <w:sz w:val="20"/>
              </w:rPr>
              <w:t>the</w:t>
            </w:r>
            <w:r w:rsidRPr="003A6915">
              <w:rPr>
                <w:rFonts w:cstheme="minorHAnsi"/>
                <w:bCs/>
                <w:sz w:val="20"/>
              </w:rPr>
              <w:t xml:space="preserve"> HLA peptide complex and a T-cell receptor, </w:t>
            </w:r>
            <w:r w:rsidR="000B50EE">
              <w:rPr>
                <w:rFonts w:cstheme="minorHAnsi"/>
                <w:bCs/>
                <w:sz w:val="20"/>
              </w:rPr>
              <w:t>which causes</w:t>
            </w:r>
            <w:r w:rsidRPr="003A6915">
              <w:rPr>
                <w:rFonts w:cstheme="minorHAnsi"/>
                <w:bCs/>
                <w:sz w:val="20"/>
              </w:rPr>
              <w:t xml:space="preserve"> a cellular immune reaction against </w:t>
            </w:r>
            <w:r w:rsidR="000B50EE">
              <w:rPr>
                <w:rFonts w:cstheme="minorHAnsi"/>
                <w:bCs/>
                <w:sz w:val="20"/>
              </w:rPr>
              <w:t xml:space="preserve">the </w:t>
            </w:r>
            <w:r w:rsidRPr="003A6915">
              <w:rPr>
                <w:rFonts w:cstheme="minorHAnsi"/>
                <w:bCs/>
                <w:sz w:val="20"/>
              </w:rPr>
              <w:t>tissue cells</w:t>
            </w:r>
            <w:r w:rsidR="000B50EE">
              <w:rPr>
                <w:rFonts w:cstheme="minorHAnsi"/>
                <w:bCs/>
                <w:sz w:val="20"/>
              </w:rPr>
              <w:t>.</w:t>
            </w:r>
          </w:p>
          <w:p w14:paraId="145E7FA4" w14:textId="2C03A256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  <w:r w:rsidRPr="008A0D76">
              <w:rPr>
                <w:rFonts w:cstheme="minorHAnsi"/>
                <w:bCs/>
                <w:sz w:val="20"/>
              </w:rPr>
              <w:t xml:space="preserve">For more information </w:t>
            </w:r>
            <w:r w:rsidR="00B66068">
              <w:rPr>
                <w:rFonts w:cstheme="minorHAnsi"/>
                <w:bCs/>
                <w:sz w:val="20"/>
              </w:rPr>
              <w:t>about</w:t>
            </w:r>
            <w:r w:rsidR="00B66068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the HLA-</w:t>
            </w:r>
            <w:r>
              <w:rPr>
                <w:rFonts w:cstheme="minorHAnsi"/>
                <w:bCs/>
                <w:sz w:val="20"/>
              </w:rPr>
              <w:t>B*1511</w:t>
            </w:r>
            <w:r w:rsidRPr="008A0D76">
              <w:rPr>
                <w:rFonts w:cstheme="minorHAnsi"/>
                <w:bCs/>
                <w:sz w:val="20"/>
              </w:rPr>
              <w:t>-positive genotype group</w:t>
            </w:r>
            <w:r w:rsidR="00B66068">
              <w:rPr>
                <w:rFonts w:cstheme="minorHAnsi"/>
                <w:bCs/>
                <w:sz w:val="20"/>
              </w:rPr>
              <w:t>:</w:t>
            </w:r>
            <w:r w:rsidRPr="008A0D76">
              <w:rPr>
                <w:rFonts w:cstheme="minorHAnsi"/>
                <w:bCs/>
                <w:sz w:val="20"/>
              </w:rPr>
              <w:t xml:space="preserve"> see the general background information </w:t>
            </w:r>
            <w:r w:rsidR="00B66068">
              <w:rPr>
                <w:rFonts w:cstheme="minorHAnsi"/>
                <w:bCs/>
                <w:sz w:val="20"/>
              </w:rPr>
              <w:t>about</w:t>
            </w:r>
            <w:r w:rsidR="00B66068" w:rsidRPr="008A0D76">
              <w:rPr>
                <w:rFonts w:cstheme="minorHAnsi"/>
                <w:bCs/>
                <w:sz w:val="20"/>
              </w:rPr>
              <w:t xml:space="preserve"> </w:t>
            </w:r>
            <w:r w:rsidRPr="008A0D76">
              <w:rPr>
                <w:rFonts w:cstheme="minorHAnsi"/>
                <w:bCs/>
                <w:sz w:val="20"/>
              </w:rPr>
              <w:t>HLA</w:t>
            </w:r>
            <w:r>
              <w:rPr>
                <w:rFonts w:cstheme="minorHAnsi"/>
                <w:bCs/>
                <w:sz w:val="20"/>
              </w:rPr>
              <w:t xml:space="preserve"> in the KNMP Kennisbank (search for HLA). </w:t>
            </w:r>
          </w:p>
          <w:p w14:paraId="08537B37" w14:textId="77777777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</w:p>
          <w:p w14:paraId="05AAAF25" w14:textId="77777777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Clinical consequences: </w:t>
            </w:r>
          </w:p>
          <w:p w14:paraId="000DE0D5" w14:textId="77777777" w:rsidR="00BD3D2B" w:rsidRDefault="00BD3D2B" w:rsidP="00331CF8">
            <w:pPr>
              <w:widowControl w:val="0"/>
              <w:rPr>
                <w:rFonts w:eastAsia="Times New Roman" w:cstheme="minorHAnsi"/>
                <w:bCs/>
                <w:sz w:val="20"/>
                <w:szCs w:val="20"/>
                <w:lang w:eastAsia="nl-NL"/>
              </w:rPr>
            </w:pPr>
            <w:r w:rsidRPr="00BD3D2B">
              <w:rPr>
                <w:rFonts w:eastAsia="Times New Roman" w:cstheme="minorHAnsi"/>
                <w:bCs/>
                <w:sz w:val="20"/>
                <w:szCs w:val="20"/>
                <w:lang w:eastAsia="nl-NL"/>
              </w:rPr>
              <w:t>Two meta-analyses found an increased risk of Stevens-Johnson syndrome/toxic epidermal necrolysis (OR = 14-17).</w:t>
            </w:r>
          </w:p>
          <w:p w14:paraId="2F76FC4F" w14:textId="77777777" w:rsidR="00BD3D2B" w:rsidRPr="00F93EC1" w:rsidRDefault="00BD3D2B" w:rsidP="00331CF8">
            <w:pPr>
              <w:widowControl w:val="0"/>
              <w:rPr>
                <w:sz w:val="20"/>
                <w:szCs w:val="20"/>
              </w:rPr>
            </w:pPr>
          </w:p>
          <w:p w14:paraId="02BA2DA2" w14:textId="77777777" w:rsidR="00BD3D2B" w:rsidRDefault="00BD3D2B" w:rsidP="00331CF8">
            <w:pPr>
              <w:widowControl w:val="0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bCs/>
                <w:sz w:val="20"/>
              </w:rPr>
              <w:t>Kinetic consequences:</w:t>
            </w:r>
          </w:p>
          <w:p w14:paraId="3B75532E" w14:textId="619C02E4" w:rsidR="00BD3D2B" w:rsidRDefault="005811F7" w:rsidP="00331CF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04CF73" w14:textId="77777777" w:rsidR="00BD3D2B" w:rsidRDefault="00BD3D2B" w:rsidP="00331CF8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1697410D" w14:textId="77777777" w:rsidR="00BD3D2B" w:rsidRDefault="00BD3D2B" w:rsidP="00331CF8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Literature</w:t>
            </w:r>
          </w:p>
          <w:p w14:paraId="43A75422" w14:textId="77777777" w:rsidR="00BD3D2B" w:rsidRPr="00BD3D2B" w:rsidRDefault="00BD3D2B" w:rsidP="00331CF8">
            <w:pPr>
              <w:widowControl w:val="0"/>
              <w:numPr>
                <w:ilvl w:val="0"/>
                <w:numId w:val="25"/>
              </w:numPr>
              <w:jc w:val="both"/>
              <w:rPr>
                <w:sz w:val="20"/>
                <w:szCs w:val="20"/>
                <w:lang w:val="nl-NL"/>
              </w:rPr>
            </w:pPr>
            <w:r w:rsidRPr="00BD3D2B">
              <w:rPr>
                <w:sz w:val="20"/>
                <w:szCs w:val="20"/>
                <w:lang w:val="en-US"/>
              </w:rPr>
              <w:t xml:space="preserve">Wang Q et al. Association between the HLA-B alleles and carbamazepine-induced SJS/TEN: a meta-analysis. </w:t>
            </w:r>
            <w:proofErr w:type="spellStart"/>
            <w:r w:rsidRPr="00BD3D2B">
              <w:rPr>
                <w:sz w:val="20"/>
                <w:szCs w:val="20"/>
                <w:lang w:val="nl-NL"/>
              </w:rPr>
              <w:t>Epilepsy</w:t>
            </w:r>
            <w:proofErr w:type="spellEnd"/>
            <w:r w:rsidRPr="00BD3D2B">
              <w:rPr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BD3D2B">
              <w:rPr>
                <w:sz w:val="20"/>
                <w:szCs w:val="20"/>
                <w:lang w:val="nl-NL"/>
              </w:rPr>
              <w:t>Res</w:t>
            </w:r>
            <w:proofErr w:type="spellEnd"/>
            <w:r w:rsidRPr="00BD3D2B">
              <w:rPr>
                <w:sz w:val="20"/>
                <w:szCs w:val="20"/>
                <w:lang w:val="nl-NL"/>
              </w:rPr>
              <w:t xml:space="preserve"> 2017;135:19-28.</w:t>
            </w:r>
          </w:p>
          <w:p w14:paraId="7C05C85A" w14:textId="77777777" w:rsidR="00BD3D2B" w:rsidRDefault="00BD3D2B" w:rsidP="00331CF8">
            <w:pPr>
              <w:widowControl w:val="0"/>
              <w:numPr>
                <w:ilvl w:val="0"/>
                <w:numId w:val="25"/>
              </w:numPr>
              <w:jc w:val="both"/>
              <w:rPr>
                <w:sz w:val="20"/>
                <w:szCs w:val="20"/>
                <w:lang w:val="en-US"/>
              </w:rPr>
            </w:pPr>
            <w:r w:rsidRPr="00BD3D2B">
              <w:rPr>
                <w:sz w:val="20"/>
                <w:szCs w:val="20"/>
                <w:lang w:val="en-US"/>
              </w:rPr>
              <w:t xml:space="preserve">Grover S et al. HLA alleles and hypersensitivity to carbamazepine: an updated systematic review </w:t>
            </w:r>
            <w:r w:rsidR="00D43D7D" w:rsidRPr="00D43D7D">
              <w:rPr>
                <w:sz w:val="20"/>
                <w:szCs w:val="20"/>
                <w:lang w:val="en-US"/>
              </w:rPr>
              <w:t xml:space="preserve">with meta-analysis. </w:t>
            </w:r>
            <w:proofErr w:type="spellStart"/>
            <w:r w:rsidR="00D43D7D" w:rsidRPr="00D43D7D">
              <w:rPr>
                <w:sz w:val="20"/>
                <w:szCs w:val="20"/>
                <w:lang w:val="en-US"/>
              </w:rPr>
              <w:t>Pharmacogenet</w:t>
            </w:r>
            <w:proofErr w:type="spellEnd"/>
            <w:r w:rsidR="00D43D7D" w:rsidRPr="00D43D7D">
              <w:rPr>
                <w:sz w:val="20"/>
                <w:szCs w:val="20"/>
                <w:lang w:val="en-US"/>
              </w:rPr>
              <w:t xml:space="preserve"> Genomics 2014;24:94-112.</w:t>
            </w:r>
          </w:p>
          <w:p w14:paraId="05536FFA" w14:textId="3521E41A" w:rsidR="00D43D7D" w:rsidRPr="003A74D3" w:rsidRDefault="00D43D7D" w:rsidP="00331CF8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14:paraId="75110130" w14:textId="77777777" w:rsidR="00BD3D2B" w:rsidRPr="003A74D3" w:rsidRDefault="00BD3D2B">
      <w:pPr>
        <w:rPr>
          <w:lang w:val="en-US"/>
        </w:rPr>
      </w:pPr>
    </w:p>
    <w:sectPr w:rsidR="00BD3D2B" w:rsidRPr="003A7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64C1"/>
    <w:multiLevelType w:val="multilevel"/>
    <w:tmpl w:val="28DAA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F6BC3"/>
    <w:multiLevelType w:val="multilevel"/>
    <w:tmpl w:val="D172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E6D3B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404BA"/>
    <w:multiLevelType w:val="multilevel"/>
    <w:tmpl w:val="FECA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41136B"/>
    <w:multiLevelType w:val="multilevel"/>
    <w:tmpl w:val="5F90B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5125E"/>
    <w:multiLevelType w:val="hybridMultilevel"/>
    <w:tmpl w:val="A4389142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D1B28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C5B87"/>
    <w:multiLevelType w:val="multilevel"/>
    <w:tmpl w:val="4CCE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266CF"/>
    <w:multiLevelType w:val="multilevel"/>
    <w:tmpl w:val="7972808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43715"/>
    <w:multiLevelType w:val="hybridMultilevel"/>
    <w:tmpl w:val="E3827BFA"/>
    <w:lvl w:ilvl="0" w:tplc="134C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B5550"/>
    <w:multiLevelType w:val="multilevel"/>
    <w:tmpl w:val="5484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213C29"/>
    <w:multiLevelType w:val="multilevel"/>
    <w:tmpl w:val="6A70E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A2119"/>
    <w:multiLevelType w:val="multilevel"/>
    <w:tmpl w:val="E0D6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FB0655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48171B"/>
    <w:multiLevelType w:val="multilevel"/>
    <w:tmpl w:val="31B20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D5E25"/>
    <w:multiLevelType w:val="multilevel"/>
    <w:tmpl w:val="08201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DC1D4D"/>
    <w:multiLevelType w:val="multilevel"/>
    <w:tmpl w:val="27BC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D779E"/>
    <w:multiLevelType w:val="multilevel"/>
    <w:tmpl w:val="7F5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7C0B36"/>
    <w:multiLevelType w:val="multilevel"/>
    <w:tmpl w:val="91B2B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747D6"/>
    <w:multiLevelType w:val="multilevel"/>
    <w:tmpl w:val="595A4B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77376C"/>
    <w:multiLevelType w:val="multilevel"/>
    <w:tmpl w:val="F3C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D25B20"/>
    <w:multiLevelType w:val="multilevel"/>
    <w:tmpl w:val="51EE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793A30"/>
    <w:multiLevelType w:val="multilevel"/>
    <w:tmpl w:val="F49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5D6982"/>
    <w:multiLevelType w:val="multilevel"/>
    <w:tmpl w:val="D0A01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CC44B43"/>
    <w:multiLevelType w:val="multilevel"/>
    <w:tmpl w:val="292E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BB6C9C"/>
    <w:multiLevelType w:val="multilevel"/>
    <w:tmpl w:val="E728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E03EE"/>
    <w:multiLevelType w:val="multilevel"/>
    <w:tmpl w:val="E290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5001625">
    <w:abstractNumId w:val="19"/>
  </w:num>
  <w:num w:numId="2" w16cid:durableId="1707636095">
    <w:abstractNumId w:val="21"/>
  </w:num>
  <w:num w:numId="3" w16cid:durableId="2103407180">
    <w:abstractNumId w:val="5"/>
  </w:num>
  <w:num w:numId="4" w16cid:durableId="63719671">
    <w:abstractNumId w:val="4"/>
  </w:num>
  <w:num w:numId="5" w16cid:durableId="1261834595">
    <w:abstractNumId w:val="9"/>
  </w:num>
  <w:num w:numId="6" w16cid:durableId="1673338023">
    <w:abstractNumId w:val="6"/>
  </w:num>
  <w:num w:numId="7" w16cid:durableId="1641880487">
    <w:abstractNumId w:val="0"/>
  </w:num>
  <w:num w:numId="8" w16cid:durableId="63184012">
    <w:abstractNumId w:val="10"/>
  </w:num>
  <w:num w:numId="9" w16cid:durableId="1702509169">
    <w:abstractNumId w:val="24"/>
  </w:num>
  <w:num w:numId="10" w16cid:durableId="528880379">
    <w:abstractNumId w:val="25"/>
  </w:num>
  <w:num w:numId="11" w16cid:durableId="1051730453">
    <w:abstractNumId w:val="20"/>
  </w:num>
  <w:num w:numId="12" w16cid:durableId="1188107376">
    <w:abstractNumId w:val="22"/>
  </w:num>
  <w:num w:numId="13" w16cid:durableId="1899584673">
    <w:abstractNumId w:val="18"/>
  </w:num>
  <w:num w:numId="14" w16cid:durableId="991446719">
    <w:abstractNumId w:val="23"/>
  </w:num>
  <w:num w:numId="15" w16cid:durableId="386227118">
    <w:abstractNumId w:val="3"/>
  </w:num>
  <w:num w:numId="16" w16cid:durableId="913511276">
    <w:abstractNumId w:val="11"/>
  </w:num>
  <w:num w:numId="17" w16cid:durableId="1476028389">
    <w:abstractNumId w:val="12"/>
  </w:num>
  <w:num w:numId="18" w16cid:durableId="1122727018">
    <w:abstractNumId w:val="26"/>
  </w:num>
  <w:num w:numId="19" w16cid:durableId="1065371326">
    <w:abstractNumId w:val="17"/>
  </w:num>
  <w:num w:numId="20" w16cid:durableId="1311788663">
    <w:abstractNumId w:val="14"/>
  </w:num>
  <w:num w:numId="21" w16cid:durableId="748618831">
    <w:abstractNumId w:val="7"/>
  </w:num>
  <w:num w:numId="22" w16cid:durableId="618686745">
    <w:abstractNumId w:val="1"/>
  </w:num>
  <w:num w:numId="23" w16cid:durableId="1523132935">
    <w:abstractNumId w:val="15"/>
  </w:num>
  <w:num w:numId="24" w16cid:durableId="1649896176">
    <w:abstractNumId w:val="8"/>
  </w:num>
  <w:num w:numId="25" w16cid:durableId="1107196487">
    <w:abstractNumId w:val="2"/>
  </w:num>
  <w:num w:numId="26" w16cid:durableId="378404982">
    <w:abstractNumId w:val="13"/>
  </w:num>
  <w:num w:numId="27" w16cid:durableId="13559564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32"/>
    <w:rsid w:val="00024114"/>
    <w:rsid w:val="00024161"/>
    <w:rsid w:val="000375FE"/>
    <w:rsid w:val="00064FD3"/>
    <w:rsid w:val="000B50EE"/>
    <w:rsid w:val="000F4955"/>
    <w:rsid w:val="0010335B"/>
    <w:rsid w:val="00106834"/>
    <w:rsid w:val="0014083A"/>
    <w:rsid w:val="001D1521"/>
    <w:rsid w:val="001E1365"/>
    <w:rsid w:val="001F3F47"/>
    <w:rsid w:val="001F6073"/>
    <w:rsid w:val="00254F0F"/>
    <w:rsid w:val="00277589"/>
    <w:rsid w:val="00283701"/>
    <w:rsid w:val="002A1964"/>
    <w:rsid w:val="002B2D50"/>
    <w:rsid w:val="002E52F9"/>
    <w:rsid w:val="00322885"/>
    <w:rsid w:val="00331CF8"/>
    <w:rsid w:val="003A74D3"/>
    <w:rsid w:val="003B3F80"/>
    <w:rsid w:val="003B4439"/>
    <w:rsid w:val="003D7655"/>
    <w:rsid w:val="00413730"/>
    <w:rsid w:val="00424221"/>
    <w:rsid w:val="0045167F"/>
    <w:rsid w:val="0048607F"/>
    <w:rsid w:val="00493BA8"/>
    <w:rsid w:val="004A6613"/>
    <w:rsid w:val="00540147"/>
    <w:rsid w:val="00555FF7"/>
    <w:rsid w:val="00562B53"/>
    <w:rsid w:val="005811F7"/>
    <w:rsid w:val="005A6745"/>
    <w:rsid w:val="005C132A"/>
    <w:rsid w:val="006222E2"/>
    <w:rsid w:val="00692F9E"/>
    <w:rsid w:val="006C04B5"/>
    <w:rsid w:val="007445D2"/>
    <w:rsid w:val="00770827"/>
    <w:rsid w:val="007B6D9C"/>
    <w:rsid w:val="007E2EAF"/>
    <w:rsid w:val="00805885"/>
    <w:rsid w:val="00827B6D"/>
    <w:rsid w:val="0084108A"/>
    <w:rsid w:val="00854B42"/>
    <w:rsid w:val="0087291B"/>
    <w:rsid w:val="008842D0"/>
    <w:rsid w:val="008A0D76"/>
    <w:rsid w:val="00922D44"/>
    <w:rsid w:val="009238A0"/>
    <w:rsid w:val="00973255"/>
    <w:rsid w:val="009A0532"/>
    <w:rsid w:val="00A062EE"/>
    <w:rsid w:val="00A2738C"/>
    <w:rsid w:val="00A31E35"/>
    <w:rsid w:val="00AD54D7"/>
    <w:rsid w:val="00AD6C3F"/>
    <w:rsid w:val="00AF1212"/>
    <w:rsid w:val="00B22920"/>
    <w:rsid w:val="00B26EF0"/>
    <w:rsid w:val="00B66068"/>
    <w:rsid w:val="00BD3D2B"/>
    <w:rsid w:val="00BE72A9"/>
    <w:rsid w:val="00C13671"/>
    <w:rsid w:val="00C41663"/>
    <w:rsid w:val="00C9151B"/>
    <w:rsid w:val="00CB7469"/>
    <w:rsid w:val="00D43D7D"/>
    <w:rsid w:val="00DB472A"/>
    <w:rsid w:val="00E25C97"/>
    <w:rsid w:val="00E74047"/>
    <w:rsid w:val="00E84BAC"/>
    <w:rsid w:val="00EB6BE8"/>
    <w:rsid w:val="00F01549"/>
    <w:rsid w:val="00F2492D"/>
    <w:rsid w:val="00F47432"/>
    <w:rsid w:val="00F67182"/>
    <w:rsid w:val="00F713EE"/>
    <w:rsid w:val="00F93EC1"/>
    <w:rsid w:val="00F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9DE0"/>
  <w15:chartTrackingRefBased/>
  <w15:docId w15:val="{363ED1F6-F5B1-4940-A03F-2DE48806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0532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5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A05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rsid w:val="009A053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A0532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3A74D3"/>
    <w:rPr>
      <w:rFonts w:ascii="Times New Roman" w:eastAsia="Times New Roman" w:hAnsi="Times New Roman" w:cs="Times New Roman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3A74D3"/>
    <w:pPr>
      <w:tabs>
        <w:tab w:val="left" w:pos="284"/>
        <w:tab w:val="left" w:pos="1701"/>
      </w:tabs>
      <w:spacing w:after="0" w:line="240" w:lineRule="auto"/>
    </w:pPr>
    <w:rPr>
      <w:rFonts w:ascii="Times New Roman" w:eastAsia="Times New Roman" w:hAnsi="Times New Roman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1F607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401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4014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4014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01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0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1647</Words>
  <Characters>9388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Manson, L.E.N. (KFT)</dc:creator>
  <cp:keywords/>
  <dc:description/>
  <cp:lastModifiedBy>Manson, L.E.N. (KFT)</cp:lastModifiedBy>
  <cp:revision>2</cp:revision>
  <dcterms:created xsi:type="dcterms:W3CDTF">2023-07-24T06:53:00Z</dcterms:created>
  <dcterms:modified xsi:type="dcterms:W3CDTF">2023-07-24T06:53:00Z</dcterms:modified>
</cp:coreProperties>
</file>