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4B11" w14:textId="753D5CC8" w:rsidR="009A0532" w:rsidRDefault="009A0532" w:rsidP="009A0532">
      <w:pPr>
        <w:pStyle w:val="Kop2"/>
        <w:rPr>
          <w:lang w:val="en-US"/>
        </w:rPr>
      </w:pPr>
      <w:r>
        <w:rPr>
          <w:lang w:val="en-US"/>
        </w:rPr>
        <w:t>Supplementary table 1</w:t>
      </w:r>
      <w:r w:rsidR="00835003">
        <w:rPr>
          <w:lang w:val="en-US"/>
        </w:rPr>
        <w:t>8</w:t>
      </w:r>
      <w:r>
        <w:rPr>
          <w:lang w:val="en-US"/>
        </w:rPr>
        <w:t xml:space="preserve">. Suggested clinical decision support texts for various health care professionals for </w:t>
      </w:r>
      <w:r>
        <w:rPr>
          <w:i/>
          <w:iCs/>
          <w:lang w:val="en-GB"/>
        </w:rPr>
        <w:t>HLA-</w:t>
      </w:r>
      <w:r w:rsidRPr="0017379F">
        <w:rPr>
          <w:i/>
          <w:iCs/>
          <w:lang w:val="en-GB"/>
        </w:rPr>
        <w:t>B*</w:t>
      </w:r>
      <w:r>
        <w:rPr>
          <w:i/>
          <w:iCs/>
          <w:lang w:val="en-GB"/>
        </w:rPr>
        <w:t>15:02</w:t>
      </w:r>
      <w:r>
        <w:rPr>
          <w:lang w:val="en-US"/>
        </w:rPr>
        <w:t xml:space="preserve">– </w:t>
      </w:r>
      <w:r w:rsidR="0016436A">
        <w:rPr>
          <w:lang w:val="en-US"/>
        </w:rPr>
        <w:t>lamotrigine</w:t>
      </w:r>
    </w:p>
    <w:p w14:paraId="031C312D" w14:textId="77777777" w:rsidR="009A0532" w:rsidRPr="0016436A" w:rsidRDefault="009A0532" w:rsidP="009A0532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20"/>
      </w:tblGrid>
      <w:tr w:rsidR="00805885" w:rsidRPr="00B567A1" w14:paraId="712F0F57" w14:textId="77777777" w:rsidTr="008D59ED">
        <w:tc>
          <w:tcPr>
            <w:tcW w:w="8720" w:type="dxa"/>
          </w:tcPr>
          <w:p w14:paraId="411A6A51" w14:textId="77777777" w:rsidR="00805885" w:rsidRPr="0016436A" w:rsidRDefault="00805885" w:rsidP="008D59ED">
            <w:pPr>
              <w:rPr>
                <w:rFonts w:ascii="Times New Roman" w:hAnsi="Times New Roman"/>
                <w:b/>
                <w:sz w:val="20"/>
                <w:u w:val="single"/>
                <w:lang w:val="en-US"/>
              </w:rPr>
            </w:pPr>
          </w:p>
          <w:p w14:paraId="2D6D8FAD" w14:textId="05D0F84D" w:rsidR="00805885" w:rsidRDefault="00805885" w:rsidP="008D59ED">
            <w:pPr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HLA-B*1502</w:t>
            </w:r>
            <w:r>
              <w:rPr>
                <w:rFonts w:cstheme="minorHAnsi"/>
                <w:b/>
                <w:sz w:val="20"/>
                <w:u w:val="single"/>
              </w:rPr>
              <w:t>:</w:t>
            </w:r>
            <w:r w:rsidR="00602301">
              <w:rPr>
                <w:rFonts w:cstheme="minorHAnsi"/>
                <w:b/>
                <w:sz w:val="20"/>
                <w:u w:val="single"/>
              </w:rPr>
              <w:t xml:space="preserve"> lamotrigine</w:t>
            </w:r>
          </w:p>
          <w:p w14:paraId="5F2DA90D" w14:textId="77777777" w:rsidR="00805885" w:rsidRDefault="00805885" w:rsidP="008D59ED">
            <w:pPr>
              <w:rPr>
                <w:rFonts w:cstheme="minorHAnsi"/>
                <w:b/>
                <w:sz w:val="20"/>
                <w:u w:val="single"/>
              </w:rPr>
            </w:pPr>
          </w:p>
          <w:p w14:paraId="0EA725B2" w14:textId="681EE978" w:rsidR="00B62BC1" w:rsidRPr="0031548B" w:rsidRDefault="00B62BC1" w:rsidP="00B62BC1">
            <w:pPr>
              <w:rPr>
                <w:rFonts w:cstheme="minorHAnsi"/>
                <w:bCs/>
                <w:sz w:val="20"/>
                <w:lang w:val="en-US"/>
              </w:rPr>
            </w:pPr>
            <w:r w:rsidRPr="0031548B">
              <w:rPr>
                <w:rFonts w:cstheme="minorHAnsi"/>
                <w:b/>
                <w:bCs/>
                <w:sz w:val="20"/>
                <w:lang w:val="en-US"/>
              </w:rPr>
              <w:t xml:space="preserve">Pharmacist </w:t>
            </w:r>
            <w:r w:rsidRPr="005A369C">
              <w:rPr>
                <w:rFonts w:cstheme="minorHAnsi"/>
                <w:b/>
                <w:bCs/>
                <w:sz w:val="20"/>
                <w:lang w:val="en-US"/>
              </w:rPr>
              <w:t xml:space="preserve">and physician </w:t>
            </w:r>
            <w:r w:rsidRPr="0031548B">
              <w:rPr>
                <w:rFonts w:cstheme="minorHAnsi"/>
                <w:b/>
                <w:bCs/>
                <w:sz w:val="20"/>
                <w:lang w:val="en-US"/>
              </w:rPr>
              <w:t>text</w:t>
            </w:r>
          </w:p>
          <w:p w14:paraId="090A23BD" w14:textId="52CAF2AA" w:rsidR="00D8532E" w:rsidRDefault="00D8532E" w:rsidP="00D8532E">
            <w:pPr>
              <w:rPr>
                <w:rFonts w:cstheme="minorHAnsi"/>
                <w:bCs/>
                <w:sz w:val="20"/>
              </w:rPr>
            </w:pPr>
            <w:r w:rsidRPr="00D8532E">
              <w:rPr>
                <w:rFonts w:cstheme="minorHAnsi"/>
                <w:bCs/>
                <w:sz w:val="20"/>
              </w:rPr>
              <w:t xml:space="preserve">The life-threatening cutaneous side effect Stevens-Johnson Syndrome/Toxic Epidermal Necrolysis (SJS/TEN) </w:t>
            </w:r>
            <w:r w:rsidR="002F16C6" w:rsidRPr="002F16C6">
              <w:rPr>
                <w:rFonts w:cstheme="minorHAnsi"/>
                <w:bCs/>
                <w:sz w:val="20"/>
              </w:rPr>
              <w:t xml:space="preserve">in the first three months </w:t>
            </w:r>
            <w:r w:rsidRPr="00D8532E">
              <w:rPr>
                <w:rFonts w:cstheme="minorHAnsi"/>
                <w:bCs/>
                <w:sz w:val="20"/>
              </w:rPr>
              <w:t xml:space="preserve">occurs more often </w:t>
            </w:r>
            <w:r>
              <w:rPr>
                <w:rFonts w:cstheme="minorHAnsi"/>
                <w:bCs/>
                <w:sz w:val="20"/>
              </w:rPr>
              <w:t xml:space="preserve">in </w:t>
            </w:r>
            <w:r w:rsidRPr="00D8532E">
              <w:rPr>
                <w:rFonts w:cstheme="minorHAnsi"/>
                <w:bCs/>
                <w:sz w:val="20"/>
              </w:rPr>
              <w:t xml:space="preserve">patients with this genetic variation. Based on the estimated risk for all patients and the increase by a factor </w:t>
            </w:r>
            <w:r>
              <w:rPr>
                <w:rFonts w:cstheme="minorHAnsi"/>
                <w:bCs/>
                <w:sz w:val="20"/>
              </w:rPr>
              <w:t xml:space="preserve">2.4-7.9 </w:t>
            </w:r>
            <w:r w:rsidRPr="00D8532E">
              <w:rPr>
                <w:rFonts w:cstheme="minorHAnsi"/>
                <w:bCs/>
                <w:sz w:val="20"/>
              </w:rPr>
              <w:t>for patients with this genetic variation, the risk of lamotrigine-induced SJS/TEN in patients with HLA-B*1502 is estimated at 0.</w:t>
            </w:r>
            <w:r>
              <w:rPr>
                <w:rFonts w:cstheme="minorHAnsi"/>
                <w:bCs/>
                <w:sz w:val="20"/>
              </w:rPr>
              <w:t>24-0.79</w:t>
            </w:r>
            <w:r w:rsidRPr="00D8532E">
              <w:rPr>
                <w:rFonts w:cstheme="minorHAnsi"/>
                <w:bCs/>
                <w:sz w:val="20"/>
              </w:rPr>
              <w:t>%.</w:t>
            </w:r>
          </w:p>
          <w:p w14:paraId="407A19F9" w14:textId="77777777" w:rsidR="00E130F0" w:rsidRDefault="00E130F0" w:rsidP="00D8532E">
            <w:pPr>
              <w:rPr>
                <w:rFonts w:cstheme="minorHAnsi"/>
                <w:bCs/>
                <w:sz w:val="20"/>
              </w:rPr>
            </w:pPr>
          </w:p>
          <w:p w14:paraId="4BF2F272" w14:textId="28557A68" w:rsidR="00D8532E" w:rsidRPr="00D8532E" w:rsidRDefault="00D8532E" w:rsidP="00D8532E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bCs/>
                <w:sz w:val="20"/>
                <w:lang w:val="en-US"/>
              </w:rPr>
            </w:pPr>
            <w:r w:rsidRPr="00D8532E">
              <w:rPr>
                <w:rFonts w:cstheme="minorHAnsi"/>
                <w:bCs/>
                <w:sz w:val="20"/>
                <w:lang w:val="en-US"/>
              </w:rPr>
              <w:t xml:space="preserve">Carefully weigh the risk of SJS/TEN against the benefits. </w:t>
            </w:r>
          </w:p>
          <w:p w14:paraId="1F627F9B" w14:textId="4ECC429E" w:rsidR="00D8532E" w:rsidRPr="00D8532E" w:rsidRDefault="00D8532E" w:rsidP="00D8532E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bCs/>
                <w:sz w:val="20"/>
                <w:lang w:val="en-US"/>
              </w:rPr>
            </w:pPr>
            <w:r w:rsidRPr="00D8532E">
              <w:rPr>
                <w:rFonts w:cstheme="minorHAnsi"/>
                <w:bCs/>
                <w:sz w:val="20"/>
                <w:lang w:val="en-US"/>
              </w:rPr>
              <w:t xml:space="preserve">Avoid lamotrigine if an alternative is </w:t>
            </w:r>
            <w:r w:rsidR="00B87650">
              <w:rPr>
                <w:rFonts w:cstheme="minorHAnsi"/>
                <w:bCs/>
                <w:sz w:val="20"/>
                <w:lang w:val="en-US"/>
              </w:rPr>
              <w:t>possible</w:t>
            </w:r>
            <w:r w:rsidRPr="00D8532E">
              <w:rPr>
                <w:rFonts w:cstheme="minorHAnsi"/>
                <w:bCs/>
                <w:sz w:val="20"/>
                <w:lang w:val="en-US"/>
              </w:rPr>
              <w:t xml:space="preserve">. </w:t>
            </w:r>
            <w:r w:rsidR="00226C86">
              <w:rPr>
                <w:rFonts w:cstheme="minorHAnsi"/>
                <w:bCs/>
                <w:sz w:val="20"/>
                <w:lang w:val="en-US"/>
              </w:rPr>
              <w:br/>
            </w:r>
            <w:r w:rsidRPr="00D8532E">
              <w:rPr>
                <w:rFonts w:cstheme="minorHAnsi"/>
                <w:bCs/>
                <w:sz w:val="20"/>
                <w:lang w:val="en-US"/>
              </w:rPr>
              <w:t xml:space="preserve">Carbamazepine carries a much higher risk of SJS/TEN in these patients and is therefore not an alternative. </w:t>
            </w:r>
            <w:r w:rsidR="00226C86">
              <w:rPr>
                <w:rFonts w:cstheme="minorHAnsi"/>
                <w:bCs/>
                <w:sz w:val="20"/>
                <w:lang w:val="en-US"/>
              </w:rPr>
              <w:br/>
            </w:r>
            <w:r w:rsidRPr="00D8532E">
              <w:rPr>
                <w:rFonts w:cstheme="minorHAnsi"/>
                <w:bCs/>
                <w:sz w:val="20"/>
                <w:lang w:val="en-US"/>
              </w:rPr>
              <w:t xml:space="preserve">A similar risk has been reported for phenytoin as for lamotrigine. The same applies to oxcarbazepine, but the most severe forms (SJS/TEN overlap and TEN) have not been observed with oxcarbazepine.    </w:t>
            </w:r>
          </w:p>
          <w:p w14:paraId="7BB5E7C0" w14:textId="4C3F95AD" w:rsidR="00BD3D2B" w:rsidRPr="00D8532E" w:rsidRDefault="00760372" w:rsidP="00D8532E">
            <w:pPr>
              <w:pStyle w:val="Lijstalinea"/>
              <w:numPr>
                <w:ilvl w:val="0"/>
                <w:numId w:val="27"/>
              </w:numPr>
              <w:rPr>
                <w:rFonts w:cstheme="minorHAnsi"/>
                <w:bCs/>
                <w:sz w:val="20"/>
                <w:lang w:val="en-US"/>
              </w:rPr>
            </w:pPr>
            <w:r>
              <w:rPr>
                <w:rFonts w:cstheme="minorHAnsi"/>
                <w:bCs/>
                <w:sz w:val="20"/>
                <w:lang w:val="en-US"/>
              </w:rPr>
              <w:t>I</w:t>
            </w:r>
            <w:r w:rsidR="00D8532E" w:rsidRPr="00D8532E">
              <w:rPr>
                <w:rFonts w:cstheme="minorHAnsi"/>
                <w:bCs/>
                <w:sz w:val="20"/>
                <w:lang w:val="en-US"/>
              </w:rPr>
              <w:t xml:space="preserve">f it is not possible to avoid </w:t>
            </w:r>
            <w:r w:rsidR="003F31AD">
              <w:rPr>
                <w:rFonts w:cstheme="minorHAnsi"/>
                <w:bCs/>
                <w:sz w:val="20"/>
                <w:lang w:val="en-US"/>
              </w:rPr>
              <w:t>lamotrigine</w:t>
            </w:r>
            <w:r w:rsidR="00D8532E" w:rsidRPr="00D8532E">
              <w:rPr>
                <w:rFonts w:cstheme="minorHAnsi"/>
                <w:bCs/>
                <w:sz w:val="20"/>
                <w:lang w:val="en-US"/>
              </w:rPr>
              <w:t xml:space="preserve">, advise the patient to report any </w:t>
            </w:r>
            <w:r w:rsidR="00A86C01">
              <w:rPr>
                <w:rFonts w:cstheme="minorHAnsi"/>
                <w:bCs/>
                <w:sz w:val="20"/>
                <w:lang w:val="en-US"/>
              </w:rPr>
              <w:t xml:space="preserve">skin </w:t>
            </w:r>
            <w:r w:rsidR="00D8532E" w:rsidRPr="00D8532E">
              <w:rPr>
                <w:rFonts w:cstheme="minorHAnsi"/>
                <w:bCs/>
                <w:sz w:val="20"/>
                <w:lang w:val="en-US"/>
              </w:rPr>
              <w:t>rash immediately</w:t>
            </w:r>
            <w:r w:rsidR="003F31AD">
              <w:rPr>
                <w:rFonts w:cstheme="minorHAnsi"/>
                <w:bCs/>
                <w:sz w:val="20"/>
                <w:lang w:val="en-US"/>
              </w:rPr>
              <w:t>.</w:t>
            </w:r>
          </w:p>
          <w:p w14:paraId="30F1B299" w14:textId="77777777" w:rsidR="00C71DC6" w:rsidRPr="002B2D50" w:rsidRDefault="00C71DC6" w:rsidP="00C71DC6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3C069B49" w14:textId="77777777" w:rsidR="00805885" w:rsidRPr="0017379F" w:rsidRDefault="00805885" w:rsidP="008D59E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Background information</w:t>
            </w:r>
          </w:p>
          <w:p w14:paraId="3F48CD7B" w14:textId="77777777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Other considerations: </w:t>
            </w:r>
          </w:p>
          <w:p w14:paraId="66FFBD79" w14:textId="003539A4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 w:rsidRPr="0017379F">
              <w:rPr>
                <w:rFonts w:cstheme="minorHAnsi"/>
                <w:bCs/>
                <w:sz w:val="20"/>
              </w:rPr>
              <w:t xml:space="preserve">The severe cutaneous side effect Stevens-Johnson syndrome/toxic epidermal necrolysis (SJS/TEN) always occurs within the first three months of treatment. If a patient does not develop SJS/TEN within the first three months of treatment, the chance of developing </w:t>
            </w:r>
            <w:r w:rsidR="00D73C39">
              <w:rPr>
                <w:rFonts w:cstheme="minorHAnsi"/>
                <w:bCs/>
                <w:sz w:val="20"/>
              </w:rPr>
              <w:t>lamo</w:t>
            </w:r>
            <w:r w:rsidR="009540A2">
              <w:rPr>
                <w:rFonts w:cstheme="minorHAnsi"/>
                <w:bCs/>
                <w:sz w:val="20"/>
              </w:rPr>
              <w:t>t</w:t>
            </w:r>
            <w:r w:rsidR="00D73C39">
              <w:rPr>
                <w:rFonts w:cstheme="minorHAnsi"/>
                <w:bCs/>
                <w:sz w:val="20"/>
              </w:rPr>
              <w:t>rigine</w:t>
            </w:r>
            <w:r w:rsidRPr="0017379F">
              <w:rPr>
                <w:rFonts w:cstheme="minorHAnsi"/>
                <w:bCs/>
                <w:sz w:val="20"/>
              </w:rPr>
              <w:t xml:space="preserve">-induced SJS/TEN </w:t>
            </w:r>
            <w:r w:rsidR="00211344">
              <w:rPr>
                <w:rFonts w:cstheme="minorHAnsi"/>
                <w:bCs/>
                <w:sz w:val="20"/>
              </w:rPr>
              <w:t xml:space="preserve">later on </w:t>
            </w:r>
            <w:r w:rsidRPr="0017379F">
              <w:rPr>
                <w:rFonts w:cstheme="minorHAnsi"/>
                <w:bCs/>
                <w:sz w:val="20"/>
              </w:rPr>
              <w:t xml:space="preserve">is therefore very small. </w:t>
            </w:r>
            <w:r w:rsidR="00211344">
              <w:rPr>
                <w:rFonts w:cstheme="minorHAnsi"/>
                <w:bCs/>
                <w:sz w:val="20"/>
              </w:rPr>
              <w:t>For this reason, t</w:t>
            </w:r>
            <w:r w:rsidRPr="0017379F">
              <w:rPr>
                <w:rFonts w:cstheme="minorHAnsi"/>
                <w:bCs/>
                <w:sz w:val="20"/>
              </w:rPr>
              <w:t xml:space="preserve">he recommendation to avoid </w:t>
            </w:r>
            <w:r w:rsidR="00D73C39">
              <w:rPr>
                <w:rFonts w:cstheme="minorHAnsi"/>
                <w:bCs/>
                <w:sz w:val="20"/>
              </w:rPr>
              <w:t>lamotrigine</w:t>
            </w:r>
            <w:r w:rsidRPr="0017379F">
              <w:rPr>
                <w:rFonts w:cstheme="minorHAnsi"/>
                <w:bCs/>
                <w:sz w:val="20"/>
              </w:rPr>
              <w:t xml:space="preserve"> applies only during the first three months of treatment.</w:t>
            </w:r>
          </w:p>
          <w:p w14:paraId="44A316FD" w14:textId="77777777" w:rsidR="003A74D3" w:rsidRDefault="003A74D3" w:rsidP="003A74D3">
            <w:pPr>
              <w:rPr>
                <w:rFonts w:cstheme="minorHAnsi"/>
                <w:bCs/>
                <w:sz w:val="20"/>
              </w:rPr>
            </w:pPr>
          </w:p>
          <w:p w14:paraId="648007E6" w14:textId="77777777" w:rsidR="00805885" w:rsidRPr="00805885" w:rsidRDefault="00805885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805885">
              <w:rPr>
                <w:rFonts w:cstheme="minorHAnsi"/>
                <w:bCs/>
                <w:sz w:val="20"/>
                <w:lang w:val="en-US"/>
              </w:rPr>
              <w:t>Mechanism:</w:t>
            </w:r>
          </w:p>
          <w:p w14:paraId="1DE8DE1B" w14:textId="35938555" w:rsidR="00E84B5D" w:rsidRDefault="003A74D3" w:rsidP="003A74D3">
            <w:pPr>
              <w:rPr>
                <w:rFonts w:cstheme="minorHAnsi"/>
                <w:bCs/>
                <w:sz w:val="20"/>
                <w:lang w:val="en-US"/>
              </w:rPr>
            </w:pPr>
            <w:r w:rsidRPr="00F93EC1">
              <w:rPr>
                <w:rFonts w:cstheme="minorHAnsi"/>
                <w:bCs/>
                <w:sz w:val="20"/>
                <w:lang w:val="en-US"/>
              </w:rPr>
              <w:t>Although the mechanism of hypersensitivity reactions to</w:t>
            </w:r>
            <w:r w:rsidR="00D8532E">
              <w:rPr>
                <w:rFonts w:cstheme="minorHAnsi"/>
                <w:bCs/>
                <w:sz w:val="20"/>
                <w:lang w:val="en-US"/>
              </w:rPr>
              <w:t xml:space="preserve"> lamotrigine</w:t>
            </w:r>
            <w:r w:rsidRPr="00F93EC1">
              <w:rPr>
                <w:rFonts w:cstheme="minorHAnsi"/>
                <w:bCs/>
                <w:sz w:val="20"/>
                <w:lang w:val="en-US"/>
              </w:rPr>
              <w:t xml:space="preserve"> is not </w:t>
            </w:r>
            <w:r w:rsidR="00316361">
              <w:rPr>
                <w:rFonts w:cstheme="minorHAnsi"/>
                <w:bCs/>
                <w:sz w:val="20"/>
                <w:lang w:val="en-US"/>
              </w:rPr>
              <w:t>fully</w:t>
            </w:r>
            <w:r w:rsidR="00316361" w:rsidRPr="00F93EC1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known, experimental data suggest the following mechanism.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 </w:t>
            </w:r>
          </w:p>
          <w:p w14:paraId="7FB76BF4" w14:textId="42833402" w:rsidR="003A74D3" w:rsidRPr="00F93EC1" w:rsidRDefault="003A74D3" w:rsidP="003A74D3">
            <w:pPr>
              <w:rPr>
                <w:rFonts w:cstheme="minorHAnsi"/>
                <w:bCs/>
                <w:sz w:val="20"/>
                <w:lang w:val="en-US"/>
              </w:rPr>
            </w:pPr>
            <w:r w:rsidRPr="003A6915">
              <w:rPr>
                <w:rFonts w:cstheme="minorHAnsi"/>
                <w:bCs/>
                <w:sz w:val="20"/>
              </w:rPr>
              <w:t xml:space="preserve">A cellular immune reaction against cells </w:t>
            </w:r>
            <w:r w:rsidR="00E84B5D">
              <w:rPr>
                <w:rFonts w:cstheme="minorHAnsi"/>
                <w:bCs/>
                <w:sz w:val="20"/>
              </w:rPr>
              <w:t xml:space="preserve">of the body </w:t>
            </w:r>
            <w:r w:rsidRPr="003A6915">
              <w:rPr>
                <w:rFonts w:cstheme="minorHAnsi"/>
                <w:bCs/>
                <w:sz w:val="20"/>
              </w:rPr>
              <w:t xml:space="preserve">is </w:t>
            </w:r>
            <w:r w:rsidR="00E84B5D">
              <w:rPr>
                <w:rFonts w:cstheme="minorHAnsi"/>
                <w:bCs/>
                <w:sz w:val="20"/>
              </w:rPr>
              <w:t>provoked when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D444D4">
              <w:rPr>
                <w:rFonts w:cstheme="minorHAnsi"/>
                <w:bCs/>
                <w:sz w:val="20"/>
              </w:rPr>
              <w:t>, originating</w:t>
            </w:r>
            <w:r w:rsidRPr="003A6915">
              <w:rPr>
                <w:rFonts w:cstheme="minorHAnsi"/>
                <w:bCs/>
                <w:sz w:val="20"/>
              </w:rPr>
              <w:t xml:space="preserve"> from proteins </w:t>
            </w:r>
            <w:r w:rsidR="00D444D4">
              <w:rPr>
                <w:rFonts w:cstheme="minorHAnsi"/>
                <w:bCs/>
                <w:sz w:val="20"/>
              </w:rPr>
              <w:t>from</w:t>
            </w:r>
            <w:r w:rsidR="00D444D4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these cells</w:t>
            </w:r>
            <w:r w:rsidR="00213655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bind to specific HLA proteins, </w:t>
            </w:r>
            <w:r w:rsidR="00213655">
              <w:rPr>
                <w:rFonts w:cstheme="minorHAnsi"/>
                <w:bCs/>
                <w:sz w:val="20"/>
              </w:rPr>
              <w:t xml:space="preserve">which </w:t>
            </w:r>
            <w:r w:rsidRPr="003A6915">
              <w:rPr>
                <w:rFonts w:cstheme="minorHAnsi"/>
                <w:bCs/>
                <w:sz w:val="20"/>
              </w:rPr>
              <w:t xml:space="preserve">are </w:t>
            </w:r>
            <w:r w:rsidR="00213655">
              <w:rPr>
                <w:rFonts w:cstheme="minorHAnsi"/>
                <w:bCs/>
                <w:sz w:val="20"/>
              </w:rPr>
              <w:t xml:space="preserve">then </w:t>
            </w:r>
            <w:r w:rsidRPr="003A6915">
              <w:rPr>
                <w:rFonts w:cstheme="minorHAnsi"/>
                <w:bCs/>
                <w:sz w:val="20"/>
              </w:rPr>
              <w:t xml:space="preserve">transported to the cell surface and ”recognised” as foreign by specific </w:t>
            </w:r>
            <w:r w:rsidR="000763A9">
              <w:rPr>
                <w:rFonts w:cstheme="minorHAnsi"/>
                <w:bCs/>
                <w:sz w:val="20"/>
              </w:rPr>
              <w:t xml:space="preserve">proteins of the </w:t>
            </w:r>
            <w:r w:rsidRPr="003A6915">
              <w:rPr>
                <w:rFonts w:cstheme="minorHAnsi"/>
                <w:bCs/>
                <w:sz w:val="20"/>
              </w:rPr>
              <w:t>immune cell</w:t>
            </w:r>
            <w:r>
              <w:rPr>
                <w:rFonts w:cstheme="minorHAnsi"/>
                <w:bCs/>
                <w:sz w:val="20"/>
              </w:rPr>
              <w:t xml:space="preserve">s </w:t>
            </w:r>
            <w:r w:rsidRPr="003A6915">
              <w:rPr>
                <w:rFonts w:cstheme="minorHAnsi"/>
                <w:bCs/>
                <w:sz w:val="20"/>
              </w:rPr>
              <w:t>(T-cell receptors).</w:t>
            </w:r>
            <w:r w:rsidR="00EB2851">
              <w:rPr>
                <w:rFonts w:cstheme="minorHAnsi"/>
                <w:bCs/>
                <w:sz w:val="20"/>
              </w:rPr>
              <w:t xml:space="preserve"> </w:t>
            </w:r>
            <w:r w:rsidR="00D8532E">
              <w:rPr>
                <w:rFonts w:cstheme="minorHAnsi"/>
                <w:bCs/>
                <w:sz w:val="20"/>
              </w:rPr>
              <w:t>Lamotrigine</w:t>
            </w:r>
            <w:r>
              <w:rPr>
                <w:rFonts w:cstheme="minorHAnsi"/>
                <w:bCs/>
                <w:sz w:val="20"/>
              </w:rPr>
              <w:t xml:space="preserve"> </w:t>
            </w:r>
            <w:r w:rsidR="000763A9">
              <w:rPr>
                <w:rFonts w:cstheme="minorHAnsi"/>
                <w:bCs/>
                <w:sz w:val="20"/>
              </w:rPr>
              <w:t xml:space="preserve">either </w:t>
            </w:r>
            <w:r w:rsidRPr="003A6915">
              <w:rPr>
                <w:rFonts w:cstheme="minorHAnsi"/>
                <w:bCs/>
                <w:sz w:val="20"/>
              </w:rPr>
              <w:t>binds to the proteins</w:t>
            </w:r>
            <w:r w:rsidR="000763A9">
              <w:rPr>
                <w:rFonts w:cstheme="minorHAnsi"/>
                <w:bCs/>
                <w:sz w:val="20"/>
              </w:rPr>
              <w:t xml:space="preserve"> from the cells of the body, to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055A19">
              <w:rPr>
                <w:rFonts w:cstheme="minorHAnsi"/>
                <w:bCs/>
                <w:sz w:val="20"/>
              </w:rPr>
              <w:t xml:space="preserve"> formed by these proteins</w:t>
            </w:r>
            <w:r w:rsidRPr="003A6915">
              <w:rPr>
                <w:rFonts w:cstheme="minorHAnsi"/>
                <w:bCs/>
                <w:sz w:val="20"/>
              </w:rPr>
              <w:t xml:space="preserve">, to </w:t>
            </w:r>
            <w:r>
              <w:rPr>
                <w:rFonts w:cstheme="minorHAnsi"/>
                <w:bCs/>
                <w:sz w:val="20"/>
              </w:rPr>
              <w:t>HLA-B*15</w:t>
            </w:r>
            <w:r w:rsidR="00055A19">
              <w:rPr>
                <w:rFonts w:cstheme="minorHAnsi"/>
                <w:bCs/>
                <w:sz w:val="20"/>
              </w:rPr>
              <w:t>02</w:t>
            </w:r>
            <w:r w:rsidRPr="003A6915">
              <w:rPr>
                <w:rFonts w:cstheme="minorHAnsi"/>
                <w:bCs/>
                <w:sz w:val="20"/>
              </w:rPr>
              <w:t xml:space="preserve"> or to specific T-cell receptors</w:t>
            </w:r>
            <w:r>
              <w:rPr>
                <w:rFonts w:cstheme="minorHAnsi"/>
                <w:bCs/>
                <w:sz w:val="20"/>
              </w:rPr>
              <w:t xml:space="preserve">. This </w:t>
            </w:r>
            <w:r w:rsidR="00055A19">
              <w:rPr>
                <w:rFonts w:cstheme="minorHAnsi"/>
                <w:bCs/>
                <w:sz w:val="20"/>
              </w:rPr>
              <w:t xml:space="preserve">results in </w:t>
            </w:r>
            <w:r>
              <w:rPr>
                <w:rFonts w:cstheme="minorHAnsi"/>
                <w:bCs/>
                <w:sz w:val="20"/>
              </w:rPr>
              <w:t xml:space="preserve">an </w:t>
            </w:r>
            <w:r w:rsidRPr="003A6915">
              <w:rPr>
                <w:rFonts w:cstheme="minorHAnsi"/>
                <w:bCs/>
                <w:sz w:val="20"/>
              </w:rPr>
              <w:t xml:space="preserve">interaction between </w:t>
            </w:r>
            <w:r w:rsidR="00C9037F">
              <w:rPr>
                <w:rFonts w:cstheme="minorHAnsi"/>
                <w:bCs/>
                <w:sz w:val="20"/>
              </w:rPr>
              <w:t>the</w:t>
            </w:r>
            <w:r w:rsidR="00C9037F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HLA peptide complex and a T-cell receptor, </w:t>
            </w:r>
            <w:r w:rsidR="00C9037F">
              <w:rPr>
                <w:rFonts w:cstheme="minorHAnsi"/>
                <w:bCs/>
                <w:sz w:val="20"/>
              </w:rPr>
              <w:t>which triggers</w:t>
            </w:r>
            <w:r w:rsidRPr="003A6915">
              <w:rPr>
                <w:rFonts w:cstheme="minorHAnsi"/>
                <w:bCs/>
                <w:sz w:val="20"/>
              </w:rPr>
              <w:t xml:space="preserve"> a cellular immune reaction against </w:t>
            </w:r>
            <w:r w:rsidR="00C9037F">
              <w:rPr>
                <w:rFonts w:cstheme="minorHAnsi"/>
                <w:bCs/>
                <w:sz w:val="20"/>
              </w:rPr>
              <w:t>the</w:t>
            </w:r>
            <w:r w:rsidR="00C9037F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cells</w:t>
            </w:r>
            <w:r w:rsidR="00C9037F">
              <w:rPr>
                <w:rFonts w:cstheme="minorHAnsi"/>
                <w:bCs/>
                <w:sz w:val="20"/>
              </w:rPr>
              <w:t xml:space="preserve"> of the body.</w:t>
            </w:r>
          </w:p>
          <w:p w14:paraId="16DC9B28" w14:textId="4F9C019A" w:rsidR="00805885" w:rsidRDefault="003A74D3" w:rsidP="008D59ED">
            <w:pPr>
              <w:rPr>
                <w:rFonts w:cstheme="minorHAnsi"/>
                <w:bCs/>
                <w:sz w:val="20"/>
              </w:rPr>
            </w:pPr>
            <w:r w:rsidRPr="008A0D76">
              <w:rPr>
                <w:rFonts w:cstheme="minorHAnsi"/>
                <w:bCs/>
                <w:sz w:val="20"/>
              </w:rPr>
              <w:t xml:space="preserve">For more information </w:t>
            </w:r>
            <w:r w:rsidR="002345DE">
              <w:rPr>
                <w:rFonts w:cstheme="minorHAnsi"/>
                <w:bCs/>
                <w:sz w:val="20"/>
              </w:rPr>
              <w:t>about</w:t>
            </w:r>
            <w:r w:rsidR="002345DE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the HLA-</w:t>
            </w:r>
            <w:r>
              <w:rPr>
                <w:rFonts w:cstheme="minorHAnsi"/>
                <w:bCs/>
                <w:sz w:val="20"/>
              </w:rPr>
              <w:t>B*15</w:t>
            </w:r>
            <w:r w:rsidR="00EB2851">
              <w:rPr>
                <w:rFonts w:cstheme="minorHAnsi"/>
                <w:bCs/>
                <w:sz w:val="20"/>
              </w:rPr>
              <w:t>02</w:t>
            </w:r>
            <w:r w:rsidRPr="008A0D76">
              <w:rPr>
                <w:rFonts w:cstheme="minorHAnsi"/>
                <w:bCs/>
                <w:sz w:val="20"/>
              </w:rPr>
              <w:t>-positive genotype group</w:t>
            </w:r>
            <w:r w:rsidR="002345DE">
              <w:rPr>
                <w:rFonts w:cstheme="minorHAnsi"/>
                <w:bCs/>
                <w:sz w:val="20"/>
              </w:rPr>
              <w:t>:</w:t>
            </w:r>
            <w:r w:rsidRPr="008A0D76">
              <w:rPr>
                <w:rFonts w:cstheme="minorHAnsi"/>
                <w:bCs/>
                <w:sz w:val="20"/>
              </w:rPr>
              <w:t xml:space="preserve"> see the general background information </w:t>
            </w:r>
            <w:r w:rsidR="002345DE">
              <w:rPr>
                <w:rFonts w:cstheme="minorHAnsi"/>
                <w:bCs/>
                <w:sz w:val="20"/>
              </w:rPr>
              <w:t>about</w:t>
            </w:r>
            <w:r w:rsidR="002345DE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HLA</w:t>
            </w:r>
            <w:r>
              <w:rPr>
                <w:rFonts w:cstheme="minorHAnsi"/>
                <w:bCs/>
                <w:sz w:val="20"/>
              </w:rPr>
              <w:t xml:space="preserve"> in the KNMP Kennisbank (search for HLA). </w:t>
            </w:r>
          </w:p>
          <w:p w14:paraId="07D95E3F" w14:textId="77777777" w:rsidR="00805885" w:rsidRDefault="00805885" w:rsidP="008D59ED">
            <w:pPr>
              <w:rPr>
                <w:rFonts w:cstheme="minorHAnsi"/>
                <w:bCs/>
                <w:sz w:val="20"/>
              </w:rPr>
            </w:pPr>
          </w:p>
          <w:p w14:paraId="390142DF" w14:textId="77777777" w:rsidR="00805885" w:rsidRDefault="00805885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Clinical consequences: </w:t>
            </w:r>
          </w:p>
          <w:p w14:paraId="50D1263E" w14:textId="77777777" w:rsidR="00C22F41" w:rsidRDefault="00602301" w:rsidP="00602301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602301">
              <w:rPr>
                <w:rFonts w:asciiTheme="minorHAnsi" w:hAnsiTheme="minorHAnsi" w:cstheme="minorHAnsi"/>
                <w:bCs/>
                <w:szCs w:val="20"/>
              </w:rPr>
              <w:t xml:space="preserve">Four meta-analyses, of which two were identical, with a total number of 12, 17, 17 and 54 lamotrigine-induced SJS/TEN cases per meta-analysis, a case-control study with 28 SJS/TEN cases and two combined case-control studies with a total of 7 SJS/TEN cases revealed that HLA-B*1502 increases the risk of lamotrigine-induced SJS/TEN (OR = 2.4-7.9, with the OR decreasing with an increasing total number of SJS/TEN cases in the meta-analyses). </w:t>
            </w:r>
          </w:p>
          <w:p w14:paraId="45C23437" w14:textId="7612F86B" w:rsidR="00602301" w:rsidRPr="00602301" w:rsidRDefault="00602301" w:rsidP="00602301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602301">
              <w:rPr>
                <w:rFonts w:asciiTheme="minorHAnsi" w:hAnsiTheme="minorHAnsi" w:cstheme="minorHAnsi"/>
                <w:bCs/>
                <w:szCs w:val="20"/>
              </w:rPr>
              <w:t>A meta-analysis of two studies with a total of 7 SJS/TEN cases and four case-control studies with respectively 22, 7, 6 and 6 lamotrigine-induced SJS/TEN cases found no increased risk for HLA-B*1502 carriers.</w:t>
            </w:r>
          </w:p>
          <w:p w14:paraId="03C8685B" w14:textId="77777777" w:rsidR="00602301" w:rsidRPr="00602301" w:rsidRDefault="00602301" w:rsidP="00602301">
            <w:pPr>
              <w:pStyle w:val="Geenafstand"/>
              <w:rPr>
                <w:rFonts w:asciiTheme="minorHAnsi" w:hAnsiTheme="minorHAnsi" w:cstheme="minorHAnsi"/>
                <w:bCs/>
              </w:rPr>
            </w:pPr>
          </w:p>
          <w:p w14:paraId="44A03BD4" w14:textId="4659F2E7" w:rsidR="00805885" w:rsidRPr="00602301" w:rsidRDefault="00805885" w:rsidP="00602301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602301">
              <w:rPr>
                <w:rFonts w:asciiTheme="minorHAnsi" w:hAnsiTheme="minorHAnsi" w:cstheme="minorHAnsi"/>
                <w:bCs/>
              </w:rPr>
              <w:t>Kinetic consequences:</w:t>
            </w:r>
          </w:p>
          <w:p w14:paraId="52240324" w14:textId="2EF65DBE" w:rsidR="00805885" w:rsidRPr="00602301" w:rsidRDefault="00472508" w:rsidP="008D59ED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  <w:p w14:paraId="5BAA1527" w14:textId="77777777" w:rsidR="00805885" w:rsidRDefault="00805885" w:rsidP="008D59ED">
            <w:pPr>
              <w:jc w:val="both"/>
              <w:rPr>
                <w:sz w:val="20"/>
                <w:szCs w:val="20"/>
              </w:rPr>
            </w:pPr>
          </w:p>
          <w:p w14:paraId="26FA5CE6" w14:textId="77777777" w:rsidR="00805885" w:rsidRDefault="00805885" w:rsidP="008D59E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03FC1C78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02301">
              <w:rPr>
                <w:sz w:val="20"/>
                <w:szCs w:val="20"/>
                <w:lang w:val="en-US"/>
              </w:rPr>
              <w:t>Sukasem</w:t>
            </w:r>
            <w:proofErr w:type="spellEnd"/>
            <w:r w:rsidRPr="00602301">
              <w:rPr>
                <w:sz w:val="20"/>
                <w:szCs w:val="20"/>
                <w:lang w:val="en-US"/>
              </w:rPr>
              <w:t xml:space="preserve"> C et al. Spectrum of cutaneous adverse reactions to aromatic antiepileptic drugs and human leukocyte antigen genotypes in Thai patients and meta-analysis. Pharmacogenomics J 2021;21:682-90.</w:t>
            </w:r>
          </w:p>
          <w:p w14:paraId="79DCDA78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02301">
              <w:rPr>
                <w:sz w:val="20"/>
                <w:szCs w:val="20"/>
                <w:lang w:val="en-US"/>
              </w:rPr>
              <w:t>Sabourirad</w:t>
            </w:r>
            <w:proofErr w:type="spellEnd"/>
            <w:r w:rsidRPr="00602301">
              <w:rPr>
                <w:sz w:val="20"/>
                <w:szCs w:val="20"/>
                <w:lang w:val="en-US"/>
              </w:rPr>
              <w:t xml:space="preserve"> S et al. Investigating the association of lamotrigine and phenytoin-induced Stevens-Johnson syndrome/Toxic Epidermal Necrolysis with HLA-B*1502 in Iranian population. Exp Dermatol 2021;30:284-7.</w:t>
            </w:r>
          </w:p>
          <w:p w14:paraId="28B6143F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Deng Y et al. Association between HLA alleles and lamotrigine-induced cutaneous adverse drug reactions in Asian populations: a meta-analysis. Seizure 2018;60:163-71.</w:t>
            </w:r>
          </w:p>
          <w:p w14:paraId="6C338907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Shi YW et al. HLA-A*24:02 as a common risk factor for antiepileptic drug-induced cutaneous adverse reactions. Neurology 2017;88:2183-2191.</w:t>
            </w:r>
          </w:p>
          <w:p w14:paraId="101CD113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Zeng T et al. Association of HLA-B*1502 allele with lamotrigine-induced Stevens-Johnson syndrome and toxic epidermal necrolysis in Han Chinese subjects: a meta-analysis. Int J Dermatol 2015;54:488-93.</w:t>
            </w:r>
          </w:p>
          <w:p w14:paraId="3C8D7F5F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Kwan PK et al. Association between HLA-B*15:02 allele and antiepileptic drug-induced severe cutaneous reactions in Hong Kong Chinese: a population-based study. Hong Kong Med J 2014;20 Suppl 7:16-8.</w:t>
            </w:r>
          </w:p>
          <w:p w14:paraId="1B5C4591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 xml:space="preserve">Wang W et al. Genetic predictors of Stevens-Johnson syndrome and toxic epidermal necrolysis induced by aromatic antiepileptic drugs among the Chinese Han population. Epilepsy </w:t>
            </w:r>
            <w:proofErr w:type="spellStart"/>
            <w:r w:rsidRPr="00602301">
              <w:rPr>
                <w:sz w:val="20"/>
                <w:szCs w:val="20"/>
                <w:lang w:val="en-US"/>
              </w:rPr>
              <w:t>Behav</w:t>
            </w:r>
            <w:proofErr w:type="spellEnd"/>
            <w:r w:rsidRPr="00602301">
              <w:rPr>
                <w:sz w:val="20"/>
                <w:szCs w:val="20"/>
                <w:lang w:val="en-US"/>
              </w:rPr>
              <w:t xml:space="preserve"> 2014;37:16-9.</w:t>
            </w:r>
          </w:p>
          <w:p w14:paraId="3DE58E4A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Bloch KM et al. Pharmacogenetics of antiepileptic drug-induced hypersensitivity. Pharmacogenomics 2014;15:857-68.</w:t>
            </w:r>
          </w:p>
          <w:p w14:paraId="2A9072B8" w14:textId="77777777" w:rsidR="00602301" w:rsidRPr="00602301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 xml:space="preserve">Cheung YK et al. HLA-B alleles associated with severe cutaneous reactions to antiepileptic drugs in Han Chinese. </w:t>
            </w:r>
            <w:proofErr w:type="spellStart"/>
            <w:r w:rsidRPr="00602301">
              <w:rPr>
                <w:sz w:val="20"/>
                <w:szCs w:val="20"/>
                <w:lang w:val="en-US"/>
              </w:rPr>
              <w:t>Epilepsia</w:t>
            </w:r>
            <w:proofErr w:type="spellEnd"/>
            <w:r w:rsidRPr="00602301">
              <w:rPr>
                <w:sz w:val="20"/>
                <w:szCs w:val="20"/>
                <w:lang w:val="en-US"/>
              </w:rPr>
              <w:t xml:space="preserve"> 2013;54:1307-14.</w:t>
            </w:r>
          </w:p>
          <w:p w14:paraId="5A23BF13" w14:textId="77777777" w:rsidR="00805885" w:rsidRDefault="00602301" w:rsidP="00602301">
            <w:pPr>
              <w:numPr>
                <w:ilvl w:val="0"/>
                <w:numId w:val="6"/>
              </w:numPr>
              <w:jc w:val="both"/>
              <w:rPr>
                <w:sz w:val="20"/>
                <w:szCs w:val="20"/>
                <w:lang w:val="en-US"/>
              </w:rPr>
            </w:pPr>
            <w:r w:rsidRPr="00602301">
              <w:rPr>
                <w:sz w:val="20"/>
                <w:szCs w:val="20"/>
                <w:lang w:val="en-US"/>
              </w:rPr>
              <w:t>Hung SI et al. Common risk allele in aromatic antiepileptic-drug induced Stevens-Johnson syndrome and toxic epidermal necrolysis in Han Chinese. Pharmacogenomics 2010;11:349-56.</w:t>
            </w:r>
          </w:p>
          <w:p w14:paraId="198728A5" w14:textId="125B7853" w:rsidR="00602301" w:rsidRPr="003A74D3" w:rsidRDefault="00602301" w:rsidP="00602301">
            <w:pPr>
              <w:ind w:left="720"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37A325D3" w14:textId="24A123F4" w:rsidR="00562B53" w:rsidRDefault="00562B53">
      <w:pPr>
        <w:rPr>
          <w:lang w:val="en-US"/>
        </w:rPr>
      </w:pPr>
    </w:p>
    <w:sectPr w:rsidR="00562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4C1"/>
    <w:multiLevelType w:val="multilevel"/>
    <w:tmpl w:val="28DA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F6BC3"/>
    <w:multiLevelType w:val="multilevel"/>
    <w:tmpl w:val="D172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800DA"/>
    <w:multiLevelType w:val="hybridMultilevel"/>
    <w:tmpl w:val="8A02DC8E"/>
    <w:lvl w:ilvl="0" w:tplc="1228E144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E6D3B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404BA"/>
    <w:multiLevelType w:val="multilevel"/>
    <w:tmpl w:val="FECA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41136B"/>
    <w:multiLevelType w:val="multilevel"/>
    <w:tmpl w:val="5F90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5125E"/>
    <w:multiLevelType w:val="hybridMultilevel"/>
    <w:tmpl w:val="A4389142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D1B28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C5B87"/>
    <w:multiLevelType w:val="multilevel"/>
    <w:tmpl w:val="4CCE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266CF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F43715"/>
    <w:multiLevelType w:val="hybridMultilevel"/>
    <w:tmpl w:val="E3827BFA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B5550"/>
    <w:multiLevelType w:val="multilevel"/>
    <w:tmpl w:val="54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213C29"/>
    <w:multiLevelType w:val="multilevel"/>
    <w:tmpl w:val="6A70E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2119"/>
    <w:multiLevelType w:val="multilevel"/>
    <w:tmpl w:val="E0D6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FB0655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48171B"/>
    <w:multiLevelType w:val="multilevel"/>
    <w:tmpl w:val="31B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D5E25"/>
    <w:multiLevelType w:val="multilevel"/>
    <w:tmpl w:val="0820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D779E"/>
    <w:multiLevelType w:val="multilevel"/>
    <w:tmpl w:val="7F5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7C0B36"/>
    <w:multiLevelType w:val="multilevel"/>
    <w:tmpl w:val="91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747D6"/>
    <w:multiLevelType w:val="multilevel"/>
    <w:tmpl w:val="595A4B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77376C"/>
    <w:multiLevelType w:val="multilevel"/>
    <w:tmpl w:val="F3C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25B20"/>
    <w:multiLevelType w:val="multilevel"/>
    <w:tmpl w:val="51EE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793A30"/>
    <w:multiLevelType w:val="multilevel"/>
    <w:tmpl w:val="F49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5D6982"/>
    <w:multiLevelType w:val="multilevel"/>
    <w:tmpl w:val="D0A0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963BDB"/>
    <w:multiLevelType w:val="hybridMultilevel"/>
    <w:tmpl w:val="16F2A796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44B43"/>
    <w:multiLevelType w:val="multilevel"/>
    <w:tmpl w:val="292E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BB6C9C"/>
    <w:multiLevelType w:val="multilevel"/>
    <w:tmpl w:val="E728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FE03EE"/>
    <w:multiLevelType w:val="multilevel"/>
    <w:tmpl w:val="E29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001625">
    <w:abstractNumId w:val="19"/>
  </w:num>
  <w:num w:numId="2" w16cid:durableId="1707636095">
    <w:abstractNumId w:val="21"/>
  </w:num>
  <w:num w:numId="3" w16cid:durableId="2103407180">
    <w:abstractNumId w:val="6"/>
  </w:num>
  <w:num w:numId="4" w16cid:durableId="63719671">
    <w:abstractNumId w:val="5"/>
  </w:num>
  <w:num w:numId="5" w16cid:durableId="1261834595">
    <w:abstractNumId w:val="10"/>
  </w:num>
  <w:num w:numId="6" w16cid:durableId="1673338023">
    <w:abstractNumId w:val="7"/>
  </w:num>
  <w:num w:numId="7" w16cid:durableId="1641880487">
    <w:abstractNumId w:val="0"/>
  </w:num>
  <w:num w:numId="8" w16cid:durableId="63184012">
    <w:abstractNumId w:val="11"/>
  </w:num>
  <w:num w:numId="9" w16cid:durableId="1702509169">
    <w:abstractNumId w:val="25"/>
  </w:num>
  <w:num w:numId="10" w16cid:durableId="528880379">
    <w:abstractNumId w:val="26"/>
  </w:num>
  <w:num w:numId="11" w16cid:durableId="1051730453">
    <w:abstractNumId w:val="20"/>
  </w:num>
  <w:num w:numId="12" w16cid:durableId="1188107376">
    <w:abstractNumId w:val="22"/>
  </w:num>
  <w:num w:numId="13" w16cid:durableId="1899584673">
    <w:abstractNumId w:val="18"/>
  </w:num>
  <w:num w:numId="14" w16cid:durableId="991446719">
    <w:abstractNumId w:val="23"/>
  </w:num>
  <w:num w:numId="15" w16cid:durableId="386227118">
    <w:abstractNumId w:val="4"/>
  </w:num>
  <w:num w:numId="16" w16cid:durableId="913511276">
    <w:abstractNumId w:val="12"/>
  </w:num>
  <w:num w:numId="17" w16cid:durableId="1476028389">
    <w:abstractNumId w:val="13"/>
  </w:num>
  <w:num w:numId="18" w16cid:durableId="1122727018">
    <w:abstractNumId w:val="27"/>
  </w:num>
  <w:num w:numId="19" w16cid:durableId="1065371326">
    <w:abstractNumId w:val="17"/>
  </w:num>
  <w:num w:numId="20" w16cid:durableId="1311788663">
    <w:abstractNumId w:val="15"/>
  </w:num>
  <w:num w:numId="21" w16cid:durableId="748618831">
    <w:abstractNumId w:val="8"/>
  </w:num>
  <w:num w:numId="22" w16cid:durableId="618686745">
    <w:abstractNumId w:val="1"/>
  </w:num>
  <w:num w:numId="23" w16cid:durableId="1523132935">
    <w:abstractNumId w:val="16"/>
  </w:num>
  <w:num w:numId="24" w16cid:durableId="1649896176">
    <w:abstractNumId w:val="9"/>
  </w:num>
  <w:num w:numId="25" w16cid:durableId="1107196487">
    <w:abstractNumId w:val="3"/>
  </w:num>
  <w:num w:numId="26" w16cid:durableId="378404982">
    <w:abstractNumId w:val="14"/>
  </w:num>
  <w:num w:numId="27" w16cid:durableId="1830750881">
    <w:abstractNumId w:val="24"/>
  </w:num>
  <w:num w:numId="28" w16cid:durableId="706029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32"/>
    <w:rsid w:val="00055A19"/>
    <w:rsid w:val="000763A9"/>
    <w:rsid w:val="0016436A"/>
    <w:rsid w:val="00211344"/>
    <w:rsid w:val="00213655"/>
    <w:rsid w:val="00226C86"/>
    <w:rsid w:val="002345DE"/>
    <w:rsid w:val="002978DA"/>
    <w:rsid w:val="002B2D50"/>
    <w:rsid w:val="002F16C6"/>
    <w:rsid w:val="00316361"/>
    <w:rsid w:val="003A74D3"/>
    <w:rsid w:val="003C64C5"/>
    <w:rsid w:val="003F31AD"/>
    <w:rsid w:val="00472508"/>
    <w:rsid w:val="004A598C"/>
    <w:rsid w:val="00562B53"/>
    <w:rsid w:val="00602301"/>
    <w:rsid w:val="007322FD"/>
    <w:rsid w:val="00760372"/>
    <w:rsid w:val="007F2E09"/>
    <w:rsid w:val="00805885"/>
    <w:rsid w:val="00835003"/>
    <w:rsid w:val="008A0D76"/>
    <w:rsid w:val="008C4504"/>
    <w:rsid w:val="00922D44"/>
    <w:rsid w:val="009238A0"/>
    <w:rsid w:val="009540A2"/>
    <w:rsid w:val="009A0532"/>
    <w:rsid w:val="00A86C01"/>
    <w:rsid w:val="00AC0B3F"/>
    <w:rsid w:val="00B567A1"/>
    <w:rsid w:val="00B62BC1"/>
    <w:rsid w:val="00B87650"/>
    <w:rsid w:val="00BD3D2B"/>
    <w:rsid w:val="00C22F41"/>
    <w:rsid w:val="00C41663"/>
    <w:rsid w:val="00C71DC6"/>
    <w:rsid w:val="00C9037F"/>
    <w:rsid w:val="00CA71BF"/>
    <w:rsid w:val="00D444D4"/>
    <w:rsid w:val="00D73C39"/>
    <w:rsid w:val="00D8532E"/>
    <w:rsid w:val="00E130F0"/>
    <w:rsid w:val="00E74047"/>
    <w:rsid w:val="00E84B5D"/>
    <w:rsid w:val="00EB2851"/>
    <w:rsid w:val="00ED445B"/>
    <w:rsid w:val="00F9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9DE0"/>
  <w15:chartTrackingRefBased/>
  <w15:docId w15:val="{363ED1F6-F5B1-4940-A03F-2DE48806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0532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A0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rsid w:val="009A05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A0532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A74D3"/>
    <w:rPr>
      <w:rFonts w:ascii="Times New Roman" w:eastAsia="Times New Roman" w:hAnsi="Times New Roman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3A74D3"/>
    <w:pPr>
      <w:tabs>
        <w:tab w:val="left" w:pos="284"/>
        <w:tab w:val="left" w:pos="1701"/>
      </w:tabs>
      <w:spacing w:after="0" w:line="240" w:lineRule="auto"/>
    </w:pPr>
    <w:rPr>
      <w:rFonts w:ascii="Times New Roman" w:eastAsia="Times New Roman" w:hAnsi="Times New Roman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2F16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4226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2</cp:revision>
  <dcterms:created xsi:type="dcterms:W3CDTF">2023-07-24T06:54:00Z</dcterms:created>
  <dcterms:modified xsi:type="dcterms:W3CDTF">2023-07-24T06:54:00Z</dcterms:modified>
</cp:coreProperties>
</file>