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F1D74" w14:textId="05E66C02" w:rsidR="00C627E6" w:rsidRDefault="00225BB9" w:rsidP="00407B0E">
      <w:pPr>
        <w:pStyle w:val="Kop2"/>
        <w:spacing w:line="240" w:lineRule="auto"/>
        <w:rPr>
          <w:rFonts w:ascii="Times New Roman" w:hAnsi="Times New Roman"/>
          <w:sz w:val="24"/>
          <w:szCs w:val="24"/>
          <w:lang w:val="en-GB"/>
        </w:rPr>
      </w:pPr>
      <w:r w:rsidRPr="00225BB9">
        <w:rPr>
          <w:b/>
          <w:bCs/>
          <w:lang w:val="en-US"/>
        </w:rPr>
        <w:t>Supplementary Material</w:t>
      </w:r>
      <w:r>
        <w:rPr>
          <w:b/>
          <w:bCs/>
          <w:lang w:val="en-US"/>
        </w:rPr>
        <w:t>:</w:t>
      </w:r>
      <w:r w:rsidRPr="00225BB9">
        <w:rPr>
          <w:b/>
          <w:bCs/>
          <w:lang w:val="en-US"/>
        </w:rPr>
        <w:t xml:space="preserve"> </w:t>
      </w:r>
      <w:r w:rsidR="00C627E6" w:rsidRPr="00274379">
        <w:rPr>
          <w:lang w:val="en-GB"/>
        </w:rPr>
        <w:t>Details of the searches used to perform the literature review of gene-</w:t>
      </w:r>
      <w:r w:rsidR="0092288E" w:rsidRPr="00274379">
        <w:rPr>
          <w:lang w:val="en-GB"/>
        </w:rPr>
        <w:t>antiepileptic drug</w:t>
      </w:r>
      <w:r w:rsidR="00C627E6" w:rsidRPr="00274379">
        <w:rPr>
          <w:lang w:val="en-GB"/>
        </w:rPr>
        <w:t xml:space="preserve"> interactions (dates, </w:t>
      </w:r>
      <w:r w:rsidR="002B3E92" w:rsidRPr="002B3E92">
        <w:rPr>
          <w:lang w:val="en-GB"/>
        </w:rPr>
        <w:t>search terms</w:t>
      </w:r>
      <w:r w:rsidR="002B3E92">
        <w:rPr>
          <w:lang w:val="en-GB"/>
        </w:rPr>
        <w:t xml:space="preserve">, and </w:t>
      </w:r>
      <w:r w:rsidR="00C627E6" w:rsidRPr="00274379">
        <w:rPr>
          <w:lang w:val="en-GB"/>
        </w:rPr>
        <w:t>article selection criteria)</w:t>
      </w:r>
    </w:p>
    <w:p w14:paraId="4B56AF57" w14:textId="77777777" w:rsidR="0092288E" w:rsidRDefault="0092288E" w:rsidP="00407B0E">
      <w:pPr>
        <w:spacing w:after="0" w:line="240" w:lineRule="auto"/>
        <w:rPr>
          <w:b/>
          <w:bCs/>
          <w:sz w:val="28"/>
          <w:szCs w:val="28"/>
          <w:lang w:val="en-US"/>
        </w:rPr>
      </w:pPr>
    </w:p>
    <w:p w14:paraId="54D7F3EC" w14:textId="164E0D08" w:rsidR="00EA53E4" w:rsidRPr="00EA53E4" w:rsidRDefault="00EA53E4" w:rsidP="00407B0E">
      <w:pPr>
        <w:spacing w:after="0" w:line="240" w:lineRule="auto"/>
        <w:rPr>
          <w:rFonts w:cstheme="minorHAnsi"/>
          <w:bCs/>
          <w:lang w:val="en-US"/>
        </w:rPr>
      </w:pPr>
      <w:r>
        <w:rPr>
          <w:rFonts w:cstheme="minorHAnsi"/>
          <w:bCs/>
          <w:lang w:val="en-US"/>
        </w:rPr>
        <w:t>F</w:t>
      </w:r>
      <w:r w:rsidRPr="00EA53E4">
        <w:rPr>
          <w:rFonts w:cstheme="minorHAnsi"/>
          <w:bCs/>
          <w:lang w:val="en-US"/>
        </w:rPr>
        <w:t xml:space="preserve">or all </w:t>
      </w:r>
      <w:proofErr w:type="spellStart"/>
      <w:r>
        <w:rPr>
          <w:rFonts w:cstheme="minorHAnsi"/>
          <w:bCs/>
          <w:lang w:val="en-US"/>
        </w:rPr>
        <w:t>Pubmed</w:t>
      </w:r>
      <w:proofErr w:type="spellEnd"/>
      <w:r>
        <w:rPr>
          <w:rFonts w:cstheme="minorHAnsi"/>
          <w:bCs/>
          <w:lang w:val="en-US"/>
        </w:rPr>
        <w:t xml:space="preserve"> </w:t>
      </w:r>
      <w:r w:rsidRPr="00EA53E4">
        <w:rPr>
          <w:rFonts w:cstheme="minorHAnsi"/>
          <w:bCs/>
          <w:lang w:val="en-US"/>
        </w:rPr>
        <w:t>searches with ‘AND (“humans”[Mesh Terms])’ in the search-terms, additional searches on recent articles were performed without this term.</w:t>
      </w:r>
      <w:r>
        <w:rPr>
          <w:rFonts w:cstheme="minorHAnsi"/>
          <w:bCs/>
          <w:lang w:val="en-US"/>
        </w:rPr>
        <w:t xml:space="preserve"> Only original studies in humans or meta-analyses of these were included. </w:t>
      </w:r>
    </w:p>
    <w:p w14:paraId="48D7CF48" w14:textId="77777777" w:rsidR="00AD42DC" w:rsidRPr="00332E6E" w:rsidRDefault="00AD42DC" w:rsidP="00407B0E">
      <w:pPr>
        <w:spacing w:after="0" w:line="240" w:lineRule="auto"/>
        <w:rPr>
          <w:rFonts w:cstheme="minorHAnsi"/>
          <w:lang w:val="en-US"/>
        </w:rPr>
      </w:pPr>
    </w:p>
    <w:p w14:paraId="0D0F0013" w14:textId="381C7F8A" w:rsidR="00694ADF" w:rsidRPr="00EA53E4" w:rsidRDefault="00694ADF" w:rsidP="00407B0E">
      <w:pPr>
        <w:spacing w:after="0" w:line="240" w:lineRule="auto"/>
        <w:rPr>
          <w:rFonts w:cstheme="minorHAnsi"/>
          <w:b/>
          <w:lang w:val="en-US"/>
        </w:rPr>
      </w:pPr>
      <w:r w:rsidRPr="00EA53E4">
        <w:rPr>
          <w:rFonts w:cstheme="minorHAnsi"/>
          <w:b/>
          <w:lang w:val="en-US"/>
        </w:rPr>
        <w:t>HLA: carbamazepine</w:t>
      </w:r>
    </w:p>
    <w:p w14:paraId="27DDE039" w14:textId="65C35C85" w:rsidR="00694ADF" w:rsidRPr="00EA53E4" w:rsidRDefault="00694ADF" w:rsidP="00407B0E">
      <w:pPr>
        <w:pStyle w:val="Preformatted"/>
        <w:rPr>
          <w:rFonts w:asciiTheme="minorHAnsi" w:hAnsiTheme="minorHAnsi" w:cstheme="minorHAnsi"/>
          <w:sz w:val="22"/>
          <w:szCs w:val="22"/>
          <w:lang w:val="en-GB"/>
        </w:rPr>
      </w:pPr>
      <w:r w:rsidRPr="00EA53E4">
        <w:rPr>
          <w:rFonts w:asciiTheme="minorHAnsi" w:hAnsiTheme="minorHAnsi" w:cstheme="minorHAnsi"/>
          <w:bCs/>
          <w:sz w:val="22"/>
          <w:szCs w:val="22"/>
          <w:lang w:val="en-GB"/>
        </w:rPr>
        <w:t xml:space="preserve">5-9-2016: </w:t>
      </w:r>
      <w:r w:rsidRPr="00EA53E4">
        <w:rPr>
          <w:rFonts w:asciiTheme="minorHAnsi" w:hAnsiTheme="minorHAnsi" w:cstheme="minorHAnsi"/>
          <w:sz w:val="22"/>
          <w:szCs w:val="22"/>
          <w:lang w:val="en-GB"/>
        </w:rPr>
        <w:t>("Carbamazepine"[Mesh] OR carbamazepine) AND ("HLA-B Antigens"[Mesh] OR "HLA-A Antigens"[Mesh] OR "HLA Antigens"[Mesh] OR "HLA-A31 antigen" [Supplementary Concept] OR "HLA-B15 Antigen"[Mesh] OR "HLA-B*15:02 antigen" [Supplementary Concept] OR "HLA-A*31:01 antigen" [Supplementary Concept] OR "HLA-B*1502" OR "HLA-A*3101" OR "HLA-B*1511" OR HLA) AND (English[lang] OR German[lang] OR Dutch[lang])</w:t>
      </w:r>
    </w:p>
    <w:p w14:paraId="720A84AD" w14:textId="795DBA21" w:rsidR="00694ADF" w:rsidRDefault="00694ADF" w:rsidP="00407B0E">
      <w:pPr>
        <w:pStyle w:val="Preformatted"/>
        <w:widowControl w:val="0"/>
        <w:rPr>
          <w:rFonts w:asciiTheme="minorHAnsi" w:hAnsiTheme="minorHAnsi" w:cstheme="minorHAnsi"/>
          <w:sz w:val="22"/>
          <w:szCs w:val="22"/>
          <w:lang w:val="en-GB"/>
        </w:rPr>
      </w:pPr>
      <w:r w:rsidRPr="00EA53E4">
        <w:rPr>
          <w:rFonts w:asciiTheme="minorHAnsi" w:hAnsiTheme="minorHAnsi" w:cstheme="minorHAnsi"/>
          <w:bCs/>
          <w:sz w:val="22"/>
          <w:szCs w:val="22"/>
          <w:lang w:val="en-GB"/>
        </w:rPr>
        <w:t>4-1-2022:</w:t>
      </w:r>
      <w:r w:rsidRPr="00EA53E4">
        <w:rPr>
          <w:rFonts w:asciiTheme="minorHAnsi" w:hAnsiTheme="minorHAnsi" w:cstheme="minorHAnsi"/>
          <w:sz w:val="22"/>
          <w:szCs w:val="22"/>
          <w:lang w:val="en-GB"/>
        </w:rPr>
        <w:t xml:space="preserve"> ("Carbamazepine"[Mesh] OR carbamazepine) AND ("HLA-B Antigens"[Mesh] OR "HLA-A Antigens"[Mesh] OR "HLA Antigens"[Mesh] OR "HLA-A31 antigen" [Supplementary Concept] OR "HLA-B15 Antigen"[Mesh] OR "HLA-B*15:02 antigen" [Supplementary Concept] OR "HLA-A*31:01 antigen" [Supplementary Concept] OR "HLA-B*1502" OR "HLA-A*3101" OR "HLA-B*1511" OR "HLA-B*15:02" OR "HLA-A*31:01" OR "HLA-B*15:11" OR HLA) AND (English[lang] OR German[lang] OR Dutch[lang]) </w:t>
      </w:r>
    </w:p>
    <w:p w14:paraId="5D29F6F6" w14:textId="77777777" w:rsidR="00332E6E" w:rsidRDefault="00332E6E" w:rsidP="00407B0E">
      <w:pPr>
        <w:pStyle w:val="Preformatted"/>
        <w:widowControl w:val="0"/>
        <w:rPr>
          <w:rFonts w:asciiTheme="minorHAnsi" w:hAnsiTheme="minorHAnsi" w:cstheme="minorHAnsi"/>
          <w:sz w:val="22"/>
          <w:szCs w:val="22"/>
          <w:lang w:val="en-GB"/>
        </w:rPr>
      </w:pPr>
    </w:p>
    <w:p w14:paraId="1717EA94" w14:textId="385CDA28" w:rsidR="0084467B" w:rsidRPr="0084467B" w:rsidRDefault="0084467B" w:rsidP="00407B0E">
      <w:pPr>
        <w:pStyle w:val="Preformatted"/>
        <w:widowControl w:val="0"/>
        <w:rPr>
          <w:rFonts w:asciiTheme="minorHAnsi" w:hAnsiTheme="minorHAnsi" w:cstheme="minorHAnsi"/>
          <w:sz w:val="22"/>
          <w:szCs w:val="22"/>
          <w:lang w:val="en-GB"/>
        </w:rPr>
      </w:pPr>
      <w:r w:rsidRPr="0084467B">
        <w:rPr>
          <w:rFonts w:asciiTheme="minorHAnsi" w:hAnsiTheme="minorHAnsi" w:cstheme="minorHAnsi"/>
          <w:sz w:val="22"/>
          <w:szCs w:val="22"/>
          <w:lang w:val="en-GB"/>
        </w:rPr>
        <w:t>We only included meta-analyses (for HLA-B*1502 only meta-analyses with more than 15 cases) and comparisons of genotype-guided with not genotype-guided therapy in the risk analysis. Other articles did not contribute enough to the evidence to be included.</w:t>
      </w:r>
    </w:p>
    <w:p w14:paraId="1BBA7AD4" w14:textId="0B8EDB87" w:rsidR="00ED5552" w:rsidRPr="00EA53E4" w:rsidRDefault="0084467B" w:rsidP="00407B0E">
      <w:pPr>
        <w:pStyle w:val="Preformatted"/>
        <w:widowControl w:val="0"/>
        <w:rPr>
          <w:rFonts w:asciiTheme="minorHAnsi" w:hAnsiTheme="minorHAnsi" w:cstheme="minorHAnsi"/>
          <w:sz w:val="22"/>
          <w:szCs w:val="22"/>
          <w:lang w:val="en-GB"/>
        </w:rPr>
      </w:pPr>
      <w:r w:rsidRPr="0084467B">
        <w:rPr>
          <w:rFonts w:asciiTheme="minorHAnsi" w:hAnsiTheme="minorHAnsi" w:cstheme="minorHAnsi"/>
          <w:sz w:val="22"/>
          <w:szCs w:val="22"/>
          <w:lang w:val="en-GB"/>
        </w:rPr>
        <w:t xml:space="preserve">The meta-analysis of </w:t>
      </w:r>
      <w:proofErr w:type="spellStart"/>
      <w:r w:rsidRPr="0084467B">
        <w:rPr>
          <w:rFonts w:asciiTheme="minorHAnsi" w:hAnsiTheme="minorHAnsi" w:cstheme="minorHAnsi"/>
          <w:sz w:val="22"/>
          <w:szCs w:val="22"/>
          <w:lang w:val="en-GB"/>
        </w:rPr>
        <w:t>Moutaouakkil</w:t>
      </w:r>
      <w:proofErr w:type="spellEnd"/>
      <w:r w:rsidRPr="0084467B">
        <w:rPr>
          <w:rFonts w:asciiTheme="minorHAnsi" w:hAnsiTheme="minorHAnsi" w:cstheme="minorHAnsi"/>
          <w:sz w:val="22"/>
          <w:szCs w:val="22"/>
          <w:lang w:val="en-GB"/>
        </w:rPr>
        <w:t xml:space="preserve"> 2019 (</w:t>
      </w:r>
      <w:proofErr w:type="spellStart"/>
      <w:r w:rsidRPr="0084467B">
        <w:rPr>
          <w:rFonts w:asciiTheme="minorHAnsi" w:hAnsiTheme="minorHAnsi" w:cstheme="minorHAnsi"/>
          <w:sz w:val="22"/>
          <w:szCs w:val="22"/>
          <w:lang w:val="en-GB"/>
        </w:rPr>
        <w:t>Moutaouakkil</w:t>
      </w:r>
      <w:proofErr w:type="spellEnd"/>
      <w:r w:rsidRPr="0084467B">
        <w:rPr>
          <w:rFonts w:asciiTheme="minorHAnsi" w:hAnsiTheme="minorHAnsi" w:cstheme="minorHAnsi"/>
          <w:sz w:val="22"/>
          <w:szCs w:val="22"/>
          <w:lang w:val="en-GB"/>
        </w:rPr>
        <w:t xml:space="preserve"> Y et al. Diagnostic utility of human leukocyte antigen B*15:02 screening in severe carbamazepine hypersensitivity syndrome. Ann Indian </w:t>
      </w:r>
      <w:proofErr w:type="spellStart"/>
      <w:r w:rsidRPr="0084467B">
        <w:rPr>
          <w:rFonts w:asciiTheme="minorHAnsi" w:hAnsiTheme="minorHAnsi" w:cstheme="minorHAnsi"/>
          <w:sz w:val="22"/>
          <w:szCs w:val="22"/>
          <w:lang w:val="en-GB"/>
        </w:rPr>
        <w:t>Acad</w:t>
      </w:r>
      <w:proofErr w:type="spellEnd"/>
      <w:r w:rsidRPr="0084467B">
        <w:rPr>
          <w:rFonts w:asciiTheme="minorHAnsi" w:hAnsiTheme="minorHAnsi" w:cstheme="minorHAnsi"/>
          <w:sz w:val="22"/>
          <w:szCs w:val="22"/>
          <w:lang w:val="en-GB"/>
        </w:rPr>
        <w:t xml:space="preserve"> </w:t>
      </w:r>
      <w:proofErr w:type="spellStart"/>
      <w:r w:rsidRPr="0084467B">
        <w:rPr>
          <w:rFonts w:asciiTheme="minorHAnsi" w:hAnsiTheme="minorHAnsi" w:cstheme="minorHAnsi"/>
          <w:sz w:val="22"/>
          <w:szCs w:val="22"/>
          <w:lang w:val="en-GB"/>
        </w:rPr>
        <w:t>Neurol</w:t>
      </w:r>
      <w:proofErr w:type="spellEnd"/>
      <w:r w:rsidRPr="0084467B">
        <w:rPr>
          <w:rFonts w:asciiTheme="minorHAnsi" w:hAnsiTheme="minorHAnsi" w:cstheme="minorHAnsi"/>
          <w:sz w:val="22"/>
          <w:szCs w:val="22"/>
          <w:lang w:val="en-GB"/>
        </w:rPr>
        <w:t xml:space="preserve"> 2019;22:377-83. PMID: 31736555) was not included, because the meta-analysis for the diagnostic odds ratio included one study twice (with slightly different control groups) (the study of Wang Q et al. Association between HLA</w:t>
      </w:r>
      <w:r w:rsidRPr="0084467B">
        <w:rPr>
          <w:rFonts w:ascii="Cambria Math" w:hAnsi="Cambria Math" w:cs="Cambria Math"/>
          <w:sz w:val="22"/>
          <w:szCs w:val="22"/>
          <w:lang w:val="en-GB"/>
        </w:rPr>
        <w:t>‑</w:t>
      </w:r>
      <w:r w:rsidRPr="0084467B">
        <w:rPr>
          <w:rFonts w:asciiTheme="minorHAnsi" w:hAnsiTheme="minorHAnsi" w:cstheme="minorHAnsi"/>
          <w:sz w:val="22"/>
          <w:szCs w:val="22"/>
          <w:lang w:val="en-GB"/>
        </w:rPr>
        <w:t>B*1502 allele and carbamazepine</w:t>
      </w:r>
      <w:r w:rsidRPr="0084467B">
        <w:rPr>
          <w:rFonts w:ascii="Cambria Math" w:hAnsi="Cambria Math" w:cs="Cambria Math"/>
          <w:sz w:val="22"/>
          <w:szCs w:val="22"/>
          <w:lang w:val="en-GB"/>
        </w:rPr>
        <w:t>‑</w:t>
      </w:r>
      <w:r w:rsidRPr="0084467B">
        <w:rPr>
          <w:rFonts w:asciiTheme="minorHAnsi" w:hAnsiTheme="minorHAnsi" w:cstheme="minorHAnsi"/>
          <w:sz w:val="22"/>
          <w:szCs w:val="22"/>
          <w:lang w:val="en-GB"/>
        </w:rPr>
        <w:t>induced severe cutaneous adverse reactions in Han people of Southern China mainland. Seizure 2011;20:446</w:t>
      </w:r>
      <w:r w:rsidRPr="0084467B">
        <w:rPr>
          <w:rFonts w:ascii="Cambria Math" w:hAnsi="Cambria Math" w:cs="Cambria Math"/>
          <w:sz w:val="22"/>
          <w:szCs w:val="22"/>
          <w:lang w:val="en-GB"/>
        </w:rPr>
        <w:t>‑</w:t>
      </w:r>
      <w:r w:rsidRPr="0084467B">
        <w:rPr>
          <w:rFonts w:asciiTheme="minorHAnsi" w:hAnsiTheme="minorHAnsi" w:cstheme="minorHAnsi"/>
          <w:sz w:val="22"/>
          <w:szCs w:val="22"/>
          <w:lang w:val="en-GB"/>
        </w:rPr>
        <w:t>8).</w:t>
      </w:r>
    </w:p>
    <w:p w14:paraId="681954CD" w14:textId="2ED726DF" w:rsidR="00694ADF" w:rsidRPr="00EA53E4" w:rsidRDefault="00694ADF" w:rsidP="00407B0E">
      <w:pPr>
        <w:spacing w:after="0" w:line="240" w:lineRule="auto"/>
        <w:rPr>
          <w:rFonts w:cstheme="minorHAnsi"/>
          <w:i/>
          <w:iCs/>
          <w:lang w:val="en-US"/>
        </w:rPr>
      </w:pPr>
    </w:p>
    <w:p w14:paraId="58BA7007" w14:textId="38B6DD4A" w:rsidR="00694ADF" w:rsidRPr="00EA53E4" w:rsidRDefault="00694ADF" w:rsidP="00407B0E">
      <w:pPr>
        <w:spacing w:after="0" w:line="240" w:lineRule="auto"/>
        <w:rPr>
          <w:rFonts w:cstheme="minorHAnsi"/>
          <w:b/>
          <w:lang w:val="en-US"/>
        </w:rPr>
      </w:pPr>
      <w:r w:rsidRPr="00EA53E4">
        <w:rPr>
          <w:rFonts w:cstheme="minorHAnsi"/>
          <w:b/>
          <w:lang w:val="en-US"/>
        </w:rPr>
        <w:t xml:space="preserve">HLA: </w:t>
      </w:r>
      <w:r w:rsidR="001538A3" w:rsidRPr="00EA53E4">
        <w:rPr>
          <w:rFonts w:cstheme="minorHAnsi"/>
          <w:b/>
          <w:lang w:val="en-US"/>
        </w:rPr>
        <w:t>lamotrigine</w:t>
      </w:r>
    </w:p>
    <w:p w14:paraId="37B592DC" w14:textId="1B18EBBD" w:rsidR="001538A3" w:rsidRPr="00EA53E4" w:rsidRDefault="001538A3" w:rsidP="00407B0E">
      <w:pPr>
        <w:pStyle w:val="Preformatted"/>
        <w:rPr>
          <w:rFonts w:asciiTheme="minorHAnsi" w:hAnsiTheme="minorHAnsi" w:cstheme="minorHAnsi"/>
          <w:sz w:val="22"/>
          <w:szCs w:val="22"/>
          <w:lang w:val="en-GB"/>
        </w:rPr>
      </w:pPr>
      <w:r w:rsidRPr="00EA53E4">
        <w:rPr>
          <w:rFonts w:asciiTheme="minorHAnsi" w:hAnsiTheme="minorHAnsi" w:cstheme="minorHAnsi"/>
          <w:bCs/>
          <w:sz w:val="22"/>
          <w:szCs w:val="22"/>
          <w:lang w:val="en-GB"/>
        </w:rPr>
        <w:t>19-3-2018:</w:t>
      </w:r>
      <w:r w:rsidRPr="00EA53E4">
        <w:rPr>
          <w:rFonts w:asciiTheme="minorHAnsi" w:hAnsiTheme="minorHAnsi" w:cstheme="minorHAnsi"/>
          <w:sz w:val="22"/>
          <w:szCs w:val="22"/>
          <w:lang w:val="en-GB"/>
        </w:rPr>
        <w:t xml:space="preserve"> ("lamotrigine" [Supplementary Concept] OR lamotrigine) AND ("HLA-B Antigens"[Mesh] OR "HLA-A Antigens"[Mesh] OR "HLA Antigens"[Mesh] OR "HLA-A31 antigen" [Supplementary Concept] OR "HLA-B15 Antigen"[Mesh] OR "HLA-B*15:02 antigen" [Supplementary Concept] OR "HLA-A*31:01 antigen" [Supplementary Concept] OR "HLA-B*1502" OR "HLA-A*3101" OR "HLA-B*1511" OR HLA) AND (English[lang] OR German[lang] OR Dutch[lang]) </w:t>
      </w:r>
    </w:p>
    <w:p w14:paraId="77685445" w14:textId="0A089F64" w:rsidR="00694ADF" w:rsidRDefault="001538A3" w:rsidP="00407B0E">
      <w:pPr>
        <w:spacing w:after="0" w:line="240" w:lineRule="auto"/>
        <w:rPr>
          <w:rFonts w:cstheme="minorHAnsi"/>
          <w:lang w:val="en-US"/>
        </w:rPr>
      </w:pPr>
      <w:r w:rsidRPr="00EA53E4">
        <w:rPr>
          <w:rFonts w:cstheme="minorHAnsi"/>
          <w:lang w:val="en-US"/>
        </w:rPr>
        <w:t>14-2-2022: ("Lamotrigine"[Mesh] OR lamotrigine) AND ("HLA-B Antigens"[Mesh] OR "HLA-A Antigens"[Mesh] OR "HLA Antigens"[Mesh] OR "HLA-A31 antigen" [Supplementary Concept] OR "HLA-B15 Antigen"[Mesh] OR "HLA-B*15:02 antigen" [Supplementary Concept] OR "HLA-A*31:01 antigen" [Supplementary Concept] OR "HLA-B*1502" OR "HLA-A*3101" OR "HLA-B*1511" OR "HLA-B*15:02" OR "HLA-A*31:01" OR "HLA-B*15:11" OR HLA) AND (English[lang] OR German[lang] OR Dutch[lang])</w:t>
      </w:r>
    </w:p>
    <w:p w14:paraId="6D08CA24" w14:textId="2DF431AE" w:rsidR="001538A3" w:rsidRDefault="001538A3" w:rsidP="00407B0E">
      <w:pPr>
        <w:spacing w:after="0" w:line="240" w:lineRule="auto"/>
        <w:rPr>
          <w:rFonts w:cstheme="minorHAnsi"/>
          <w:lang w:val="en-US"/>
        </w:rPr>
      </w:pPr>
    </w:p>
    <w:p w14:paraId="46401C5B" w14:textId="0A936E6B" w:rsidR="00332E6E" w:rsidRPr="00332E6E" w:rsidRDefault="00332E6E" w:rsidP="00407B0E">
      <w:pPr>
        <w:spacing w:after="0" w:line="240" w:lineRule="auto"/>
        <w:rPr>
          <w:rFonts w:cstheme="minorHAnsi"/>
          <w:lang w:val="en-GB"/>
        </w:rPr>
      </w:pPr>
      <w:r w:rsidRPr="00332E6E">
        <w:rPr>
          <w:rFonts w:cstheme="minorHAnsi"/>
          <w:lang w:val="en-GB"/>
        </w:rPr>
        <w:t>We only included studies with more than 5 cases with severe cutaneous adverse events in the risk analysis. Other articles did not contribute enough to the evidence to be included. There were no studies and case reports investigating possible alternatives and no studies on genotype-guided therapy.</w:t>
      </w:r>
    </w:p>
    <w:p w14:paraId="248CAD78" w14:textId="77777777" w:rsidR="00332E6E" w:rsidRPr="00332E6E" w:rsidRDefault="00332E6E" w:rsidP="00407B0E">
      <w:pPr>
        <w:spacing w:after="0" w:line="240" w:lineRule="auto"/>
        <w:rPr>
          <w:rFonts w:cstheme="minorHAnsi"/>
          <w:lang w:val="en-GB"/>
        </w:rPr>
      </w:pPr>
      <w:r w:rsidRPr="00332E6E">
        <w:rPr>
          <w:rFonts w:cstheme="minorHAnsi"/>
          <w:lang w:val="en-GB"/>
        </w:rPr>
        <w:t xml:space="preserve">The article of Li 2020 (Li W et al. HLA-A*24:02 associated with lamotrigine-induced cutaneous adverse drug reactions: A systematic review and meta-analysis. Medicine (Baltimore) 2020;99:e23929. PMID: 33350798) was not included in the risk analysis, because only 40 of the 187 </w:t>
      </w:r>
      <w:r w:rsidRPr="00332E6E">
        <w:rPr>
          <w:rFonts w:cstheme="minorHAnsi"/>
          <w:lang w:val="en-GB"/>
        </w:rPr>
        <w:lastRenderedPageBreak/>
        <w:t>cases in the meta-analysis with tolerant controls and 18 of the 110 cases in the meta-analysis with population controls had severe cutaneous adverse events.</w:t>
      </w:r>
    </w:p>
    <w:p w14:paraId="0C22B2C9" w14:textId="0CD5D46D" w:rsidR="00332E6E" w:rsidRDefault="00332E6E" w:rsidP="00407B0E">
      <w:pPr>
        <w:spacing w:after="0" w:line="240" w:lineRule="auto"/>
        <w:rPr>
          <w:rFonts w:cstheme="minorHAnsi"/>
          <w:lang w:val="en-GB"/>
        </w:rPr>
      </w:pPr>
      <w:r w:rsidRPr="00332E6E">
        <w:rPr>
          <w:rFonts w:cstheme="minorHAnsi"/>
          <w:lang w:val="en-GB"/>
        </w:rPr>
        <w:t xml:space="preserve">The article of </w:t>
      </w:r>
      <w:proofErr w:type="spellStart"/>
      <w:r w:rsidRPr="00332E6E">
        <w:rPr>
          <w:rFonts w:cstheme="minorHAnsi"/>
          <w:lang w:val="en-GB"/>
        </w:rPr>
        <w:t>Ihtisham</w:t>
      </w:r>
      <w:proofErr w:type="spellEnd"/>
      <w:r w:rsidRPr="00332E6E">
        <w:rPr>
          <w:rFonts w:cstheme="minorHAnsi"/>
          <w:lang w:val="en-GB"/>
        </w:rPr>
        <w:t xml:space="preserve"> 2019 (</w:t>
      </w:r>
      <w:proofErr w:type="spellStart"/>
      <w:r w:rsidRPr="00332E6E">
        <w:rPr>
          <w:rFonts w:cstheme="minorHAnsi"/>
          <w:lang w:val="en-GB"/>
        </w:rPr>
        <w:t>Ihtisham</w:t>
      </w:r>
      <w:proofErr w:type="spellEnd"/>
      <w:r w:rsidRPr="00332E6E">
        <w:rPr>
          <w:rFonts w:cstheme="minorHAnsi"/>
          <w:lang w:val="en-GB"/>
        </w:rPr>
        <w:t xml:space="preserve"> K et al. Association of cutaneous adverse drug reactions due to anti-epileptic drugs with HLA alleles in a North Indian population. Seizure 2019;66:99-103. PMID: 30826555) was not included in the risk analysis, because the 2 SJS/TEN and 4 DRESS cases were only analysed separately, resulting in less than 5 cases per case-control comparison.</w:t>
      </w:r>
    </w:p>
    <w:p w14:paraId="733B518A" w14:textId="77777777" w:rsidR="00332E6E" w:rsidRPr="00332E6E" w:rsidRDefault="00332E6E" w:rsidP="00407B0E">
      <w:pPr>
        <w:spacing w:after="0" w:line="240" w:lineRule="auto"/>
        <w:rPr>
          <w:rFonts w:cstheme="minorHAnsi"/>
          <w:lang w:val="en-GB"/>
        </w:rPr>
      </w:pPr>
    </w:p>
    <w:p w14:paraId="015F1B7C" w14:textId="47D956A9" w:rsidR="00694ADF" w:rsidRPr="00EA53E4" w:rsidRDefault="00694ADF" w:rsidP="00407B0E">
      <w:pPr>
        <w:spacing w:after="0" w:line="240" w:lineRule="auto"/>
        <w:rPr>
          <w:rFonts w:cstheme="minorHAnsi"/>
          <w:b/>
          <w:lang w:val="en-US"/>
        </w:rPr>
      </w:pPr>
      <w:r w:rsidRPr="00EA53E4">
        <w:rPr>
          <w:rFonts w:cstheme="minorHAnsi"/>
          <w:b/>
          <w:lang w:val="en-US"/>
        </w:rPr>
        <w:t xml:space="preserve">HLA: </w:t>
      </w:r>
      <w:r w:rsidR="00240C27" w:rsidRPr="00EA53E4">
        <w:rPr>
          <w:rFonts w:cstheme="minorHAnsi"/>
          <w:b/>
          <w:lang w:val="en-US"/>
        </w:rPr>
        <w:t>oxcarbazepine</w:t>
      </w:r>
    </w:p>
    <w:p w14:paraId="7BE0AAC4" w14:textId="77777777" w:rsidR="00D4187F" w:rsidRPr="00EA53E4" w:rsidRDefault="00D4187F" w:rsidP="00407B0E">
      <w:pPr>
        <w:pStyle w:val="Preformatted"/>
        <w:rPr>
          <w:rFonts w:asciiTheme="minorHAnsi" w:hAnsiTheme="minorHAnsi" w:cstheme="minorHAnsi"/>
          <w:sz w:val="22"/>
          <w:szCs w:val="22"/>
          <w:lang w:val="en-GB"/>
        </w:rPr>
      </w:pPr>
      <w:r w:rsidRPr="00EA53E4">
        <w:rPr>
          <w:rFonts w:asciiTheme="minorHAnsi" w:hAnsiTheme="minorHAnsi" w:cstheme="minorHAnsi"/>
          <w:bCs/>
          <w:sz w:val="22"/>
          <w:szCs w:val="22"/>
          <w:lang w:val="en-GB"/>
        </w:rPr>
        <w:t>26-3-2018:</w:t>
      </w:r>
      <w:r w:rsidRPr="00EA53E4">
        <w:rPr>
          <w:rFonts w:asciiTheme="minorHAnsi" w:hAnsiTheme="minorHAnsi" w:cstheme="minorHAnsi"/>
          <w:sz w:val="22"/>
          <w:szCs w:val="22"/>
          <w:lang w:val="en-GB"/>
        </w:rPr>
        <w:t xml:space="preserve"> ("oxcarbazepine" [Supplementary Concept] OR oxcarbazepine) AND ("HLA-B Antigens"[Mesh] OR "HLA-A Antigens"[Mesh] OR "HLA Antigens"[Mesh] OR "HLA-A31 antigen" [Supplementary Concept] OR "HLA-B15 Antigen"[Mesh] OR "HLA-B*15:02 antigen" [Supplementary Concept] OR "HLA-A*31:01 antigen" [Supplementary Concept] OR "HLA-B*1502" OR "HLA-A*3101" OR "HLA-B*1511" OR HLA) AND (English[lang] OR German[lang] OR Dutch[lang])</w:t>
      </w:r>
    </w:p>
    <w:p w14:paraId="0CD13DF6" w14:textId="70710EF3" w:rsidR="00694ADF" w:rsidRDefault="00D4187F" w:rsidP="00407B0E">
      <w:pPr>
        <w:spacing w:after="0" w:line="240" w:lineRule="auto"/>
        <w:rPr>
          <w:rFonts w:eastAsia="Times New Roman" w:cstheme="minorHAnsi"/>
          <w:lang w:val="en-US" w:eastAsia="nl-NL"/>
        </w:rPr>
      </w:pPr>
      <w:r w:rsidRPr="00EA53E4">
        <w:rPr>
          <w:rFonts w:eastAsia="Times New Roman" w:cstheme="minorHAnsi"/>
          <w:lang w:val="en-US" w:eastAsia="nl-NL"/>
        </w:rPr>
        <w:t>18-3-2022: ("Oxcarbazepine"[Mesh] OR oxcarbazepine) AND ("HLA-B Antigens"[Mesh] OR "HLA-A Antigens"[Mesh] OR "HLA Antigens"[Mesh] OR "HLA-A31 antigen" [Supplementary Concept] OR "HLA-B15 Antigen"[Mesh] OR "HLA-B*15:02 antigen" [Supplementary Concept] OR "HLA-A*31:01 antigen" [Supplementary Concept] OR "HLA-B*1502" OR "HLA-A*3101" OR "HLA-B*1511" OR "HLA-B*15:02" OR "HLA-A*31:01" OR "HLA-B*15:11" OR HLA) AND (English[lang] OR German[lang] OR Dutch[lang])</w:t>
      </w:r>
    </w:p>
    <w:p w14:paraId="095FD050" w14:textId="44EEF437" w:rsidR="00D4187F" w:rsidRDefault="00AC2846" w:rsidP="00407B0E">
      <w:pPr>
        <w:spacing w:after="0" w:line="240" w:lineRule="auto"/>
        <w:rPr>
          <w:rFonts w:eastAsia="Times New Roman" w:cstheme="minorHAnsi"/>
          <w:lang w:val="en-US" w:eastAsia="nl-NL"/>
        </w:rPr>
      </w:pPr>
      <w:r w:rsidRPr="00AC2846">
        <w:rPr>
          <w:rFonts w:eastAsia="Times New Roman" w:cstheme="minorHAnsi"/>
          <w:lang w:val="en-US" w:eastAsia="nl-NL"/>
        </w:rPr>
        <w:t>We only included studies with at least 1 case of a severe cutaneous adverse events in the risk analysis. If cases were described in different publications, only the most recent and largest publication was included. Other articles did not contribute enough to the evidence to be included.</w:t>
      </w:r>
    </w:p>
    <w:p w14:paraId="1E1BBEF8" w14:textId="77777777" w:rsidR="00AC2846" w:rsidRPr="00AC2846" w:rsidRDefault="00AC2846" w:rsidP="00407B0E">
      <w:pPr>
        <w:spacing w:after="0" w:line="240" w:lineRule="auto"/>
        <w:rPr>
          <w:rFonts w:cstheme="minorHAnsi"/>
          <w:i/>
          <w:iCs/>
          <w:lang w:val="en-GB"/>
        </w:rPr>
      </w:pPr>
    </w:p>
    <w:p w14:paraId="600A4BE7" w14:textId="300BA9F6" w:rsidR="00694ADF" w:rsidRPr="00EA53E4" w:rsidRDefault="00694ADF" w:rsidP="00407B0E">
      <w:pPr>
        <w:spacing w:after="0" w:line="240" w:lineRule="auto"/>
        <w:rPr>
          <w:rFonts w:cstheme="minorHAnsi"/>
          <w:b/>
          <w:lang w:val="en-US"/>
        </w:rPr>
      </w:pPr>
      <w:r w:rsidRPr="00EA53E4">
        <w:rPr>
          <w:rFonts w:cstheme="minorHAnsi"/>
          <w:b/>
          <w:lang w:val="en-US"/>
        </w:rPr>
        <w:t xml:space="preserve">HLA: </w:t>
      </w:r>
      <w:r w:rsidR="00EA53E4">
        <w:rPr>
          <w:rFonts w:cstheme="minorHAnsi"/>
          <w:b/>
          <w:lang w:val="en-US"/>
        </w:rPr>
        <w:t>phenytoin</w:t>
      </w:r>
    </w:p>
    <w:p w14:paraId="5EB43D79" w14:textId="6F282302" w:rsidR="005F4BFC" w:rsidRPr="00EA53E4" w:rsidRDefault="005F4BFC" w:rsidP="00407B0E">
      <w:pPr>
        <w:pStyle w:val="Preformatted"/>
        <w:rPr>
          <w:rFonts w:asciiTheme="minorHAnsi" w:hAnsiTheme="minorHAnsi" w:cstheme="minorHAnsi"/>
          <w:bCs/>
          <w:sz w:val="22"/>
          <w:szCs w:val="22"/>
          <w:lang w:val="en-GB"/>
        </w:rPr>
      </w:pPr>
      <w:r w:rsidRPr="00EA53E4">
        <w:rPr>
          <w:rFonts w:asciiTheme="minorHAnsi" w:hAnsiTheme="minorHAnsi" w:cstheme="minorHAnsi"/>
          <w:bCs/>
          <w:sz w:val="22"/>
          <w:szCs w:val="22"/>
          <w:lang w:val="en-GB"/>
        </w:rPr>
        <w:t>7-12-2017: ("Phenytoin"[Mesh] OR phenytoin) AND ("HLA-B Antigens"[Mesh] OR "HLA-A Antigens"[Mesh] OR "HLA Antigens"[Mesh] OR "HLA-A31 antigen" [Supplementary Concept] OR "HLA-B15 Antigen"[Mesh] OR "HLA-B*15:02 antigen" [Supplementary Concept] OR "HLA-A*31:01 antigen" [Supplementary Concept] OR "HLA-B*1502" OR "HLA-A*3101" OR "HLA-B*1511" OR HLA) AND (English[lang] OR German[lang] OR Dutch[lang])</w:t>
      </w:r>
    </w:p>
    <w:p w14:paraId="5CAEB4B5" w14:textId="5D9F83F8" w:rsidR="00694ADF" w:rsidRDefault="005F4BFC" w:rsidP="00407B0E">
      <w:pPr>
        <w:spacing w:after="0" w:line="240" w:lineRule="auto"/>
        <w:rPr>
          <w:rFonts w:cstheme="minorHAnsi"/>
          <w:bCs/>
          <w:lang w:val="en-US"/>
        </w:rPr>
      </w:pPr>
      <w:r w:rsidRPr="00EA53E4">
        <w:rPr>
          <w:rFonts w:cstheme="minorHAnsi"/>
          <w:bCs/>
          <w:lang w:val="en-US"/>
        </w:rPr>
        <w:t>8-4-2022: ("Phenytoin"[Mesh] OR phenytoin) AND ("HLA-B Antigens"[Mesh] OR "HLA-A Antigens"[Mesh] OR "HLA Antigens"[Mesh] OR "HLA-A31 antigen" [Supplementary Concept] OR "HLA-B15 Antigen"[Mesh] OR "HLA-B*15:02 antigen" [Supplementary Concept] OR "HLA-A*31:01 antigen" [Supplementary Concept] OR "HLA-B*1502" OR "HLA-A*3101" OR "HLA-B*1511" OR "HLA-B*15:02" OR "HLA-A*31:01" OR "HLA-B*15:11" OR HLA) AND (English[lang] OR German[lang] OR Dutch[lang])</w:t>
      </w:r>
    </w:p>
    <w:p w14:paraId="095A5BA2" w14:textId="77777777" w:rsidR="00AC2846" w:rsidRDefault="00AC2846" w:rsidP="00407B0E">
      <w:pPr>
        <w:spacing w:after="0" w:line="240" w:lineRule="auto"/>
        <w:rPr>
          <w:rFonts w:cstheme="minorHAnsi"/>
          <w:bCs/>
          <w:lang w:val="en-US"/>
        </w:rPr>
      </w:pPr>
    </w:p>
    <w:p w14:paraId="1908B6DD" w14:textId="02430F40" w:rsidR="005F4BFC" w:rsidRDefault="00AC2846" w:rsidP="00407B0E">
      <w:pPr>
        <w:spacing w:after="0" w:line="240" w:lineRule="auto"/>
        <w:rPr>
          <w:rFonts w:cstheme="minorHAnsi"/>
          <w:bCs/>
          <w:lang w:val="en-US"/>
        </w:rPr>
      </w:pPr>
      <w:r w:rsidRPr="00AC2846">
        <w:rPr>
          <w:rFonts w:cstheme="minorHAnsi"/>
          <w:bCs/>
          <w:lang w:val="en-US"/>
        </w:rPr>
        <w:t>We only included studies with at least 10 cases with severe cutaneous adverse events and studies and case reports investigating possible alternatives in the risk analysis. Other articles did not contribute enough to the evidence to be included. There were no studies on genotype-guided therapy.</w:t>
      </w:r>
    </w:p>
    <w:p w14:paraId="61ACBFD2" w14:textId="77777777" w:rsidR="00AC2846" w:rsidRPr="00EA53E4" w:rsidRDefault="00AC2846" w:rsidP="00407B0E">
      <w:pPr>
        <w:spacing w:after="0" w:line="240" w:lineRule="auto"/>
        <w:rPr>
          <w:rFonts w:cstheme="minorHAnsi"/>
          <w:i/>
          <w:iCs/>
          <w:lang w:val="en-US"/>
        </w:rPr>
      </w:pPr>
    </w:p>
    <w:p w14:paraId="1A37C7B6" w14:textId="69AB2120" w:rsidR="00AD42DC" w:rsidRPr="00EA53E4" w:rsidRDefault="00FB5098" w:rsidP="00407B0E">
      <w:pPr>
        <w:spacing w:after="0" w:line="240" w:lineRule="auto"/>
        <w:rPr>
          <w:rFonts w:cstheme="minorHAnsi"/>
          <w:b/>
          <w:lang w:val="en-US"/>
        </w:rPr>
      </w:pPr>
      <w:r w:rsidRPr="00EA53E4">
        <w:rPr>
          <w:rFonts w:cstheme="minorHAnsi"/>
          <w:b/>
          <w:lang w:val="en-US"/>
        </w:rPr>
        <w:t>CYP2</w:t>
      </w:r>
      <w:r w:rsidR="00990776" w:rsidRPr="00EA53E4">
        <w:rPr>
          <w:rFonts w:cstheme="minorHAnsi"/>
          <w:b/>
          <w:lang w:val="en-US"/>
        </w:rPr>
        <w:t>C9</w:t>
      </w:r>
      <w:r w:rsidRPr="00EA53E4">
        <w:rPr>
          <w:rFonts w:cstheme="minorHAnsi"/>
          <w:b/>
          <w:lang w:val="en-US"/>
        </w:rPr>
        <w:t xml:space="preserve">: </w:t>
      </w:r>
      <w:r w:rsidR="00EA53E4">
        <w:rPr>
          <w:rFonts w:cstheme="minorHAnsi"/>
          <w:b/>
          <w:lang w:val="en-US"/>
        </w:rPr>
        <w:t>phenytoin</w:t>
      </w:r>
    </w:p>
    <w:p w14:paraId="46D0E0DF" w14:textId="10013CDB" w:rsidR="00053D90" w:rsidRPr="00EA53E4" w:rsidRDefault="00053D90" w:rsidP="00407B0E">
      <w:pPr>
        <w:spacing w:after="0" w:line="240" w:lineRule="auto"/>
        <w:rPr>
          <w:rFonts w:cstheme="minorHAnsi"/>
          <w:lang w:val="en-US"/>
        </w:rPr>
      </w:pPr>
      <w:r w:rsidRPr="00EA53E4">
        <w:rPr>
          <w:rFonts w:cstheme="minorHAnsi"/>
          <w:lang w:val="en-US"/>
        </w:rPr>
        <w:t>2</w:t>
      </w:r>
      <w:r w:rsidR="001953AF" w:rsidRPr="00EA53E4">
        <w:rPr>
          <w:rFonts w:cstheme="minorHAnsi"/>
          <w:lang w:val="en-US"/>
        </w:rPr>
        <w:t>6</w:t>
      </w:r>
      <w:r w:rsidRPr="00EA53E4">
        <w:rPr>
          <w:rFonts w:cstheme="minorHAnsi"/>
          <w:lang w:val="en-US"/>
        </w:rPr>
        <w:t xml:space="preserve">-9-2006: </w:t>
      </w:r>
      <w:r w:rsidR="001953AF" w:rsidRPr="00EA53E4">
        <w:rPr>
          <w:rFonts w:cstheme="minorHAnsi"/>
          <w:lang w:val="en-US"/>
        </w:rPr>
        <w:t xml:space="preserve">phenytoin </w:t>
      </w:r>
      <w:r w:rsidRPr="00EA53E4">
        <w:rPr>
          <w:rFonts w:cstheme="minorHAnsi"/>
          <w:lang w:val="en-US"/>
        </w:rPr>
        <w:t>AND CYP2C9</w:t>
      </w:r>
      <w:r w:rsidR="00904DD9" w:rsidRPr="00EA53E4">
        <w:rPr>
          <w:rFonts w:cstheme="minorHAnsi"/>
          <w:lang w:val="en-US"/>
        </w:rPr>
        <w:t xml:space="preserve"> </w:t>
      </w:r>
    </w:p>
    <w:p w14:paraId="2A12832C" w14:textId="0B385724" w:rsidR="00CC2604" w:rsidRPr="00EA53E4" w:rsidRDefault="00CC2604" w:rsidP="00407B0E">
      <w:pPr>
        <w:pStyle w:val="Preformatted"/>
        <w:rPr>
          <w:rFonts w:asciiTheme="minorHAnsi" w:hAnsiTheme="minorHAnsi" w:cstheme="minorHAnsi"/>
          <w:bCs/>
          <w:sz w:val="22"/>
          <w:szCs w:val="22"/>
          <w:lang w:val="en-GB"/>
        </w:rPr>
      </w:pPr>
      <w:r w:rsidRPr="00EA53E4">
        <w:rPr>
          <w:rFonts w:asciiTheme="minorHAnsi" w:hAnsiTheme="minorHAnsi" w:cstheme="minorHAnsi"/>
          <w:bCs/>
          <w:sz w:val="22"/>
          <w:szCs w:val="22"/>
          <w:lang w:val="en-GB"/>
        </w:rPr>
        <w:t>12-08-2009: ("Phenytoin"[Mesh] OR phenytoin[Text Word]) AND (CYP2C9 OR IIC9 OR "cytochrome p-450 enzyme system"[</w:t>
      </w:r>
      <w:proofErr w:type="spellStart"/>
      <w:r w:rsidRPr="00EA53E4">
        <w:rPr>
          <w:rFonts w:asciiTheme="minorHAnsi" w:hAnsiTheme="minorHAnsi" w:cstheme="minorHAnsi"/>
          <w:bCs/>
          <w:sz w:val="22"/>
          <w:szCs w:val="22"/>
          <w:lang w:val="en-GB"/>
        </w:rPr>
        <w:t>MeSH</w:t>
      </w:r>
      <w:proofErr w:type="spellEnd"/>
      <w:r w:rsidRPr="00EA53E4">
        <w:rPr>
          <w:rFonts w:asciiTheme="minorHAnsi" w:hAnsiTheme="minorHAnsi" w:cstheme="minorHAnsi"/>
          <w:bCs/>
          <w:sz w:val="22"/>
          <w:szCs w:val="22"/>
          <w:lang w:val="en-GB"/>
        </w:rPr>
        <w:t xml:space="preserve"> Terms] OR metabolizer OR metaboliser OR polymorph* OR "Polymorphism, Genetic"[</w:t>
      </w:r>
      <w:proofErr w:type="spellStart"/>
      <w:r w:rsidRPr="00EA53E4">
        <w:rPr>
          <w:rFonts w:asciiTheme="minorHAnsi" w:hAnsiTheme="minorHAnsi" w:cstheme="minorHAnsi"/>
          <w:bCs/>
          <w:sz w:val="22"/>
          <w:szCs w:val="22"/>
          <w:lang w:val="en-GB"/>
        </w:rPr>
        <w:t>MeSH</w:t>
      </w:r>
      <w:proofErr w:type="spellEnd"/>
      <w:r w:rsidRPr="00EA53E4">
        <w:rPr>
          <w:rFonts w:asciiTheme="minorHAnsi" w:hAnsiTheme="minorHAnsi" w:cstheme="minorHAnsi"/>
          <w:bCs/>
          <w:sz w:val="22"/>
          <w:szCs w:val="22"/>
          <w:lang w:val="en-GB"/>
        </w:rPr>
        <w:t>] OR "Pharmacogenetics"[</w:t>
      </w:r>
      <w:proofErr w:type="spellStart"/>
      <w:r w:rsidRPr="00EA53E4">
        <w:rPr>
          <w:rFonts w:asciiTheme="minorHAnsi" w:hAnsiTheme="minorHAnsi" w:cstheme="minorHAnsi"/>
          <w:bCs/>
          <w:sz w:val="22"/>
          <w:szCs w:val="22"/>
          <w:lang w:val="en-GB"/>
        </w:rPr>
        <w:t>MeSH</w:t>
      </w:r>
      <w:proofErr w:type="spellEnd"/>
      <w:r w:rsidRPr="00EA53E4">
        <w:rPr>
          <w:rFonts w:asciiTheme="minorHAnsi" w:hAnsiTheme="minorHAnsi" w:cstheme="minorHAnsi"/>
          <w:bCs/>
          <w:sz w:val="22"/>
          <w:szCs w:val="22"/>
          <w:lang w:val="en-GB"/>
        </w:rPr>
        <w:t xml:space="preserve">]) AND (English[lang] OR German[lang] OR Dutch[lang]) AND ("humans"[Mesh Terms]) </w:t>
      </w:r>
    </w:p>
    <w:p w14:paraId="4F22A1C1" w14:textId="715B3F29" w:rsidR="00CC2604" w:rsidRPr="00EA53E4" w:rsidRDefault="00CC2604" w:rsidP="00407B0E">
      <w:pPr>
        <w:pStyle w:val="Preformatted"/>
        <w:rPr>
          <w:rFonts w:asciiTheme="minorHAnsi" w:hAnsiTheme="minorHAnsi" w:cstheme="minorHAnsi"/>
          <w:bCs/>
          <w:sz w:val="22"/>
          <w:szCs w:val="22"/>
          <w:lang w:val="en-GB"/>
        </w:rPr>
      </w:pPr>
      <w:r w:rsidRPr="00EA53E4">
        <w:rPr>
          <w:rFonts w:asciiTheme="minorHAnsi" w:hAnsiTheme="minorHAnsi" w:cstheme="minorHAnsi"/>
          <w:bCs/>
          <w:sz w:val="22"/>
          <w:szCs w:val="22"/>
          <w:lang w:val="en-GB"/>
        </w:rPr>
        <w:t xml:space="preserve">20-07-2016: ("Phenytoin"[Mesh] OR phenytoin) AND (CYP2C9 OR IIC9 OR 2C9 OR "Cytochrome P-450 CYP2C9"[Mesh]) AND (English[lang] OR German[lang] OR Dutch[lang]) AND ("humans"[Mesh Terms]) </w:t>
      </w:r>
    </w:p>
    <w:p w14:paraId="7E9FCE9A" w14:textId="0CB1F3E6" w:rsidR="00F50951" w:rsidRDefault="00CC2604" w:rsidP="00407B0E">
      <w:pPr>
        <w:pStyle w:val="Preformatted"/>
        <w:widowControl w:val="0"/>
        <w:rPr>
          <w:rFonts w:asciiTheme="minorHAnsi" w:hAnsiTheme="minorHAnsi" w:cstheme="minorHAnsi"/>
          <w:bCs/>
          <w:sz w:val="22"/>
          <w:szCs w:val="22"/>
          <w:lang w:val="en-GB"/>
        </w:rPr>
      </w:pPr>
      <w:r w:rsidRPr="00EA53E4">
        <w:rPr>
          <w:rFonts w:asciiTheme="minorHAnsi" w:hAnsiTheme="minorHAnsi" w:cstheme="minorHAnsi"/>
          <w:bCs/>
          <w:sz w:val="22"/>
          <w:szCs w:val="22"/>
          <w:lang w:val="en-GB"/>
        </w:rPr>
        <w:t>23-4-2022: ("Phenytoin"[Mesh] OR phenytoin) AND (CYP2C9 OR IIC9 OR 2C9 OR "Cytochrome P-450 CYP2C9"[Mesh]) AND (English[lang] OR German[lang] OR Dutch[lang])</w:t>
      </w:r>
    </w:p>
    <w:p w14:paraId="21E6843D" w14:textId="728BAA87" w:rsidR="00554DE5" w:rsidRDefault="00554DE5" w:rsidP="00407B0E">
      <w:pPr>
        <w:pStyle w:val="Preformatted"/>
        <w:widowControl w:val="0"/>
        <w:rPr>
          <w:rFonts w:asciiTheme="minorHAnsi" w:hAnsiTheme="minorHAnsi" w:cstheme="minorHAnsi"/>
          <w:bCs/>
          <w:sz w:val="22"/>
          <w:szCs w:val="22"/>
          <w:lang w:val="en-US"/>
        </w:rPr>
      </w:pPr>
    </w:p>
    <w:p w14:paraId="7319FF31" w14:textId="4E0181DB" w:rsidR="00AC2846" w:rsidRPr="00AC2846" w:rsidRDefault="00AC2846" w:rsidP="00407B0E">
      <w:pPr>
        <w:pStyle w:val="Preformatted"/>
        <w:widowControl w:val="0"/>
        <w:rPr>
          <w:rFonts w:asciiTheme="minorHAnsi" w:hAnsiTheme="minorHAnsi" w:cstheme="minorHAnsi"/>
          <w:bCs/>
          <w:sz w:val="22"/>
          <w:szCs w:val="22"/>
          <w:lang w:val="en-GB"/>
        </w:rPr>
      </w:pPr>
      <w:r w:rsidRPr="00AC2846">
        <w:rPr>
          <w:rFonts w:asciiTheme="minorHAnsi" w:hAnsiTheme="minorHAnsi" w:cstheme="minorHAnsi"/>
          <w:bCs/>
          <w:sz w:val="22"/>
          <w:szCs w:val="22"/>
          <w:lang w:val="en-GB"/>
        </w:rPr>
        <w:lastRenderedPageBreak/>
        <w:t xml:space="preserve">The only clinical studies included from 2009 are those that included more than 100 patients. Studies investigating cutaneous adverse events were only included if data were (also) provided for severe cutaneous adverse events. Cutaneous adverse events cannot be prevented by dose reduction and the reversibility of mild cutaneous adverse events and low predictive value of CYP2C9 variants for cutaneous adverse events do not warrant avoiding phenytoin in patients with an increased risk. As a result, a therapeutic recommendation is not possible based on data on mild cutaneous adverse events. Kinetic studies were only included if the (dose-corrected) AUC, plasma concentration or clearance was determined per genotype and there were at least three *1/*2 or *1/*3 or at least one *2/*2, *2/*3 or *3/*3. Other articles do not contribute sufficiently to the burden of proof.  </w:t>
      </w:r>
    </w:p>
    <w:sectPr w:rsidR="00AC2846" w:rsidRPr="00AC28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35"/>
    <w:rsid w:val="00002FE5"/>
    <w:rsid w:val="00025C2B"/>
    <w:rsid w:val="00030605"/>
    <w:rsid w:val="0004186F"/>
    <w:rsid w:val="00053D90"/>
    <w:rsid w:val="0006015E"/>
    <w:rsid w:val="00063B2B"/>
    <w:rsid w:val="0007778B"/>
    <w:rsid w:val="00090916"/>
    <w:rsid w:val="000A44F6"/>
    <w:rsid w:val="000F0635"/>
    <w:rsid w:val="000F14C6"/>
    <w:rsid w:val="000F2A2E"/>
    <w:rsid w:val="000F32BE"/>
    <w:rsid w:val="000F53A7"/>
    <w:rsid w:val="00123002"/>
    <w:rsid w:val="001278FE"/>
    <w:rsid w:val="001538A3"/>
    <w:rsid w:val="00177435"/>
    <w:rsid w:val="001913EE"/>
    <w:rsid w:val="001953AF"/>
    <w:rsid w:val="001C2F5C"/>
    <w:rsid w:val="001D6030"/>
    <w:rsid w:val="001E29B9"/>
    <w:rsid w:val="001E4A03"/>
    <w:rsid w:val="0020416A"/>
    <w:rsid w:val="00225BB9"/>
    <w:rsid w:val="00226ECF"/>
    <w:rsid w:val="00234928"/>
    <w:rsid w:val="00240C27"/>
    <w:rsid w:val="002424CA"/>
    <w:rsid w:val="00274379"/>
    <w:rsid w:val="0029208A"/>
    <w:rsid w:val="002A2073"/>
    <w:rsid w:val="002B0F0A"/>
    <w:rsid w:val="002B3E92"/>
    <w:rsid w:val="002C3F0F"/>
    <w:rsid w:val="002C7DEF"/>
    <w:rsid w:val="002D66CD"/>
    <w:rsid w:val="002D796D"/>
    <w:rsid w:val="002E0199"/>
    <w:rsid w:val="002E3EC4"/>
    <w:rsid w:val="002E56B4"/>
    <w:rsid w:val="002F0784"/>
    <w:rsid w:val="002F2C30"/>
    <w:rsid w:val="003273EB"/>
    <w:rsid w:val="003310FA"/>
    <w:rsid w:val="00332E6E"/>
    <w:rsid w:val="003551C6"/>
    <w:rsid w:val="00365631"/>
    <w:rsid w:val="00367AD9"/>
    <w:rsid w:val="0037355B"/>
    <w:rsid w:val="003A44FD"/>
    <w:rsid w:val="003B3B72"/>
    <w:rsid w:val="003C6FC2"/>
    <w:rsid w:val="003D286D"/>
    <w:rsid w:val="003D4A53"/>
    <w:rsid w:val="00407B0E"/>
    <w:rsid w:val="0045537B"/>
    <w:rsid w:val="004F1FCB"/>
    <w:rsid w:val="00510298"/>
    <w:rsid w:val="00552E91"/>
    <w:rsid w:val="00554DE5"/>
    <w:rsid w:val="005706E9"/>
    <w:rsid w:val="005A43EA"/>
    <w:rsid w:val="005D6C39"/>
    <w:rsid w:val="005E3449"/>
    <w:rsid w:val="005F4BFC"/>
    <w:rsid w:val="006261A9"/>
    <w:rsid w:val="006667C0"/>
    <w:rsid w:val="00687FCD"/>
    <w:rsid w:val="00694ADF"/>
    <w:rsid w:val="00696007"/>
    <w:rsid w:val="006B7B96"/>
    <w:rsid w:val="006C39A8"/>
    <w:rsid w:val="006F527F"/>
    <w:rsid w:val="006F5CDB"/>
    <w:rsid w:val="006F68D0"/>
    <w:rsid w:val="007151A1"/>
    <w:rsid w:val="00717F2C"/>
    <w:rsid w:val="00746474"/>
    <w:rsid w:val="00746D61"/>
    <w:rsid w:val="007B1D92"/>
    <w:rsid w:val="007B4EE3"/>
    <w:rsid w:val="007B69FB"/>
    <w:rsid w:val="007E23FE"/>
    <w:rsid w:val="007E4B74"/>
    <w:rsid w:val="0084467B"/>
    <w:rsid w:val="00852C55"/>
    <w:rsid w:val="008657AC"/>
    <w:rsid w:val="00893EC1"/>
    <w:rsid w:val="008B3447"/>
    <w:rsid w:val="008C397A"/>
    <w:rsid w:val="008D5F05"/>
    <w:rsid w:val="008E34B0"/>
    <w:rsid w:val="008E4529"/>
    <w:rsid w:val="008F5529"/>
    <w:rsid w:val="00900953"/>
    <w:rsid w:val="00900B1A"/>
    <w:rsid w:val="00903FE3"/>
    <w:rsid w:val="00904DD9"/>
    <w:rsid w:val="009151D4"/>
    <w:rsid w:val="0092288E"/>
    <w:rsid w:val="009468F6"/>
    <w:rsid w:val="00984141"/>
    <w:rsid w:val="00985D63"/>
    <w:rsid w:val="00990776"/>
    <w:rsid w:val="009A0C98"/>
    <w:rsid w:val="009A1BB4"/>
    <w:rsid w:val="009C0E2C"/>
    <w:rsid w:val="00A16A47"/>
    <w:rsid w:val="00A21E83"/>
    <w:rsid w:val="00A51AD8"/>
    <w:rsid w:val="00A70D34"/>
    <w:rsid w:val="00A860EF"/>
    <w:rsid w:val="00AC2846"/>
    <w:rsid w:val="00AD0A18"/>
    <w:rsid w:val="00AD42DC"/>
    <w:rsid w:val="00AF0EE1"/>
    <w:rsid w:val="00B1024F"/>
    <w:rsid w:val="00B3623D"/>
    <w:rsid w:val="00B47E4B"/>
    <w:rsid w:val="00B5740D"/>
    <w:rsid w:val="00B75EEC"/>
    <w:rsid w:val="00BA6704"/>
    <w:rsid w:val="00BC424D"/>
    <w:rsid w:val="00BD2856"/>
    <w:rsid w:val="00BE3B44"/>
    <w:rsid w:val="00C04548"/>
    <w:rsid w:val="00C13714"/>
    <w:rsid w:val="00C14D9E"/>
    <w:rsid w:val="00C37AA7"/>
    <w:rsid w:val="00C41D1F"/>
    <w:rsid w:val="00C5235F"/>
    <w:rsid w:val="00C627E6"/>
    <w:rsid w:val="00C8307D"/>
    <w:rsid w:val="00C90C82"/>
    <w:rsid w:val="00CA06B3"/>
    <w:rsid w:val="00CB7A50"/>
    <w:rsid w:val="00CC2604"/>
    <w:rsid w:val="00CD75E1"/>
    <w:rsid w:val="00D2473E"/>
    <w:rsid w:val="00D4156D"/>
    <w:rsid w:val="00D4187F"/>
    <w:rsid w:val="00D476C4"/>
    <w:rsid w:val="00D56776"/>
    <w:rsid w:val="00DA2835"/>
    <w:rsid w:val="00DB1013"/>
    <w:rsid w:val="00DB42A0"/>
    <w:rsid w:val="00DC5B94"/>
    <w:rsid w:val="00E2035D"/>
    <w:rsid w:val="00E26AE3"/>
    <w:rsid w:val="00E56EA4"/>
    <w:rsid w:val="00E626DC"/>
    <w:rsid w:val="00E66C08"/>
    <w:rsid w:val="00E7135C"/>
    <w:rsid w:val="00EA53E4"/>
    <w:rsid w:val="00EB4998"/>
    <w:rsid w:val="00ED414D"/>
    <w:rsid w:val="00ED5552"/>
    <w:rsid w:val="00EF13EF"/>
    <w:rsid w:val="00F05B00"/>
    <w:rsid w:val="00F36E16"/>
    <w:rsid w:val="00F50951"/>
    <w:rsid w:val="00F552E1"/>
    <w:rsid w:val="00F87E90"/>
    <w:rsid w:val="00FA79EC"/>
    <w:rsid w:val="00FB5098"/>
    <w:rsid w:val="00FC29B3"/>
    <w:rsid w:val="00FC4F14"/>
    <w:rsid w:val="00FD2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9892A"/>
  <w15:chartTrackingRefBased/>
  <w15:docId w15:val="{10683B43-4DB1-4800-857B-F390CEFB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53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A53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C29B3"/>
    <w:rPr>
      <w:sz w:val="16"/>
      <w:szCs w:val="16"/>
    </w:rPr>
  </w:style>
  <w:style w:type="paragraph" w:styleId="Tekstopmerking">
    <w:name w:val="annotation text"/>
    <w:basedOn w:val="Standaard"/>
    <w:link w:val="TekstopmerkingChar"/>
    <w:uiPriority w:val="99"/>
    <w:unhideWhenUsed/>
    <w:rsid w:val="00FC29B3"/>
    <w:pPr>
      <w:spacing w:line="240" w:lineRule="auto"/>
    </w:pPr>
    <w:rPr>
      <w:sz w:val="20"/>
      <w:szCs w:val="20"/>
    </w:rPr>
  </w:style>
  <w:style w:type="character" w:customStyle="1" w:styleId="TekstopmerkingChar">
    <w:name w:val="Tekst opmerking Char"/>
    <w:basedOn w:val="Standaardalinea-lettertype"/>
    <w:link w:val="Tekstopmerking"/>
    <w:uiPriority w:val="99"/>
    <w:rsid w:val="00FC29B3"/>
    <w:rPr>
      <w:sz w:val="20"/>
      <w:szCs w:val="20"/>
    </w:rPr>
  </w:style>
  <w:style w:type="paragraph" w:styleId="Onderwerpvanopmerking">
    <w:name w:val="annotation subject"/>
    <w:basedOn w:val="Tekstopmerking"/>
    <w:next w:val="Tekstopmerking"/>
    <w:link w:val="OnderwerpvanopmerkingChar"/>
    <w:uiPriority w:val="99"/>
    <w:semiHidden/>
    <w:unhideWhenUsed/>
    <w:rsid w:val="00FC29B3"/>
    <w:rPr>
      <w:b/>
      <w:bCs/>
    </w:rPr>
  </w:style>
  <w:style w:type="character" w:customStyle="1" w:styleId="OnderwerpvanopmerkingChar">
    <w:name w:val="Onderwerp van opmerking Char"/>
    <w:basedOn w:val="TekstopmerkingChar"/>
    <w:link w:val="Onderwerpvanopmerking"/>
    <w:uiPriority w:val="99"/>
    <w:semiHidden/>
    <w:rsid w:val="00FC29B3"/>
    <w:rPr>
      <w:b/>
      <w:bCs/>
      <w:sz w:val="20"/>
      <w:szCs w:val="20"/>
    </w:rPr>
  </w:style>
  <w:style w:type="paragraph" w:styleId="Ballontekst">
    <w:name w:val="Balloon Text"/>
    <w:basedOn w:val="Standaard"/>
    <w:link w:val="BallontekstChar"/>
    <w:uiPriority w:val="99"/>
    <w:semiHidden/>
    <w:unhideWhenUsed/>
    <w:rsid w:val="00FC29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29B3"/>
    <w:rPr>
      <w:rFonts w:ascii="Segoe UI" w:hAnsi="Segoe UI" w:cs="Segoe UI"/>
      <w:sz w:val="18"/>
      <w:szCs w:val="18"/>
    </w:rPr>
  </w:style>
  <w:style w:type="paragraph" w:customStyle="1" w:styleId="Preformatted">
    <w:name w:val="Preformatted"/>
    <w:basedOn w:val="Standaard"/>
    <w:rsid w:val="00694AD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nl-NL"/>
    </w:rPr>
  </w:style>
  <w:style w:type="character" w:customStyle="1" w:styleId="Kop1Char">
    <w:name w:val="Kop 1 Char"/>
    <w:basedOn w:val="Standaardalinea-lettertype"/>
    <w:link w:val="Kop1"/>
    <w:uiPriority w:val="9"/>
    <w:rsid w:val="00EA53E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EA53E4"/>
    <w:rPr>
      <w:rFonts w:asciiTheme="majorHAnsi" w:eastAsiaTheme="majorEastAsia" w:hAnsiTheme="majorHAnsi" w:cstheme="majorBidi"/>
      <w:color w:val="2E74B5" w:themeColor="accent1" w:themeShade="BF"/>
      <w:sz w:val="26"/>
      <w:szCs w:val="26"/>
    </w:rPr>
  </w:style>
  <w:style w:type="paragraph" w:styleId="Revisie">
    <w:name w:val="Revision"/>
    <w:hidden/>
    <w:uiPriority w:val="99"/>
    <w:semiHidden/>
    <w:rsid w:val="00BD2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9223">
      <w:bodyDiv w:val="1"/>
      <w:marLeft w:val="0"/>
      <w:marRight w:val="0"/>
      <w:marTop w:val="0"/>
      <w:marBottom w:val="0"/>
      <w:divBdr>
        <w:top w:val="none" w:sz="0" w:space="0" w:color="auto"/>
        <w:left w:val="none" w:sz="0" w:space="0" w:color="auto"/>
        <w:bottom w:val="none" w:sz="0" w:space="0" w:color="auto"/>
        <w:right w:val="none" w:sz="0" w:space="0" w:color="auto"/>
      </w:divBdr>
    </w:div>
    <w:div w:id="12847747">
      <w:bodyDiv w:val="1"/>
      <w:marLeft w:val="0"/>
      <w:marRight w:val="0"/>
      <w:marTop w:val="0"/>
      <w:marBottom w:val="0"/>
      <w:divBdr>
        <w:top w:val="none" w:sz="0" w:space="0" w:color="auto"/>
        <w:left w:val="none" w:sz="0" w:space="0" w:color="auto"/>
        <w:bottom w:val="none" w:sz="0" w:space="0" w:color="auto"/>
        <w:right w:val="none" w:sz="0" w:space="0" w:color="auto"/>
      </w:divBdr>
    </w:div>
    <w:div w:id="69354023">
      <w:bodyDiv w:val="1"/>
      <w:marLeft w:val="0"/>
      <w:marRight w:val="0"/>
      <w:marTop w:val="0"/>
      <w:marBottom w:val="0"/>
      <w:divBdr>
        <w:top w:val="none" w:sz="0" w:space="0" w:color="auto"/>
        <w:left w:val="none" w:sz="0" w:space="0" w:color="auto"/>
        <w:bottom w:val="none" w:sz="0" w:space="0" w:color="auto"/>
        <w:right w:val="none" w:sz="0" w:space="0" w:color="auto"/>
      </w:divBdr>
    </w:div>
    <w:div w:id="238831114">
      <w:bodyDiv w:val="1"/>
      <w:marLeft w:val="0"/>
      <w:marRight w:val="0"/>
      <w:marTop w:val="0"/>
      <w:marBottom w:val="0"/>
      <w:divBdr>
        <w:top w:val="none" w:sz="0" w:space="0" w:color="auto"/>
        <w:left w:val="none" w:sz="0" w:space="0" w:color="auto"/>
        <w:bottom w:val="none" w:sz="0" w:space="0" w:color="auto"/>
        <w:right w:val="none" w:sz="0" w:space="0" w:color="auto"/>
      </w:divBdr>
    </w:div>
    <w:div w:id="247664552">
      <w:bodyDiv w:val="1"/>
      <w:marLeft w:val="0"/>
      <w:marRight w:val="0"/>
      <w:marTop w:val="0"/>
      <w:marBottom w:val="0"/>
      <w:divBdr>
        <w:top w:val="none" w:sz="0" w:space="0" w:color="auto"/>
        <w:left w:val="none" w:sz="0" w:space="0" w:color="auto"/>
        <w:bottom w:val="none" w:sz="0" w:space="0" w:color="auto"/>
        <w:right w:val="none" w:sz="0" w:space="0" w:color="auto"/>
      </w:divBdr>
    </w:div>
    <w:div w:id="278685682">
      <w:bodyDiv w:val="1"/>
      <w:marLeft w:val="0"/>
      <w:marRight w:val="0"/>
      <w:marTop w:val="0"/>
      <w:marBottom w:val="0"/>
      <w:divBdr>
        <w:top w:val="none" w:sz="0" w:space="0" w:color="auto"/>
        <w:left w:val="none" w:sz="0" w:space="0" w:color="auto"/>
        <w:bottom w:val="none" w:sz="0" w:space="0" w:color="auto"/>
        <w:right w:val="none" w:sz="0" w:space="0" w:color="auto"/>
      </w:divBdr>
    </w:div>
    <w:div w:id="314648966">
      <w:bodyDiv w:val="1"/>
      <w:marLeft w:val="0"/>
      <w:marRight w:val="0"/>
      <w:marTop w:val="0"/>
      <w:marBottom w:val="0"/>
      <w:divBdr>
        <w:top w:val="none" w:sz="0" w:space="0" w:color="auto"/>
        <w:left w:val="none" w:sz="0" w:space="0" w:color="auto"/>
        <w:bottom w:val="none" w:sz="0" w:space="0" w:color="auto"/>
        <w:right w:val="none" w:sz="0" w:space="0" w:color="auto"/>
      </w:divBdr>
    </w:div>
    <w:div w:id="319047266">
      <w:bodyDiv w:val="1"/>
      <w:marLeft w:val="0"/>
      <w:marRight w:val="0"/>
      <w:marTop w:val="0"/>
      <w:marBottom w:val="0"/>
      <w:divBdr>
        <w:top w:val="none" w:sz="0" w:space="0" w:color="auto"/>
        <w:left w:val="none" w:sz="0" w:space="0" w:color="auto"/>
        <w:bottom w:val="none" w:sz="0" w:space="0" w:color="auto"/>
        <w:right w:val="none" w:sz="0" w:space="0" w:color="auto"/>
      </w:divBdr>
    </w:div>
    <w:div w:id="526261074">
      <w:bodyDiv w:val="1"/>
      <w:marLeft w:val="0"/>
      <w:marRight w:val="0"/>
      <w:marTop w:val="0"/>
      <w:marBottom w:val="0"/>
      <w:divBdr>
        <w:top w:val="none" w:sz="0" w:space="0" w:color="auto"/>
        <w:left w:val="none" w:sz="0" w:space="0" w:color="auto"/>
        <w:bottom w:val="none" w:sz="0" w:space="0" w:color="auto"/>
        <w:right w:val="none" w:sz="0" w:space="0" w:color="auto"/>
      </w:divBdr>
    </w:div>
    <w:div w:id="630943633">
      <w:bodyDiv w:val="1"/>
      <w:marLeft w:val="0"/>
      <w:marRight w:val="0"/>
      <w:marTop w:val="0"/>
      <w:marBottom w:val="0"/>
      <w:divBdr>
        <w:top w:val="none" w:sz="0" w:space="0" w:color="auto"/>
        <w:left w:val="none" w:sz="0" w:space="0" w:color="auto"/>
        <w:bottom w:val="none" w:sz="0" w:space="0" w:color="auto"/>
        <w:right w:val="none" w:sz="0" w:space="0" w:color="auto"/>
      </w:divBdr>
    </w:div>
    <w:div w:id="752747081">
      <w:bodyDiv w:val="1"/>
      <w:marLeft w:val="0"/>
      <w:marRight w:val="0"/>
      <w:marTop w:val="0"/>
      <w:marBottom w:val="0"/>
      <w:divBdr>
        <w:top w:val="none" w:sz="0" w:space="0" w:color="auto"/>
        <w:left w:val="none" w:sz="0" w:space="0" w:color="auto"/>
        <w:bottom w:val="none" w:sz="0" w:space="0" w:color="auto"/>
        <w:right w:val="none" w:sz="0" w:space="0" w:color="auto"/>
      </w:divBdr>
    </w:div>
    <w:div w:id="754597960">
      <w:bodyDiv w:val="1"/>
      <w:marLeft w:val="0"/>
      <w:marRight w:val="0"/>
      <w:marTop w:val="0"/>
      <w:marBottom w:val="0"/>
      <w:divBdr>
        <w:top w:val="none" w:sz="0" w:space="0" w:color="auto"/>
        <w:left w:val="none" w:sz="0" w:space="0" w:color="auto"/>
        <w:bottom w:val="none" w:sz="0" w:space="0" w:color="auto"/>
        <w:right w:val="none" w:sz="0" w:space="0" w:color="auto"/>
      </w:divBdr>
    </w:div>
    <w:div w:id="765811024">
      <w:bodyDiv w:val="1"/>
      <w:marLeft w:val="0"/>
      <w:marRight w:val="0"/>
      <w:marTop w:val="0"/>
      <w:marBottom w:val="0"/>
      <w:divBdr>
        <w:top w:val="none" w:sz="0" w:space="0" w:color="auto"/>
        <w:left w:val="none" w:sz="0" w:space="0" w:color="auto"/>
        <w:bottom w:val="none" w:sz="0" w:space="0" w:color="auto"/>
        <w:right w:val="none" w:sz="0" w:space="0" w:color="auto"/>
      </w:divBdr>
    </w:div>
    <w:div w:id="789008648">
      <w:bodyDiv w:val="1"/>
      <w:marLeft w:val="0"/>
      <w:marRight w:val="0"/>
      <w:marTop w:val="0"/>
      <w:marBottom w:val="0"/>
      <w:divBdr>
        <w:top w:val="none" w:sz="0" w:space="0" w:color="auto"/>
        <w:left w:val="none" w:sz="0" w:space="0" w:color="auto"/>
        <w:bottom w:val="none" w:sz="0" w:space="0" w:color="auto"/>
        <w:right w:val="none" w:sz="0" w:space="0" w:color="auto"/>
      </w:divBdr>
    </w:div>
    <w:div w:id="806976992">
      <w:bodyDiv w:val="1"/>
      <w:marLeft w:val="0"/>
      <w:marRight w:val="0"/>
      <w:marTop w:val="0"/>
      <w:marBottom w:val="0"/>
      <w:divBdr>
        <w:top w:val="none" w:sz="0" w:space="0" w:color="auto"/>
        <w:left w:val="none" w:sz="0" w:space="0" w:color="auto"/>
        <w:bottom w:val="none" w:sz="0" w:space="0" w:color="auto"/>
        <w:right w:val="none" w:sz="0" w:space="0" w:color="auto"/>
      </w:divBdr>
    </w:div>
    <w:div w:id="876506729">
      <w:bodyDiv w:val="1"/>
      <w:marLeft w:val="0"/>
      <w:marRight w:val="0"/>
      <w:marTop w:val="0"/>
      <w:marBottom w:val="0"/>
      <w:divBdr>
        <w:top w:val="none" w:sz="0" w:space="0" w:color="auto"/>
        <w:left w:val="none" w:sz="0" w:space="0" w:color="auto"/>
        <w:bottom w:val="none" w:sz="0" w:space="0" w:color="auto"/>
        <w:right w:val="none" w:sz="0" w:space="0" w:color="auto"/>
      </w:divBdr>
    </w:div>
    <w:div w:id="911550024">
      <w:bodyDiv w:val="1"/>
      <w:marLeft w:val="0"/>
      <w:marRight w:val="0"/>
      <w:marTop w:val="0"/>
      <w:marBottom w:val="0"/>
      <w:divBdr>
        <w:top w:val="none" w:sz="0" w:space="0" w:color="auto"/>
        <w:left w:val="none" w:sz="0" w:space="0" w:color="auto"/>
        <w:bottom w:val="none" w:sz="0" w:space="0" w:color="auto"/>
        <w:right w:val="none" w:sz="0" w:space="0" w:color="auto"/>
      </w:divBdr>
    </w:div>
    <w:div w:id="1078095670">
      <w:bodyDiv w:val="1"/>
      <w:marLeft w:val="0"/>
      <w:marRight w:val="0"/>
      <w:marTop w:val="0"/>
      <w:marBottom w:val="0"/>
      <w:divBdr>
        <w:top w:val="none" w:sz="0" w:space="0" w:color="auto"/>
        <w:left w:val="none" w:sz="0" w:space="0" w:color="auto"/>
        <w:bottom w:val="none" w:sz="0" w:space="0" w:color="auto"/>
        <w:right w:val="none" w:sz="0" w:space="0" w:color="auto"/>
      </w:divBdr>
    </w:div>
    <w:div w:id="1082414628">
      <w:bodyDiv w:val="1"/>
      <w:marLeft w:val="0"/>
      <w:marRight w:val="0"/>
      <w:marTop w:val="0"/>
      <w:marBottom w:val="0"/>
      <w:divBdr>
        <w:top w:val="none" w:sz="0" w:space="0" w:color="auto"/>
        <w:left w:val="none" w:sz="0" w:space="0" w:color="auto"/>
        <w:bottom w:val="none" w:sz="0" w:space="0" w:color="auto"/>
        <w:right w:val="none" w:sz="0" w:space="0" w:color="auto"/>
      </w:divBdr>
    </w:div>
    <w:div w:id="1176379730">
      <w:bodyDiv w:val="1"/>
      <w:marLeft w:val="0"/>
      <w:marRight w:val="0"/>
      <w:marTop w:val="0"/>
      <w:marBottom w:val="0"/>
      <w:divBdr>
        <w:top w:val="none" w:sz="0" w:space="0" w:color="auto"/>
        <w:left w:val="none" w:sz="0" w:space="0" w:color="auto"/>
        <w:bottom w:val="none" w:sz="0" w:space="0" w:color="auto"/>
        <w:right w:val="none" w:sz="0" w:space="0" w:color="auto"/>
      </w:divBdr>
    </w:div>
    <w:div w:id="1263220844">
      <w:bodyDiv w:val="1"/>
      <w:marLeft w:val="0"/>
      <w:marRight w:val="0"/>
      <w:marTop w:val="0"/>
      <w:marBottom w:val="0"/>
      <w:divBdr>
        <w:top w:val="none" w:sz="0" w:space="0" w:color="auto"/>
        <w:left w:val="none" w:sz="0" w:space="0" w:color="auto"/>
        <w:bottom w:val="none" w:sz="0" w:space="0" w:color="auto"/>
        <w:right w:val="none" w:sz="0" w:space="0" w:color="auto"/>
      </w:divBdr>
    </w:div>
    <w:div w:id="1285380915">
      <w:bodyDiv w:val="1"/>
      <w:marLeft w:val="0"/>
      <w:marRight w:val="0"/>
      <w:marTop w:val="0"/>
      <w:marBottom w:val="0"/>
      <w:divBdr>
        <w:top w:val="none" w:sz="0" w:space="0" w:color="auto"/>
        <w:left w:val="none" w:sz="0" w:space="0" w:color="auto"/>
        <w:bottom w:val="none" w:sz="0" w:space="0" w:color="auto"/>
        <w:right w:val="none" w:sz="0" w:space="0" w:color="auto"/>
      </w:divBdr>
    </w:div>
    <w:div w:id="1291401544">
      <w:bodyDiv w:val="1"/>
      <w:marLeft w:val="0"/>
      <w:marRight w:val="0"/>
      <w:marTop w:val="0"/>
      <w:marBottom w:val="0"/>
      <w:divBdr>
        <w:top w:val="none" w:sz="0" w:space="0" w:color="auto"/>
        <w:left w:val="none" w:sz="0" w:space="0" w:color="auto"/>
        <w:bottom w:val="none" w:sz="0" w:space="0" w:color="auto"/>
        <w:right w:val="none" w:sz="0" w:space="0" w:color="auto"/>
      </w:divBdr>
    </w:div>
    <w:div w:id="1346663574">
      <w:bodyDiv w:val="1"/>
      <w:marLeft w:val="0"/>
      <w:marRight w:val="0"/>
      <w:marTop w:val="0"/>
      <w:marBottom w:val="0"/>
      <w:divBdr>
        <w:top w:val="none" w:sz="0" w:space="0" w:color="auto"/>
        <w:left w:val="none" w:sz="0" w:space="0" w:color="auto"/>
        <w:bottom w:val="none" w:sz="0" w:space="0" w:color="auto"/>
        <w:right w:val="none" w:sz="0" w:space="0" w:color="auto"/>
      </w:divBdr>
    </w:div>
    <w:div w:id="1440416616">
      <w:bodyDiv w:val="1"/>
      <w:marLeft w:val="0"/>
      <w:marRight w:val="0"/>
      <w:marTop w:val="0"/>
      <w:marBottom w:val="0"/>
      <w:divBdr>
        <w:top w:val="none" w:sz="0" w:space="0" w:color="auto"/>
        <w:left w:val="none" w:sz="0" w:space="0" w:color="auto"/>
        <w:bottom w:val="none" w:sz="0" w:space="0" w:color="auto"/>
        <w:right w:val="none" w:sz="0" w:space="0" w:color="auto"/>
      </w:divBdr>
    </w:div>
    <w:div w:id="1472088446">
      <w:bodyDiv w:val="1"/>
      <w:marLeft w:val="0"/>
      <w:marRight w:val="0"/>
      <w:marTop w:val="0"/>
      <w:marBottom w:val="0"/>
      <w:divBdr>
        <w:top w:val="none" w:sz="0" w:space="0" w:color="auto"/>
        <w:left w:val="none" w:sz="0" w:space="0" w:color="auto"/>
        <w:bottom w:val="none" w:sz="0" w:space="0" w:color="auto"/>
        <w:right w:val="none" w:sz="0" w:space="0" w:color="auto"/>
      </w:divBdr>
    </w:div>
    <w:div w:id="1560551301">
      <w:bodyDiv w:val="1"/>
      <w:marLeft w:val="0"/>
      <w:marRight w:val="0"/>
      <w:marTop w:val="0"/>
      <w:marBottom w:val="0"/>
      <w:divBdr>
        <w:top w:val="none" w:sz="0" w:space="0" w:color="auto"/>
        <w:left w:val="none" w:sz="0" w:space="0" w:color="auto"/>
        <w:bottom w:val="none" w:sz="0" w:space="0" w:color="auto"/>
        <w:right w:val="none" w:sz="0" w:space="0" w:color="auto"/>
      </w:divBdr>
    </w:div>
    <w:div w:id="1674795126">
      <w:bodyDiv w:val="1"/>
      <w:marLeft w:val="0"/>
      <w:marRight w:val="0"/>
      <w:marTop w:val="0"/>
      <w:marBottom w:val="0"/>
      <w:divBdr>
        <w:top w:val="none" w:sz="0" w:space="0" w:color="auto"/>
        <w:left w:val="none" w:sz="0" w:space="0" w:color="auto"/>
        <w:bottom w:val="none" w:sz="0" w:space="0" w:color="auto"/>
        <w:right w:val="none" w:sz="0" w:space="0" w:color="auto"/>
      </w:divBdr>
    </w:div>
    <w:div w:id="1712145897">
      <w:bodyDiv w:val="1"/>
      <w:marLeft w:val="0"/>
      <w:marRight w:val="0"/>
      <w:marTop w:val="0"/>
      <w:marBottom w:val="0"/>
      <w:divBdr>
        <w:top w:val="none" w:sz="0" w:space="0" w:color="auto"/>
        <w:left w:val="none" w:sz="0" w:space="0" w:color="auto"/>
        <w:bottom w:val="none" w:sz="0" w:space="0" w:color="auto"/>
        <w:right w:val="none" w:sz="0" w:space="0" w:color="auto"/>
      </w:divBdr>
    </w:div>
    <w:div w:id="1908221207">
      <w:bodyDiv w:val="1"/>
      <w:marLeft w:val="0"/>
      <w:marRight w:val="0"/>
      <w:marTop w:val="0"/>
      <w:marBottom w:val="0"/>
      <w:divBdr>
        <w:top w:val="none" w:sz="0" w:space="0" w:color="auto"/>
        <w:left w:val="none" w:sz="0" w:space="0" w:color="auto"/>
        <w:bottom w:val="none" w:sz="0" w:space="0" w:color="auto"/>
        <w:right w:val="none" w:sz="0" w:space="0" w:color="auto"/>
      </w:divBdr>
    </w:div>
    <w:div w:id="1922913309">
      <w:bodyDiv w:val="1"/>
      <w:marLeft w:val="0"/>
      <w:marRight w:val="0"/>
      <w:marTop w:val="0"/>
      <w:marBottom w:val="0"/>
      <w:divBdr>
        <w:top w:val="none" w:sz="0" w:space="0" w:color="auto"/>
        <w:left w:val="none" w:sz="0" w:space="0" w:color="auto"/>
        <w:bottom w:val="none" w:sz="0" w:space="0" w:color="auto"/>
        <w:right w:val="none" w:sz="0" w:space="0" w:color="auto"/>
      </w:divBdr>
    </w:div>
    <w:div w:id="2005618920">
      <w:bodyDiv w:val="1"/>
      <w:marLeft w:val="0"/>
      <w:marRight w:val="0"/>
      <w:marTop w:val="0"/>
      <w:marBottom w:val="0"/>
      <w:divBdr>
        <w:top w:val="none" w:sz="0" w:space="0" w:color="auto"/>
        <w:left w:val="none" w:sz="0" w:space="0" w:color="auto"/>
        <w:bottom w:val="none" w:sz="0" w:space="0" w:color="auto"/>
        <w:right w:val="none" w:sz="0" w:space="0" w:color="auto"/>
      </w:divBdr>
    </w:div>
    <w:div w:id="2031564821">
      <w:bodyDiv w:val="1"/>
      <w:marLeft w:val="0"/>
      <w:marRight w:val="0"/>
      <w:marTop w:val="0"/>
      <w:marBottom w:val="0"/>
      <w:divBdr>
        <w:top w:val="none" w:sz="0" w:space="0" w:color="auto"/>
        <w:left w:val="none" w:sz="0" w:space="0" w:color="auto"/>
        <w:bottom w:val="none" w:sz="0" w:space="0" w:color="auto"/>
        <w:right w:val="none" w:sz="0" w:space="0" w:color="auto"/>
      </w:divBdr>
    </w:div>
    <w:div w:id="2036466932">
      <w:bodyDiv w:val="1"/>
      <w:marLeft w:val="0"/>
      <w:marRight w:val="0"/>
      <w:marTop w:val="0"/>
      <w:marBottom w:val="0"/>
      <w:divBdr>
        <w:top w:val="none" w:sz="0" w:space="0" w:color="auto"/>
        <w:left w:val="none" w:sz="0" w:space="0" w:color="auto"/>
        <w:bottom w:val="none" w:sz="0" w:space="0" w:color="auto"/>
        <w:right w:val="none" w:sz="0" w:space="0" w:color="auto"/>
      </w:divBdr>
    </w:div>
    <w:div w:id="2047438581">
      <w:bodyDiv w:val="1"/>
      <w:marLeft w:val="0"/>
      <w:marRight w:val="0"/>
      <w:marTop w:val="0"/>
      <w:marBottom w:val="0"/>
      <w:divBdr>
        <w:top w:val="none" w:sz="0" w:space="0" w:color="auto"/>
        <w:left w:val="none" w:sz="0" w:space="0" w:color="auto"/>
        <w:bottom w:val="none" w:sz="0" w:space="0" w:color="auto"/>
        <w:right w:val="none" w:sz="0" w:space="0" w:color="auto"/>
      </w:divBdr>
    </w:div>
    <w:div w:id="210541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1201</Words>
  <Characters>6849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KNMP</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Nijenhuis</dc:creator>
  <cp:keywords/>
  <dc:description/>
  <cp:lastModifiedBy>Manson, L.E.N. (KFT)</cp:lastModifiedBy>
  <cp:revision>4</cp:revision>
  <dcterms:created xsi:type="dcterms:W3CDTF">2023-05-04T12:25:00Z</dcterms:created>
  <dcterms:modified xsi:type="dcterms:W3CDTF">2023-07-24T08:15:00Z</dcterms:modified>
</cp:coreProperties>
</file>