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74CD" w:rsidRPr="00826573" w:rsidRDefault="00D674CD" w:rsidP="00D674CD">
      <w:pPr>
        <w:spacing w:line="48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bidi="fa-IR"/>
        </w:rPr>
      </w:pPr>
      <w:r w:rsidRPr="00826573">
        <w:rPr>
          <w:rFonts w:ascii="Times New Roman" w:hAnsi="Times New Roman" w:cs="Times New Roman"/>
          <w:b/>
          <w:bCs/>
          <w:sz w:val="32"/>
          <w:szCs w:val="32"/>
          <w:lang w:bidi="fa-IR"/>
        </w:rPr>
        <w:t>Supporting information</w:t>
      </w:r>
    </w:p>
    <w:p w:rsidR="00D674CD" w:rsidRPr="00826573" w:rsidRDefault="00D674CD" w:rsidP="00D674CD">
      <w:pPr>
        <w:spacing w:line="480" w:lineRule="auto"/>
        <w:jc w:val="center"/>
        <w:rPr>
          <w:rFonts w:ascii="Times New Roman" w:eastAsia="MS Mincho" w:hAnsi="Times New Roman" w:cs="Times New Roman"/>
          <w:b/>
          <w:bCs/>
          <w:sz w:val="28"/>
          <w:szCs w:val="28"/>
        </w:rPr>
      </w:pPr>
      <w:r w:rsidRPr="00826573">
        <w:rPr>
          <w:rFonts w:ascii="Times New Roman" w:eastAsia="MS Mincho" w:hAnsi="Times New Roman" w:cs="Times New Roman"/>
          <w:b/>
          <w:bCs/>
          <w:sz w:val="28"/>
          <w:szCs w:val="28"/>
        </w:rPr>
        <w:t xml:space="preserve">Clay-supported bio-based </w:t>
      </w:r>
      <w:r w:rsidRPr="00826573">
        <w:rPr>
          <w:rFonts w:ascii="Times New Roman" w:hAnsi="Times New Roman" w:cs="Times New Roman"/>
          <w:b/>
          <w:bCs/>
          <w:color w:val="202122"/>
          <w:sz w:val="28"/>
          <w:szCs w:val="28"/>
          <w:shd w:val="clear" w:color="auto" w:fill="FFFFFF"/>
        </w:rPr>
        <w:t>Lewis acid</w:t>
      </w:r>
      <w:r w:rsidRPr="00826573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r w:rsidRPr="00826573">
        <w:rPr>
          <w:rFonts w:ascii="Times New Roman" w:eastAsia="MS Mincho" w:hAnsi="Times New Roman" w:cs="Times New Roman"/>
          <w:b/>
          <w:bCs/>
          <w:sz w:val="28"/>
          <w:szCs w:val="28"/>
        </w:rPr>
        <w:t xml:space="preserve">ionic liquid as a potent catalyst for the dehydration of fructose to </w:t>
      </w:r>
      <w:r w:rsidRPr="00826573">
        <w:rPr>
          <w:rFonts w:asciiTheme="majorBidi" w:hAnsiTheme="majorBidi" w:cstheme="majorBidi"/>
          <w:b/>
          <w:bCs/>
          <w:sz w:val="28"/>
          <w:szCs w:val="28"/>
        </w:rPr>
        <w:t>5-hydroxymthylfurfural</w:t>
      </w:r>
    </w:p>
    <w:p w:rsidR="00D674CD" w:rsidRPr="00826573" w:rsidRDefault="00D674CD" w:rsidP="00D674CD">
      <w:pPr>
        <w:spacing w:line="480" w:lineRule="auto"/>
        <w:jc w:val="center"/>
        <w:rPr>
          <w:rFonts w:cstheme="majorBidi"/>
          <w:b/>
          <w:bCs/>
          <w:sz w:val="24"/>
          <w:szCs w:val="24"/>
        </w:rPr>
      </w:pPr>
      <w:r w:rsidRPr="00826573">
        <w:rPr>
          <w:rFonts w:ascii="Times New Roman" w:eastAsia="MS Mincho" w:hAnsi="Times New Roman" w:cs="Times New Roman"/>
          <w:sz w:val="24"/>
          <w:szCs w:val="24"/>
        </w:rPr>
        <w:t>Soheila Yaghoubi</w:t>
      </w:r>
      <w:r w:rsidRPr="00826573">
        <w:rPr>
          <w:rFonts w:ascii="Times New Roman" w:eastAsia="MS Mincho" w:hAnsi="Times New Roman" w:cs="Times New Roman"/>
          <w:sz w:val="24"/>
          <w:szCs w:val="24"/>
          <w:vertAlign w:val="superscript"/>
        </w:rPr>
        <w:t>1</w:t>
      </w:r>
      <w:r w:rsidRPr="00826573">
        <w:rPr>
          <w:rFonts w:ascii="Times New Roman" w:eastAsia="MS Mincho" w:hAnsi="Times New Roman" w:cs="Times New Roman"/>
          <w:sz w:val="24"/>
          <w:szCs w:val="24"/>
        </w:rPr>
        <w:t>, Samahe Sadjadi</w:t>
      </w:r>
      <w:r w:rsidRPr="00826573">
        <w:rPr>
          <w:rFonts w:ascii="Times New Roman" w:eastAsia="MS Mincho" w:hAnsi="Times New Roman" w:cs="Times New Roman"/>
          <w:sz w:val="24"/>
          <w:szCs w:val="24"/>
          <w:vertAlign w:val="superscript"/>
        </w:rPr>
        <w:t>2*</w:t>
      </w:r>
      <w:r w:rsidRPr="00826573">
        <w:rPr>
          <w:rFonts w:asciiTheme="majorBidi" w:hAnsiTheme="majorBidi" w:cstheme="majorBidi"/>
          <w:sz w:val="24"/>
          <w:szCs w:val="24"/>
        </w:rPr>
        <w:t xml:space="preserve">, </w:t>
      </w:r>
      <w:r w:rsidRPr="00826573">
        <w:rPr>
          <w:rFonts w:asciiTheme="majorBidi" w:hAnsiTheme="majorBidi" w:cstheme="majorBidi" w:hint="eastAsia"/>
          <w:sz w:val="24"/>
          <w:szCs w:val="24"/>
        </w:rPr>
        <w:t>Xuemin Zhong</w:t>
      </w:r>
      <w:r w:rsidRPr="00826573">
        <w:rPr>
          <w:rFonts w:asciiTheme="majorBidi" w:hAnsiTheme="majorBidi" w:cstheme="majorBidi"/>
          <w:sz w:val="24"/>
          <w:szCs w:val="24"/>
          <w:vertAlign w:val="superscript"/>
        </w:rPr>
        <w:t>3</w:t>
      </w:r>
      <w:r w:rsidRPr="00826573">
        <w:rPr>
          <w:rFonts w:asciiTheme="majorBidi" w:hAnsiTheme="majorBidi" w:cstheme="majorBidi"/>
          <w:sz w:val="24"/>
          <w:szCs w:val="24"/>
        </w:rPr>
        <w:t>, Peng Yuan</w:t>
      </w:r>
      <w:r w:rsidRPr="00826573">
        <w:rPr>
          <w:rFonts w:asciiTheme="majorBidi" w:hAnsiTheme="majorBidi" w:cstheme="majorBidi"/>
          <w:sz w:val="24"/>
          <w:szCs w:val="24"/>
          <w:vertAlign w:val="superscript"/>
        </w:rPr>
        <w:t>4</w:t>
      </w:r>
      <w:r w:rsidRPr="00826573">
        <w:rPr>
          <w:rFonts w:asciiTheme="majorBidi" w:hAnsiTheme="majorBidi" w:cstheme="majorBidi"/>
          <w:b/>
          <w:bCs/>
          <w:sz w:val="24"/>
          <w:szCs w:val="24"/>
        </w:rPr>
        <w:t xml:space="preserve">, </w:t>
      </w:r>
      <w:r w:rsidRPr="00826573">
        <w:rPr>
          <w:rFonts w:asciiTheme="majorBidi" w:hAnsiTheme="majorBidi" w:cstheme="majorBidi"/>
          <w:sz w:val="24"/>
          <w:szCs w:val="24"/>
        </w:rPr>
        <w:t>Majid M. Heravi*</w:t>
      </w:r>
      <w:r w:rsidRPr="00826573">
        <w:rPr>
          <w:rFonts w:asciiTheme="majorBidi" w:hAnsiTheme="majorBidi" w:cstheme="majorBidi"/>
          <w:sz w:val="24"/>
          <w:szCs w:val="24"/>
          <w:vertAlign w:val="superscript"/>
        </w:rPr>
        <w:t>1</w:t>
      </w:r>
    </w:p>
    <w:p w:rsidR="00BA7E85" w:rsidRPr="00826573" w:rsidRDefault="00BA7E85" w:rsidP="0086483B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D674CD" w:rsidRPr="00826573" w:rsidRDefault="00D674CD" w:rsidP="00D674CD">
      <w:pPr>
        <w:widowControl/>
        <w:spacing w:after="160" w:line="480" w:lineRule="auto"/>
        <w:jc w:val="left"/>
        <w:rPr>
          <w:rFonts w:ascii="Times New Roman" w:hAnsi="Times New Roman" w:cs="Times New Roman"/>
          <w:b/>
          <w:bCs/>
          <w:kern w:val="0"/>
          <w:sz w:val="24"/>
          <w:szCs w:val="24"/>
          <w:lang w:eastAsia="ja-JP" w:bidi="fa-IR"/>
        </w:rPr>
      </w:pPr>
      <w:r w:rsidRPr="00826573">
        <w:rPr>
          <w:rFonts w:ascii="Times New Roman" w:hAnsi="Times New Roman" w:cs="Times New Roman"/>
          <w:b/>
          <w:bCs/>
          <w:kern w:val="0"/>
          <w:sz w:val="24"/>
          <w:szCs w:val="24"/>
          <w:lang w:eastAsia="ja-JP" w:bidi="fa-IR"/>
        </w:rPr>
        <w:t>Characterization of the catalyst</w:t>
      </w:r>
    </w:p>
    <w:p w:rsidR="00D674CD" w:rsidRPr="00826573" w:rsidRDefault="00D674CD" w:rsidP="00D674CD">
      <w:pPr>
        <w:widowControl/>
        <w:spacing w:after="160" w:line="480" w:lineRule="auto"/>
        <w:rPr>
          <w:kern w:val="0"/>
          <w:sz w:val="22"/>
          <w:lang w:eastAsia="ja-JP"/>
        </w:rPr>
      </w:pPr>
      <w:r w:rsidRPr="00826573">
        <w:rPr>
          <w:rFonts w:asciiTheme="majorBidi" w:hAnsiTheme="majorBidi" w:cstheme="majorBidi"/>
          <w:kern w:val="0"/>
          <w:sz w:val="24"/>
          <w:szCs w:val="24"/>
          <w:lang w:eastAsia="ja-JP"/>
        </w:rPr>
        <w:t xml:space="preserve">Thermogravimetric analysis (TGA, </w:t>
      </w:r>
      <w:r w:rsidRPr="00826573">
        <w:rPr>
          <w:rFonts w:ascii="Times New Roman" w:hAnsi="Times New Roman" w:cs="Times New Roman"/>
          <w:kern w:val="0"/>
          <w:sz w:val="24"/>
          <w:szCs w:val="24"/>
          <w:lang w:eastAsia="ja-JP" w:bidi="fa-IR"/>
        </w:rPr>
        <w:t>METTLER TOLEDO, under O</w:t>
      </w:r>
      <w:r w:rsidRPr="00826573">
        <w:rPr>
          <w:rFonts w:ascii="Times New Roman" w:hAnsi="Times New Roman" w:cs="Times New Roman"/>
          <w:kern w:val="0"/>
          <w:sz w:val="24"/>
          <w:szCs w:val="24"/>
          <w:vertAlign w:val="subscript"/>
          <w:lang w:eastAsia="ja-JP" w:bidi="fa-IR"/>
        </w:rPr>
        <w:t>2</w:t>
      </w:r>
      <w:r w:rsidRPr="00826573">
        <w:rPr>
          <w:rFonts w:ascii="Times New Roman" w:hAnsi="Times New Roman" w:cs="Times New Roman"/>
          <w:kern w:val="0"/>
          <w:sz w:val="24"/>
          <w:szCs w:val="24"/>
          <w:lang w:eastAsia="ja-JP" w:bidi="fa-IR"/>
        </w:rPr>
        <w:t xml:space="preserve"> atmosphere and ramp rate of 10 °C/min</w:t>
      </w:r>
      <w:r w:rsidRPr="00826573">
        <w:rPr>
          <w:rFonts w:asciiTheme="majorBidi" w:hAnsiTheme="majorBidi" w:cstheme="majorBidi"/>
          <w:kern w:val="0"/>
          <w:sz w:val="24"/>
          <w:szCs w:val="24"/>
          <w:lang w:eastAsia="ja-JP"/>
        </w:rPr>
        <w:t>) was applied to study the thermal stability of Hal-IL and estimating the loading of IL on Hal. The structure and crystalline phase of Hal and Hal-IL were investigated using</w:t>
      </w:r>
      <w:r w:rsidRPr="00826573">
        <w:rPr>
          <w:rFonts w:asciiTheme="majorBidi" w:hAnsiTheme="majorBidi" w:cstheme="majorBidi"/>
          <w:kern w:val="0"/>
          <w:sz w:val="24"/>
          <w:szCs w:val="24"/>
          <w:lang w:eastAsia="ja-JP" w:bidi="fa-IR"/>
        </w:rPr>
        <w:t xml:space="preserve"> </w:t>
      </w:r>
      <w:r w:rsidRPr="00826573">
        <w:rPr>
          <w:rFonts w:asciiTheme="majorBidi" w:hAnsiTheme="majorBidi" w:cstheme="majorBidi"/>
          <w:kern w:val="0"/>
          <w:sz w:val="24"/>
          <w:szCs w:val="24"/>
          <w:lang w:eastAsia="ja-JP"/>
        </w:rPr>
        <w:t xml:space="preserve">X-ray diffraction (XRD, Rigaku Ultima </w:t>
      </w:r>
      <m:oMath>
        <m:r>
          <w:rPr>
            <w:rFonts w:ascii="Cambria Math" w:eastAsia="MS Mincho" w:hAnsi="Cambria Math" w:cs="MS Mincho" w:hint="eastAsia"/>
            <w:kern w:val="0"/>
            <w:sz w:val="24"/>
            <w:szCs w:val="24"/>
            <w:lang w:eastAsia="ja-JP"/>
          </w:rPr>
          <m:t>Ⅳ</m:t>
        </m:r>
      </m:oMath>
      <w:r w:rsidRPr="00826573">
        <w:rPr>
          <w:rFonts w:asciiTheme="majorBidi" w:hAnsiTheme="majorBidi" w:cstheme="majorBidi"/>
          <w:kern w:val="0"/>
          <w:sz w:val="24"/>
          <w:szCs w:val="24"/>
          <w:lang w:eastAsia="ja-JP"/>
        </w:rPr>
        <w:t xml:space="preserve"> with Cu-Kα). Conjugation of IL on Hal was confirmed using Fourier-Infrared spectroscopy (FTIR, BRUKER TENSOR 35 spectrophotometer 65 with a scan time of 1s and spectral resolution of 2 cm</w:t>
      </w:r>
      <w:r w:rsidRPr="00826573">
        <w:rPr>
          <w:rFonts w:asciiTheme="majorBidi" w:hAnsiTheme="majorBidi" w:cstheme="majorBidi"/>
          <w:kern w:val="0"/>
          <w:sz w:val="24"/>
          <w:szCs w:val="24"/>
          <w:vertAlign w:val="superscript"/>
          <w:lang w:eastAsia="ja-JP"/>
        </w:rPr>
        <w:t>-1</w:t>
      </w:r>
      <w:r w:rsidRPr="00826573">
        <w:rPr>
          <w:rFonts w:asciiTheme="majorBidi" w:hAnsiTheme="majorBidi" w:cstheme="majorBidi"/>
          <w:kern w:val="0"/>
          <w:sz w:val="24"/>
          <w:szCs w:val="24"/>
          <w:lang w:eastAsia="ja-JP"/>
        </w:rPr>
        <w:t xml:space="preserve"> by using potassium bromide (KBr) pellets). </w:t>
      </w:r>
      <w:r w:rsidRPr="00826573">
        <w:rPr>
          <w:rFonts w:ascii="Times New Roman" w:hAnsi="Times New Roman" w:cs="Times New Roman"/>
          <w:kern w:val="0"/>
          <w:sz w:val="24"/>
          <w:szCs w:val="24"/>
          <w:lang w:eastAsia="ja-JP"/>
        </w:rPr>
        <w:t>The specific surface area (S</w:t>
      </w:r>
      <w:r w:rsidRPr="00826573">
        <w:rPr>
          <w:rFonts w:ascii="Times New Roman" w:hAnsi="Times New Roman" w:cs="Times New Roman"/>
          <w:kern w:val="0"/>
          <w:sz w:val="24"/>
          <w:szCs w:val="24"/>
          <w:vertAlign w:val="subscript"/>
          <w:lang w:eastAsia="ja-JP"/>
        </w:rPr>
        <w:t>BET</w:t>
      </w:r>
      <w:r w:rsidRPr="00826573">
        <w:rPr>
          <w:rFonts w:ascii="Times New Roman" w:hAnsi="Times New Roman" w:cs="Times New Roman"/>
          <w:kern w:val="0"/>
          <w:sz w:val="24"/>
          <w:szCs w:val="24"/>
          <w:lang w:eastAsia="ja-JP"/>
        </w:rPr>
        <w:t xml:space="preserve">) of the catalyst was measured using Brunauer-Emmett-Teller (BET) method employing BELSORP MINI II, BEL instrument with pre-heating at 150 °C for 3 h. </w:t>
      </w:r>
      <w:r w:rsidRPr="00826573">
        <w:rPr>
          <w:rFonts w:asciiTheme="majorBidi" w:hAnsiTheme="majorBidi" w:cstheme="majorBidi"/>
          <w:kern w:val="0"/>
          <w:sz w:val="24"/>
          <w:szCs w:val="24"/>
          <w:lang w:eastAsia="ja-JP"/>
        </w:rPr>
        <w:t xml:space="preserve">The morphological study was conducted using Scanning electron microscope (SEM) coupled with energy-dispersive X-ray spectroscopy (EDS, </w:t>
      </w:r>
      <w:r w:rsidRPr="00826573">
        <w:rPr>
          <w:rFonts w:ascii="Times New Roman" w:hAnsi="Times New Roman" w:cs="Times New Roman"/>
          <w:kern w:val="0"/>
          <w:sz w:val="24"/>
          <w:szCs w:val="24"/>
          <w:lang w:eastAsia="ja-JP" w:bidi="fa-IR"/>
        </w:rPr>
        <w:t>VEGAII TESCAN device, equipped with QX2, RONTEC energy dispersive X-ray analyzer</w:t>
      </w:r>
      <w:r w:rsidRPr="00826573">
        <w:rPr>
          <w:rFonts w:asciiTheme="majorBidi" w:hAnsiTheme="majorBidi" w:cstheme="majorBidi"/>
          <w:kern w:val="0"/>
          <w:sz w:val="24"/>
          <w:szCs w:val="24"/>
          <w:lang w:eastAsia="ja-JP"/>
        </w:rPr>
        <w:t>).</w:t>
      </w:r>
    </w:p>
    <w:p w:rsidR="0086483B" w:rsidRPr="00826573" w:rsidRDefault="0086483B"/>
    <w:p w:rsidR="0086483B" w:rsidRPr="00826573" w:rsidRDefault="0086483B"/>
    <w:p w:rsidR="0086483B" w:rsidRPr="00826573" w:rsidRDefault="0086483B" w:rsidP="0086483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bidi="fa-IR"/>
        </w:rPr>
      </w:pPr>
      <w:r w:rsidRPr="00826573">
        <w:object w:dxaOrig="9093" w:dyaOrig="445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2.05pt;height:177.95pt" o:ole="">
            <v:imagedata r:id="rId6" o:title=""/>
          </v:shape>
          <o:OLEObject Type="Embed" ProgID="ChemDraw.Document.6.0" ShapeID="_x0000_i1025" DrawAspect="Content" ObjectID="_1753259846" r:id="rId7"/>
        </w:object>
      </w:r>
    </w:p>
    <w:p w:rsidR="0086483B" w:rsidRPr="00826573" w:rsidRDefault="0086483B" w:rsidP="009B684A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bidi="fa-IR"/>
        </w:rPr>
      </w:pPr>
      <w:r w:rsidRPr="00826573">
        <w:rPr>
          <w:rFonts w:ascii="Times New Roman" w:hAnsi="Times New Roman" w:cs="Times New Roman"/>
          <w:b/>
          <w:bCs/>
          <w:sz w:val="24"/>
          <w:szCs w:val="24"/>
          <w:lang w:bidi="fa-IR"/>
        </w:rPr>
        <w:t>Scheme</w:t>
      </w:r>
      <w:r w:rsidRPr="00826573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9B684A" w:rsidRPr="00826573">
        <w:rPr>
          <w:rFonts w:ascii="Times New Roman" w:hAnsi="Times New Roman" w:cs="Times New Roman"/>
          <w:b/>
          <w:bCs/>
          <w:sz w:val="24"/>
          <w:szCs w:val="24"/>
          <w:lang w:bidi="fa-IR"/>
        </w:rPr>
        <w:t>S1</w:t>
      </w:r>
      <w:r w:rsidRPr="00826573">
        <w:rPr>
          <w:rFonts w:ascii="Times New Roman" w:hAnsi="Times New Roman" w:cs="Times New Roman"/>
          <w:sz w:val="24"/>
          <w:szCs w:val="24"/>
          <w:lang w:bidi="fa-IR"/>
        </w:rPr>
        <w:t>. Schematic synthetic route of Hal-IL1 control catalyst.</w:t>
      </w:r>
    </w:p>
    <w:p w:rsidR="0086483B" w:rsidRPr="00826573" w:rsidRDefault="0086483B"/>
    <w:p w:rsidR="0086483B" w:rsidRPr="00826573" w:rsidRDefault="0086483B"/>
    <w:p w:rsidR="0086483B" w:rsidRPr="00826573" w:rsidRDefault="0086483B"/>
    <w:p w:rsidR="0086483B" w:rsidRPr="00826573" w:rsidRDefault="0086483B" w:rsidP="0086483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bidi="fa-IR"/>
        </w:rPr>
      </w:pPr>
      <w:r w:rsidRPr="00826573">
        <w:rPr>
          <w:rFonts w:ascii="Times New Roman" w:hAnsi="Times New Roman" w:cs="Times New Roman"/>
          <w:noProof/>
          <w:sz w:val="24"/>
          <w:szCs w:val="24"/>
          <w:lang w:eastAsia="ja-JP"/>
        </w:rPr>
        <w:drawing>
          <wp:inline distT="0" distB="0" distL="0" distR="0" wp14:anchorId="00F73139" wp14:editId="2627FFA5">
            <wp:extent cx="4600738" cy="4165542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6065" cy="4170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6483B" w:rsidRPr="00826573" w:rsidRDefault="0086483B" w:rsidP="004F1D4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bidi="fa-IR"/>
        </w:rPr>
      </w:pPr>
      <w:r w:rsidRPr="00826573">
        <w:rPr>
          <w:rFonts w:ascii="Times New Roman" w:hAnsi="Times New Roman" w:cs="Times New Roman"/>
          <w:b/>
          <w:bCs/>
          <w:sz w:val="24"/>
          <w:szCs w:val="24"/>
          <w:lang w:bidi="fa-IR"/>
        </w:rPr>
        <w:t xml:space="preserve">Figure </w:t>
      </w:r>
      <w:r w:rsidR="009B684A" w:rsidRPr="00826573">
        <w:rPr>
          <w:rFonts w:ascii="Times New Roman" w:hAnsi="Times New Roman" w:cs="Times New Roman"/>
          <w:b/>
          <w:bCs/>
          <w:sz w:val="24"/>
          <w:szCs w:val="24"/>
          <w:lang w:bidi="fa-IR"/>
        </w:rPr>
        <w:t>S</w:t>
      </w:r>
      <w:r w:rsidR="004F1D4B" w:rsidRPr="00826573">
        <w:rPr>
          <w:rFonts w:ascii="Times New Roman" w:hAnsi="Times New Roman" w:cs="Times New Roman"/>
          <w:b/>
          <w:bCs/>
          <w:sz w:val="24"/>
          <w:szCs w:val="24"/>
          <w:lang w:bidi="fa-IR"/>
        </w:rPr>
        <w:t>1</w:t>
      </w:r>
      <w:r w:rsidRPr="00826573">
        <w:rPr>
          <w:rFonts w:ascii="Times New Roman" w:hAnsi="Times New Roman" w:cs="Times New Roman"/>
          <w:b/>
          <w:bCs/>
          <w:sz w:val="24"/>
          <w:szCs w:val="24"/>
          <w:lang w:bidi="fa-IR"/>
        </w:rPr>
        <w:t>.</w:t>
      </w:r>
      <w:r w:rsidRPr="00826573">
        <w:rPr>
          <w:rFonts w:ascii="Times New Roman" w:hAnsi="Times New Roman" w:cs="Times New Roman"/>
          <w:sz w:val="24"/>
          <w:szCs w:val="24"/>
          <w:lang w:bidi="fa-IR"/>
        </w:rPr>
        <w:t xml:space="preserve"> EDS and elemental mapping analysis of Hal-IL.</w:t>
      </w:r>
    </w:p>
    <w:p w:rsidR="0086483B" w:rsidRPr="00826573" w:rsidRDefault="0086483B" w:rsidP="0086483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bidi="fa-IR"/>
        </w:rPr>
      </w:pPr>
      <w:r w:rsidRPr="00826573">
        <w:rPr>
          <w:noProof/>
          <w:lang w:eastAsia="ja-JP"/>
        </w:rPr>
        <w:lastRenderedPageBreak/>
        <w:drawing>
          <wp:inline distT="0" distB="0" distL="0" distR="0" wp14:anchorId="65B46C2F" wp14:editId="55A734D8">
            <wp:extent cx="3636010" cy="3771900"/>
            <wp:effectExtent l="0" t="0" r="2540" b="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86483B" w:rsidRPr="00826573" w:rsidRDefault="0086483B"/>
    <w:p w:rsidR="0086483B" w:rsidRPr="00864990" w:rsidRDefault="0086483B" w:rsidP="004B6C36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bidi="fa-IR"/>
        </w:rPr>
      </w:pPr>
      <w:r w:rsidRPr="00826573">
        <w:rPr>
          <w:rFonts w:ascii="Times New Roman" w:hAnsi="Times New Roman" w:cs="Times New Roman"/>
          <w:b/>
          <w:bCs/>
          <w:sz w:val="24"/>
          <w:szCs w:val="24"/>
          <w:lang w:bidi="fa-IR"/>
        </w:rPr>
        <w:t xml:space="preserve">Figure </w:t>
      </w:r>
      <w:r w:rsidR="00D674CD" w:rsidRPr="00826573">
        <w:rPr>
          <w:rFonts w:ascii="Times New Roman" w:hAnsi="Times New Roman" w:cs="Times New Roman"/>
          <w:b/>
          <w:bCs/>
          <w:sz w:val="24"/>
          <w:szCs w:val="24"/>
          <w:lang w:bidi="fa-IR"/>
        </w:rPr>
        <w:t>S</w:t>
      </w:r>
      <w:r w:rsidR="004F1D4B" w:rsidRPr="00826573">
        <w:rPr>
          <w:rFonts w:ascii="Times New Roman" w:hAnsi="Times New Roman" w:cs="Times New Roman"/>
          <w:b/>
          <w:bCs/>
          <w:sz w:val="24"/>
          <w:szCs w:val="24"/>
          <w:lang w:bidi="fa-IR"/>
        </w:rPr>
        <w:t>2</w:t>
      </w:r>
      <w:r w:rsidRPr="00826573">
        <w:rPr>
          <w:rFonts w:ascii="Times New Roman" w:hAnsi="Times New Roman" w:cs="Times New Roman"/>
          <w:b/>
          <w:bCs/>
          <w:sz w:val="24"/>
          <w:szCs w:val="24"/>
          <w:lang w:bidi="fa-IR"/>
        </w:rPr>
        <w:t>.</w:t>
      </w:r>
      <w:r w:rsidRPr="00826573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Pr="00826573">
        <w:rPr>
          <w:rFonts w:asciiTheme="majorBidi" w:hAnsiTheme="majorBidi" w:cstheme="majorBidi"/>
          <w:bCs/>
          <w:sz w:val="24"/>
          <w:szCs w:val="24"/>
          <w:lang w:bidi="fa-IR"/>
        </w:rPr>
        <w:t>Nitrogen adsorption-desorption isotherm of Hal-IL</w:t>
      </w:r>
      <w:bookmarkStart w:id="0" w:name="_GoBack"/>
      <w:bookmarkEnd w:id="0"/>
    </w:p>
    <w:p w:rsidR="0086483B" w:rsidRDefault="0086483B"/>
    <w:p w:rsidR="0086483B" w:rsidRDefault="0086483B"/>
    <w:sectPr w:rsidR="0086483B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5FFB" w:rsidRDefault="00175FFB" w:rsidP="002022F0">
      <w:r>
        <w:separator/>
      </w:r>
    </w:p>
  </w:endnote>
  <w:endnote w:type="continuationSeparator" w:id="0">
    <w:p w:rsidR="00175FFB" w:rsidRDefault="00175FFB" w:rsidP="00202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591611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022F0" w:rsidRDefault="002022F0">
        <w:pPr>
          <w:pStyle w:val="Footer"/>
          <w:jc w:val="center"/>
        </w:pPr>
        <w:r>
          <w:t>S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2657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022F0" w:rsidRDefault="002022F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5FFB" w:rsidRDefault="00175FFB" w:rsidP="002022F0">
      <w:r>
        <w:separator/>
      </w:r>
    </w:p>
  </w:footnote>
  <w:footnote w:type="continuationSeparator" w:id="0">
    <w:p w:rsidR="00175FFB" w:rsidRDefault="00175FFB" w:rsidP="002022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83B"/>
    <w:rsid w:val="00175FFB"/>
    <w:rsid w:val="001C11B9"/>
    <w:rsid w:val="002022F0"/>
    <w:rsid w:val="00267510"/>
    <w:rsid w:val="004B6C36"/>
    <w:rsid w:val="004C05EA"/>
    <w:rsid w:val="004F1D4B"/>
    <w:rsid w:val="0065044A"/>
    <w:rsid w:val="00826573"/>
    <w:rsid w:val="0086483B"/>
    <w:rsid w:val="009B684A"/>
    <w:rsid w:val="00BA7E85"/>
    <w:rsid w:val="00D67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88D644B-7B1F-44DC-88FF-30AB85750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483B"/>
    <w:pPr>
      <w:widowControl w:val="0"/>
      <w:spacing w:after="0" w:line="240" w:lineRule="auto"/>
      <w:jc w:val="both"/>
    </w:pPr>
    <w:rPr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22F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22F0"/>
    <w:rPr>
      <w:kern w:val="2"/>
      <w:sz w:val="21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2022F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22F0"/>
    <w:rPr>
      <w:kern w:val="2"/>
      <w:sz w:val="2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ＭＳ ゴシック"/>
                <a:ea typeface="ＭＳ ゴシック"/>
                <a:cs typeface="ＭＳ ゴシック"/>
              </a:defRPr>
            </a:pPr>
            <a:endParaRPr lang="en-US"/>
          </a:p>
        </c:rich>
      </c:tx>
      <c:overlay val="0"/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v>ADS</c:v>
          </c:tx>
          <c:spPr>
            <a:ln w="12700">
              <a:solidFill>
                <a:srgbClr val="000000"/>
              </a:solidFill>
              <a:prstDash val="solid"/>
            </a:ln>
          </c:spPr>
          <c:xVal>
            <c:numRef>
              <c:f>AdsDes!$F$23:$F$38</c:f>
              <c:numCache>
                <c:formatCode>General</c:formatCode>
                <c:ptCount val="16"/>
                <c:pt idx="0">
                  <c:v>1.0541999999999999E-2</c:v>
                </c:pt>
                <c:pt idx="1">
                  <c:v>0.1026</c:v>
                </c:pt>
                <c:pt idx="2">
                  <c:v>0.20430000000000001</c:v>
                </c:pt>
                <c:pt idx="3">
                  <c:v>0.3049</c:v>
                </c:pt>
                <c:pt idx="4">
                  <c:v>0.40500000000000003</c:v>
                </c:pt>
                <c:pt idx="5">
                  <c:v>0.50480000000000003</c:v>
                </c:pt>
                <c:pt idx="6">
                  <c:v>0.60419999999999996</c:v>
                </c:pt>
                <c:pt idx="7">
                  <c:v>0.79530000000000001</c:v>
                </c:pt>
                <c:pt idx="8">
                  <c:v>0.88429999999999997</c:v>
                </c:pt>
                <c:pt idx="9">
                  <c:v>0.89929999999999999</c:v>
                </c:pt>
                <c:pt idx="10">
                  <c:v>0.94389999999999996</c:v>
                </c:pt>
                <c:pt idx="11">
                  <c:v>0.9617</c:v>
                </c:pt>
                <c:pt idx="12">
                  <c:v>0.97760000000000002</c:v>
                </c:pt>
                <c:pt idx="13">
                  <c:v>0.98480000000000001</c:v>
                </c:pt>
                <c:pt idx="14">
                  <c:v>0.98880000000000001</c:v>
                </c:pt>
                <c:pt idx="15">
                  <c:v>0.99099999999999999</c:v>
                </c:pt>
              </c:numCache>
            </c:numRef>
          </c:xVal>
          <c:yVal>
            <c:numRef>
              <c:f>AdsDes!$G$23:$G$38</c:f>
              <c:numCache>
                <c:formatCode>General</c:formatCode>
                <c:ptCount val="16"/>
                <c:pt idx="0">
                  <c:v>2.9683999999999999</c:v>
                </c:pt>
                <c:pt idx="1">
                  <c:v>5.3672000000000004</c:v>
                </c:pt>
                <c:pt idx="2">
                  <c:v>6.4852999999999996</c:v>
                </c:pt>
                <c:pt idx="3">
                  <c:v>7.3795000000000002</c:v>
                </c:pt>
                <c:pt idx="4">
                  <c:v>8.2279999999999998</c:v>
                </c:pt>
                <c:pt idx="5">
                  <c:v>9.1682000000000006</c:v>
                </c:pt>
                <c:pt idx="6">
                  <c:v>10.445</c:v>
                </c:pt>
                <c:pt idx="7">
                  <c:v>16.23</c:v>
                </c:pt>
                <c:pt idx="8">
                  <c:v>26.736000000000001</c:v>
                </c:pt>
                <c:pt idx="9">
                  <c:v>30.503</c:v>
                </c:pt>
                <c:pt idx="10">
                  <c:v>56.651000000000003</c:v>
                </c:pt>
                <c:pt idx="11">
                  <c:v>75.242000000000004</c:v>
                </c:pt>
                <c:pt idx="12">
                  <c:v>94.805999999999997</c:v>
                </c:pt>
                <c:pt idx="13">
                  <c:v>109.86</c:v>
                </c:pt>
                <c:pt idx="14">
                  <c:v>122.62</c:v>
                </c:pt>
                <c:pt idx="15">
                  <c:v>133.88999999999999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01CC-4987-A7C2-B24F7FFBFC7B}"/>
            </c:ext>
          </c:extLst>
        </c:ser>
        <c:ser>
          <c:idx val="1"/>
          <c:order val="1"/>
          <c:tx>
            <c:v>DES</c:v>
          </c:tx>
          <c:spPr>
            <a:ln w="12700">
              <a:solidFill>
                <a:srgbClr val="BE4B48"/>
              </a:solidFill>
              <a:prstDash val="solid"/>
            </a:ln>
          </c:spPr>
          <c:xVal>
            <c:numRef>
              <c:f>AdsDes!$F$40:$F$51</c:f>
              <c:numCache>
                <c:formatCode>General</c:formatCode>
                <c:ptCount val="12"/>
                <c:pt idx="0">
                  <c:v>0.97619999999999996</c:v>
                </c:pt>
                <c:pt idx="1">
                  <c:v>0.94799999999999995</c:v>
                </c:pt>
                <c:pt idx="2">
                  <c:v>0.92649999999999999</c:v>
                </c:pt>
                <c:pt idx="3">
                  <c:v>0.91320000000000001</c:v>
                </c:pt>
                <c:pt idx="4">
                  <c:v>0.90239999999999998</c:v>
                </c:pt>
                <c:pt idx="5">
                  <c:v>0.83489999999999998</c:v>
                </c:pt>
                <c:pt idx="6">
                  <c:v>0.79779999999999995</c:v>
                </c:pt>
                <c:pt idx="7">
                  <c:v>0.7</c:v>
                </c:pt>
                <c:pt idx="8">
                  <c:v>0.5988</c:v>
                </c:pt>
                <c:pt idx="9">
                  <c:v>0.49640000000000001</c:v>
                </c:pt>
                <c:pt idx="10">
                  <c:v>0.39700000000000002</c:v>
                </c:pt>
                <c:pt idx="11">
                  <c:v>0.29459999999999997</c:v>
                </c:pt>
              </c:numCache>
            </c:numRef>
          </c:xVal>
          <c:yVal>
            <c:numRef>
              <c:f>AdsDes!$G$40:$G$51</c:f>
              <c:numCache>
                <c:formatCode>General</c:formatCode>
                <c:ptCount val="12"/>
                <c:pt idx="0">
                  <c:v>97.911000000000001</c:v>
                </c:pt>
                <c:pt idx="1">
                  <c:v>74.63</c:v>
                </c:pt>
                <c:pt idx="2">
                  <c:v>60.78</c:v>
                </c:pt>
                <c:pt idx="3">
                  <c:v>51.456000000000003</c:v>
                </c:pt>
                <c:pt idx="4">
                  <c:v>45.069000000000003</c:v>
                </c:pt>
                <c:pt idx="5">
                  <c:v>24.504000000000001</c:v>
                </c:pt>
                <c:pt idx="6">
                  <c:v>20.079999999999998</c:v>
                </c:pt>
                <c:pt idx="7">
                  <c:v>14.24</c:v>
                </c:pt>
                <c:pt idx="8">
                  <c:v>11.621</c:v>
                </c:pt>
                <c:pt idx="9">
                  <c:v>10.055999999999999</c:v>
                </c:pt>
                <c:pt idx="10">
                  <c:v>8.1270000000000007</c:v>
                </c:pt>
                <c:pt idx="11">
                  <c:v>7.4294000000000002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01CC-4987-A7C2-B24F7FFBFC7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-1581602096"/>
        <c:axId val="-1412535808"/>
      </c:scatterChart>
      <c:valAx>
        <c:axId val="-1581602096"/>
        <c:scaling>
          <c:orientation val="minMax"/>
          <c:max val="1"/>
          <c:min val="0"/>
        </c:scaling>
        <c:delete val="0"/>
        <c:axPos val="b"/>
        <c:title>
          <c:tx>
            <c:rich>
              <a:bodyPr/>
              <a:lstStyle/>
              <a:p>
                <a:pPr>
                  <a:defRPr sz="1200"/>
                </a:pPr>
                <a:r>
                  <a:rPr lang="en-US"/>
                  <a:t> 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en-US"/>
          </a:p>
        </c:txPr>
        <c:crossAx val="-1412535808"/>
        <c:crossesAt val="0"/>
        <c:crossBetween val="midCat"/>
        <c:majorUnit val="0.5"/>
      </c:valAx>
      <c:valAx>
        <c:axId val="-1412535808"/>
        <c:scaling>
          <c:orientation val="minMax"/>
          <c:max val="140"/>
          <c:min val="0"/>
        </c:scaling>
        <c:delete val="0"/>
        <c:axPos val="l"/>
        <c:title>
          <c:tx>
            <c:rich>
              <a:bodyPr/>
              <a:lstStyle/>
              <a:p>
                <a:pPr>
                  <a:defRPr sz="1200"/>
                </a:pPr>
                <a:r>
                  <a:rPr lang="en-US"/>
                  <a:t> 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-1581602096"/>
        <c:crossesAt val="0"/>
        <c:crossBetween val="midCat"/>
        <c:majorUnit val="60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0.29119798344461234"/>
          <c:y val="1.7275612514962825E-2"/>
          <c:w val="0.46040124681472788"/>
          <c:h val="8.7273086680064574E-2"/>
        </c:manualLayout>
      </c:layout>
      <c:overlay val="0"/>
      <c:spPr>
        <a:ln w="12700">
          <a:solidFill>
            <a:srgbClr val="000000"/>
          </a:solidFill>
          <a:prstDash val="solid"/>
        </a:ln>
      </c:spPr>
    </c:legend>
    <c:plotVisOnly val="1"/>
    <c:dispBlanksAs val="gap"/>
    <c:showDLblsOverMax val="0"/>
  </c:chart>
  <c:txPr>
    <a:bodyPr/>
    <a:lstStyle/>
    <a:p>
      <a:pPr>
        <a:defRPr sz="1200"/>
      </a:pPr>
      <a:endParaRPr lang="en-US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0.1294</cdr:x>
      <cdr:y>0.87351</cdr:y>
    </cdr:from>
    <cdr:to>
      <cdr:x>0.96948</cdr:x>
      <cdr:y>0.92147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755947" y="5103048"/>
          <a:ext cx="4907745" cy="28020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vert="horz" wrap="square" rtlCol="0" anchor="ctr">
          <a:noAutofit/>
        </a:bodyPr>
        <a:lstStyle xmlns:a="http://schemas.openxmlformats.org/drawingml/2006/main"/>
        <a:p xmlns:a="http://schemas.openxmlformats.org/drawingml/2006/main">
          <a:pPr algn="ctr"/>
          <a:r>
            <a:rPr lang="en-US" sz="1200" i="1">
              <a:latin typeface="Calibri"/>
            </a:rPr>
            <a:t>p</a:t>
          </a:r>
          <a:r>
            <a:rPr lang="en-US" sz="1200">
              <a:latin typeface="Calibri"/>
            </a:rPr>
            <a:t>/</a:t>
          </a:r>
          <a:r>
            <a:rPr lang="en-US" sz="1200" i="1">
              <a:latin typeface="Calibri"/>
            </a:rPr>
            <a:t>p</a:t>
          </a:r>
          <a:r>
            <a:rPr lang="en-US" sz="1200" baseline="-25000">
              <a:latin typeface="Calibri"/>
            </a:rPr>
            <a:t>0</a:t>
          </a:r>
        </a:p>
      </cdr:txBody>
    </cdr:sp>
  </cdr:relSizeAnchor>
  <cdr:relSizeAnchor xmlns:cdr="http://schemas.openxmlformats.org/drawingml/2006/chartDrawing">
    <cdr:from>
      <cdr:x>0.00942</cdr:x>
      <cdr:y>0.07821</cdr:y>
    </cdr:from>
    <cdr:to>
      <cdr:x>0.07319</cdr:x>
      <cdr:y>0.82843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55031" y="456883"/>
          <a:ext cx="372538" cy="438282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vert="vert270" wrap="square" rtlCol="0" anchor="ctr">
          <a:noAutofit/>
        </a:bodyPr>
        <a:lstStyle xmlns:a="http://schemas.openxmlformats.org/drawingml/2006/main"/>
        <a:p xmlns:a="http://schemas.openxmlformats.org/drawingml/2006/main">
          <a:pPr algn="ctr"/>
          <a:r>
            <a:rPr lang="en-US" sz="1200" i="1">
              <a:latin typeface="Calibri"/>
            </a:rPr>
            <a:t>V</a:t>
          </a:r>
          <a:r>
            <a:rPr lang="en-US" sz="1200" i="1" baseline="-25000">
              <a:latin typeface="Calibri"/>
            </a:rPr>
            <a:t>a</a:t>
          </a:r>
          <a:r>
            <a:rPr lang="en-US" sz="1200">
              <a:latin typeface="Calibri"/>
            </a:rPr>
            <a:t>/cm</a:t>
          </a:r>
          <a:r>
            <a:rPr lang="en-US" sz="1200" baseline="30000">
              <a:latin typeface="Calibri"/>
            </a:rPr>
            <a:t>3</a:t>
          </a:r>
          <a:r>
            <a:rPr lang="en-US" sz="1200">
              <a:latin typeface="Calibri"/>
            </a:rPr>
            <a:t>g</a:t>
          </a:r>
          <a:r>
            <a:rPr lang="en-US" sz="1200" baseline="30000">
              <a:latin typeface="Calibri"/>
            </a:rPr>
            <a:t>-1</a:t>
          </a: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2023-08-11T08:20:00Z</dcterms:created>
  <dcterms:modified xsi:type="dcterms:W3CDTF">2023-08-11T08:20:00Z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c5fc93038344a311b345be52eba753447bdeee55628da103944ea18a21d8785b</vt:lpwstr>
  </property>
</Properties>
</file>