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D23AC" w14:textId="5B4C84C1" w:rsidR="00AC226A" w:rsidRPr="005E432B" w:rsidRDefault="00AC226A" w:rsidP="00AC226A">
      <w:pPr>
        <w:spacing w:after="0"/>
        <w:rPr>
          <w:rFonts w:ascii="Times New Roman" w:hAnsi="Times New Roman" w:cs="Times New Roman"/>
          <w:b/>
          <w:bCs/>
          <w:sz w:val="28"/>
          <w:szCs w:val="28"/>
        </w:rPr>
      </w:pPr>
      <w:r w:rsidRPr="005E432B">
        <w:rPr>
          <w:rFonts w:ascii="Times New Roman" w:hAnsi="Times New Roman" w:cs="Times New Roman"/>
          <w:b/>
          <w:bCs/>
          <w:sz w:val="28"/>
          <w:szCs w:val="28"/>
        </w:rPr>
        <w:t>Supplementary Materials</w:t>
      </w:r>
    </w:p>
    <w:p w14:paraId="252AAABD" w14:textId="29344492" w:rsidR="007078C7" w:rsidRPr="005E432B" w:rsidRDefault="007078C7" w:rsidP="007078C7">
      <w:pPr>
        <w:spacing w:before="240"/>
        <w:jc w:val="both"/>
        <w:rPr>
          <w:rFonts w:ascii="Times New Roman" w:hAnsi="Times New Roman" w:cs="Times New Roman"/>
          <w:b/>
          <w:bCs/>
        </w:rPr>
      </w:pPr>
      <w:r w:rsidRPr="005E432B">
        <w:rPr>
          <w:rFonts w:ascii="Times New Roman" w:hAnsi="Times New Roman" w:cs="Times New Roman"/>
          <w:b/>
          <w:bCs/>
        </w:rPr>
        <w:t>Estimation of Tectonic Stress Rates</w:t>
      </w:r>
    </w:p>
    <w:p w14:paraId="48219C61" w14:textId="46A7805C" w:rsidR="007078C7" w:rsidRPr="005E432B" w:rsidRDefault="007078C7" w:rsidP="007078C7">
      <w:pPr>
        <w:spacing w:before="240"/>
        <w:jc w:val="both"/>
        <w:rPr>
          <w:rFonts w:ascii="Times New Roman" w:hAnsi="Times New Roman" w:cs="Times New Roman"/>
        </w:rPr>
      </w:pPr>
      <w:r w:rsidRPr="005E432B">
        <w:rPr>
          <w:rFonts w:ascii="Times New Roman" w:hAnsi="Times New Roman" w:cs="Times New Roman"/>
        </w:rPr>
        <w:t>Using the generalized Hooke’s law, the relationship between the stress (</w:t>
      </w:r>
      <m:oMath>
        <m:r>
          <m:rPr>
            <m:sty m:val="bi"/>
          </m:rPr>
          <w:rPr>
            <w:rFonts w:ascii="Cambria Math" w:hAnsi="Cambria Math" w:cs="Times New Roman"/>
          </w:rPr>
          <m:t>σ</m:t>
        </m:r>
      </m:oMath>
      <w:r w:rsidRPr="005E432B">
        <w:rPr>
          <w:rFonts w:ascii="Times New Roman" w:eastAsiaTheme="minorEastAsia" w:hAnsi="Times New Roman" w:cs="Times New Roman"/>
          <w:bCs/>
        </w:rPr>
        <w:t>)</w:t>
      </w:r>
      <w:r w:rsidRPr="005E432B">
        <w:rPr>
          <w:rFonts w:ascii="Times New Roman" w:hAnsi="Times New Roman" w:cs="Times New Roman"/>
        </w:rPr>
        <w:t xml:space="preserve"> and strain (</w:t>
      </w:r>
      <m:oMath>
        <m:r>
          <m:rPr>
            <m:sty m:val="bi"/>
          </m:rPr>
          <w:rPr>
            <w:rFonts w:ascii="Cambria Math" w:hAnsi="Cambria Math" w:cs="Times New Roman"/>
          </w:rPr>
          <m:t>ε</m:t>
        </m:r>
      </m:oMath>
      <w:r w:rsidRPr="005E432B">
        <w:rPr>
          <w:rFonts w:ascii="Times New Roman" w:eastAsiaTheme="minorEastAsia" w:hAnsi="Times New Roman" w:cs="Times New Roman"/>
          <w:bCs/>
        </w:rPr>
        <w:t>)</w:t>
      </w:r>
      <w:r w:rsidRPr="005E432B">
        <w:rPr>
          <w:rFonts w:ascii="Times New Roman" w:hAnsi="Times New Roman" w:cs="Times New Roman"/>
        </w:rPr>
        <w:t xml:space="preserve"> tensor components</w:t>
      </w:r>
      <w:r w:rsidR="00C53463" w:rsidRPr="005E432B">
        <w:rPr>
          <w:rFonts w:ascii="Times New Roman" w:hAnsi="Times New Roman" w:cs="Times New Roman"/>
        </w:rPr>
        <w:t xml:space="preserve"> in 2D plane</w:t>
      </w:r>
      <w:r w:rsidRPr="005E432B">
        <w:rPr>
          <w:rFonts w:ascii="Times New Roman" w:hAnsi="Times New Roman" w:cs="Times New Roman"/>
        </w:rPr>
        <w:t xml:space="preserve"> can be defined in matrix form as follow:</w:t>
      </w:r>
    </w:p>
    <w:p w14:paraId="2CD4EAC4" w14:textId="55168B20" w:rsidR="007078C7" w:rsidRPr="005E432B" w:rsidRDefault="00000000" w:rsidP="007078C7">
      <w:pPr>
        <w:spacing w:before="240"/>
        <w:jc w:val="both"/>
        <w:rPr>
          <w:rFonts w:ascii="Times New Roman" w:eastAsiaTheme="minorEastAsia" w:hAnsi="Times New Roman" w:cs="Times New Roman"/>
        </w:rPr>
      </w:pPr>
      <m:oMathPara>
        <m:oMath>
          <m:d>
            <m:dPr>
              <m:begChr m:val="["/>
              <m:endChr m:val="]"/>
              <m:ctrlPr>
                <w:rPr>
                  <w:rFonts w:ascii="Cambria Math" w:hAnsi="Cambria Math" w:cs="Times New Roman"/>
                </w:rPr>
              </m:ctrlPr>
            </m:dPr>
            <m:e>
              <m:m>
                <m:mPr>
                  <m:mcs>
                    <m:mc>
                      <m:mcPr>
                        <m:count m:val="1"/>
                        <m:mcJc m:val="center"/>
                      </m:mcPr>
                    </m:mc>
                  </m:mcs>
                  <m:ctrlPr>
                    <w:rPr>
                      <w:rFonts w:ascii="Cambria Math" w:hAnsi="Cambria Math" w:cs="Times New Roman"/>
                    </w:rPr>
                  </m:ctrlPr>
                </m:mPr>
                <m:mr>
                  <m:e>
                    <m:sSub>
                      <m:sSubPr>
                        <m:ctrlPr>
                          <w:rPr>
                            <w:rFonts w:ascii="Cambria Math" w:hAnsi="Cambria Math" w:cs="Times New Roman"/>
                          </w:rPr>
                        </m:ctrlPr>
                      </m:sSubPr>
                      <m:e>
                        <m:r>
                          <m:rPr>
                            <m:sty m:val="bi"/>
                          </m:rPr>
                          <w:rPr>
                            <w:rFonts w:ascii="Cambria Math" w:hAnsi="Cambria Math" w:cs="Times New Roman"/>
                          </w:rPr>
                          <m:t>σ</m:t>
                        </m:r>
                      </m:e>
                      <m:sub>
                        <m:r>
                          <m:rPr>
                            <m:sty m:val="bi"/>
                          </m:rPr>
                          <w:rPr>
                            <w:rFonts w:ascii="Cambria Math" w:hAnsi="Cambria Math" w:cs="Times New Roman"/>
                          </w:rPr>
                          <m:t>xx</m:t>
                        </m:r>
                      </m:sub>
                    </m:sSub>
                  </m:e>
                </m:mr>
                <m:mr>
                  <m:e>
                    <m:sSub>
                      <m:sSubPr>
                        <m:ctrlPr>
                          <w:rPr>
                            <w:rFonts w:ascii="Cambria Math" w:hAnsi="Cambria Math" w:cs="Times New Roman"/>
                          </w:rPr>
                        </m:ctrlPr>
                      </m:sSubPr>
                      <m:e>
                        <m:r>
                          <m:rPr>
                            <m:sty m:val="bi"/>
                          </m:rPr>
                          <w:rPr>
                            <w:rFonts w:ascii="Cambria Math" w:hAnsi="Cambria Math" w:cs="Times New Roman"/>
                          </w:rPr>
                          <m:t>σ</m:t>
                        </m:r>
                      </m:e>
                      <m:sub>
                        <m:r>
                          <m:rPr>
                            <m:sty m:val="bi"/>
                          </m:rPr>
                          <w:rPr>
                            <w:rFonts w:ascii="Cambria Math" w:hAnsi="Cambria Math" w:cs="Times New Roman"/>
                          </w:rPr>
                          <m:t>yy</m:t>
                        </m:r>
                      </m:sub>
                    </m:sSub>
                  </m:e>
                </m:mr>
                <m:mr>
                  <m:e>
                    <m:sSub>
                      <m:sSubPr>
                        <m:ctrlPr>
                          <w:rPr>
                            <w:rFonts w:ascii="Cambria Math" w:hAnsi="Cambria Math" w:cs="Times New Roman"/>
                          </w:rPr>
                        </m:ctrlPr>
                      </m:sSubPr>
                      <m:e>
                        <m:r>
                          <m:rPr>
                            <m:sty m:val="bi"/>
                          </m:rPr>
                          <w:rPr>
                            <w:rFonts w:ascii="Cambria Math" w:hAnsi="Cambria Math" w:cs="Times New Roman"/>
                          </w:rPr>
                          <m:t>σ</m:t>
                        </m:r>
                      </m:e>
                      <m:sub>
                        <m:r>
                          <m:rPr>
                            <m:sty m:val="bi"/>
                          </m:rPr>
                          <w:rPr>
                            <w:rFonts w:ascii="Cambria Math" w:hAnsi="Cambria Math" w:cs="Times New Roman"/>
                          </w:rPr>
                          <m:t>xy</m:t>
                        </m:r>
                      </m:sub>
                    </m:sSub>
                  </m:e>
                </m:mr>
              </m:m>
            </m:e>
          </m:d>
          <m:r>
            <m:rPr>
              <m:sty m:val="b"/>
            </m:rPr>
            <w:rPr>
              <w:rFonts w:ascii="Cambria Math" w:hAnsi="Cambria Math" w:cs="Times New Roman"/>
            </w:rPr>
            <m:t xml:space="preserve">= </m:t>
          </m:r>
          <m:f>
            <m:fPr>
              <m:ctrlPr>
                <w:rPr>
                  <w:rFonts w:ascii="Cambria Math" w:hAnsi="Cambria Math" w:cs="Times New Roman"/>
                </w:rPr>
              </m:ctrlPr>
            </m:fPr>
            <m:num>
              <m:r>
                <m:rPr>
                  <m:sty m:val="bi"/>
                </m:rPr>
                <w:rPr>
                  <w:rFonts w:ascii="Cambria Math" w:hAnsi="Cambria Math" w:cs="Times New Roman"/>
                </w:rPr>
                <m:t>E</m:t>
              </m:r>
            </m:num>
            <m:den>
              <m:d>
                <m:dPr>
                  <m:ctrlPr>
                    <w:rPr>
                      <w:rFonts w:ascii="Cambria Math" w:hAnsi="Cambria Math" w:cs="Times New Roman"/>
                    </w:rPr>
                  </m:ctrlPr>
                </m:dPr>
                <m:e>
                  <m:r>
                    <m:rPr>
                      <m:sty m:val="b"/>
                    </m:rPr>
                    <w:rPr>
                      <w:rFonts w:ascii="Cambria Math" w:hAnsi="Cambria Math" w:cs="Times New Roman"/>
                    </w:rPr>
                    <m:t>1+</m:t>
                  </m:r>
                  <m:r>
                    <m:rPr>
                      <m:sty m:val="bi"/>
                    </m:rPr>
                    <w:rPr>
                      <w:rFonts w:ascii="Cambria Math" w:hAnsi="Cambria Math" w:cs="Times New Roman"/>
                    </w:rPr>
                    <m:t>v</m:t>
                  </m:r>
                </m:e>
              </m:d>
              <m:d>
                <m:dPr>
                  <m:ctrlPr>
                    <w:rPr>
                      <w:rFonts w:ascii="Cambria Math" w:hAnsi="Cambria Math" w:cs="Times New Roman"/>
                    </w:rPr>
                  </m:ctrlPr>
                </m:dPr>
                <m:e>
                  <m:r>
                    <m:rPr>
                      <m:sty m:val="b"/>
                    </m:rPr>
                    <w:rPr>
                      <w:rFonts w:ascii="Cambria Math" w:hAnsi="Cambria Math" w:cs="Times New Roman"/>
                    </w:rPr>
                    <m:t>1-2</m:t>
                  </m:r>
                  <m:r>
                    <m:rPr>
                      <m:sty m:val="bi"/>
                    </m:rPr>
                    <w:rPr>
                      <w:rFonts w:ascii="Cambria Math" w:hAnsi="Cambria Math" w:cs="Times New Roman"/>
                    </w:rPr>
                    <m:t>v</m:t>
                  </m:r>
                </m:e>
              </m:d>
            </m:den>
          </m:f>
          <m:d>
            <m:dPr>
              <m:begChr m:val="["/>
              <m:endChr m:val="]"/>
              <m:ctrlPr>
                <w:rPr>
                  <w:rFonts w:ascii="Cambria Math" w:hAnsi="Cambria Math" w:cs="Times New Roman"/>
                </w:rPr>
              </m:ctrlPr>
            </m:dPr>
            <m:e>
              <m:m>
                <m:mPr>
                  <m:mcs>
                    <m:mc>
                      <m:mcPr>
                        <m:count m:val="3"/>
                        <m:mcJc m:val="center"/>
                      </m:mcPr>
                    </m:mc>
                  </m:mcs>
                  <m:ctrlPr>
                    <w:rPr>
                      <w:rFonts w:ascii="Cambria Math" w:hAnsi="Cambria Math" w:cs="Times New Roman"/>
                    </w:rPr>
                  </m:ctrlPr>
                </m:mPr>
                <m:mr>
                  <m:e>
                    <m:d>
                      <m:dPr>
                        <m:ctrlPr>
                          <w:rPr>
                            <w:rFonts w:ascii="Cambria Math" w:hAnsi="Cambria Math" w:cs="Times New Roman"/>
                          </w:rPr>
                        </m:ctrlPr>
                      </m:dPr>
                      <m:e>
                        <m:r>
                          <m:rPr>
                            <m:sty m:val="b"/>
                          </m:rPr>
                          <w:rPr>
                            <w:rFonts w:ascii="Cambria Math" w:hAnsi="Cambria Math" w:cs="Times New Roman"/>
                          </w:rPr>
                          <m:t>1-</m:t>
                        </m:r>
                        <m:r>
                          <m:rPr>
                            <m:sty m:val="bi"/>
                          </m:rPr>
                          <w:rPr>
                            <w:rFonts w:ascii="Cambria Math" w:hAnsi="Cambria Math" w:cs="Times New Roman"/>
                          </w:rPr>
                          <m:t>v</m:t>
                        </m:r>
                      </m:e>
                    </m:d>
                  </m:e>
                  <m:e>
                    <m:r>
                      <m:rPr>
                        <m:sty m:val="bi"/>
                      </m:rPr>
                      <w:rPr>
                        <w:rFonts w:ascii="Cambria Math" w:hAnsi="Cambria Math" w:cs="Times New Roman"/>
                      </w:rPr>
                      <m:t>v</m:t>
                    </m:r>
                  </m:e>
                  <m:e>
                    <m:r>
                      <m:rPr>
                        <m:sty m:val="b"/>
                      </m:rPr>
                      <w:rPr>
                        <w:rFonts w:ascii="Cambria Math" w:hAnsi="Cambria Math" w:cs="Times New Roman"/>
                      </w:rPr>
                      <m:t>0</m:t>
                    </m:r>
                  </m:e>
                </m:mr>
                <m:mr>
                  <m:e>
                    <m:r>
                      <m:rPr>
                        <m:sty m:val="bi"/>
                      </m:rPr>
                      <w:rPr>
                        <w:rFonts w:ascii="Cambria Math" w:hAnsi="Cambria Math" w:cs="Times New Roman"/>
                      </w:rPr>
                      <m:t>v</m:t>
                    </m:r>
                  </m:e>
                  <m:e>
                    <m:d>
                      <m:dPr>
                        <m:ctrlPr>
                          <w:rPr>
                            <w:rFonts w:ascii="Cambria Math" w:hAnsi="Cambria Math" w:cs="Times New Roman"/>
                          </w:rPr>
                        </m:ctrlPr>
                      </m:dPr>
                      <m:e>
                        <m:r>
                          <m:rPr>
                            <m:sty m:val="b"/>
                          </m:rPr>
                          <w:rPr>
                            <w:rFonts w:ascii="Cambria Math" w:hAnsi="Cambria Math" w:cs="Times New Roman"/>
                          </w:rPr>
                          <m:t>1-</m:t>
                        </m:r>
                        <m:r>
                          <m:rPr>
                            <m:sty m:val="bi"/>
                          </m:rPr>
                          <w:rPr>
                            <w:rFonts w:ascii="Cambria Math" w:hAnsi="Cambria Math" w:cs="Times New Roman"/>
                          </w:rPr>
                          <m:t>v</m:t>
                        </m:r>
                      </m:e>
                    </m:d>
                  </m:e>
                  <m:e>
                    <m:r>
                      <m:rPr>
                        <m:sty m:val="b"/>
                      </m:rPr>
                      <w:rPr>
                        <w:rFonts w:ascii="Cambria Math" w:hAnsi="Cambria Math" w:cs="Times New Roman"/>
                      </w:rPr>
                      <m:t>0</m:t>
                    </m:r>
                  </m:e>
                </m:mr>
                <m:mr>
                  <m:e>
                    <m:r>
                      <m:rPr>
                        <m:sty m:val="b"/>
                      </m:rPr>
                      <w:rPr>
                        <w:rFonts w:ascii="Cambria Math" w:hAnsi="Cambria Math" w:cs="Times New Roman"/>
                      </w:rPr>
                      <m:t>0</m:t>
                    </m:r>
                  </m:e>
                  <m:e>
                    <m:r>
                      <m:rPr>
                        <m:sty m:val="b"/>
                      </m:rPr>
                      <w:rPr>
                        <w:rFonts w:ascii="Cambria Math" w:hAnsi="Cambria Math" w:cs="Times New Roman"/>
                      </w:rPr>
                      <m:t>0</m:t>
                    </m:r>
                  </m:e>
                  <m:e>
                    <m:d>
                      <m:dPr>
                        <m:ctrlPr>
                          <w:rPr>
                            <w:rFonts w:ascii="Cambria Math" w:hAnsi="Cambria Math" w:cs="Times New Roman"/>
                          </w:rPr>
                        </m:ctrlPr>
                      </m:dPr>
                      <m:e>
                        <m:r>
                          <m:rPr>
                            <m:sty m:val="b"/>
                          </m:rPr>
                          <w:rPr>
                            <w:rFonts w:ascii="Cambria Math" w:hAnsi="Cambria Math" w:cs="Times New Roman"/>
                          </w:rPr>
                          <m:t>1-2</m:t>
                        </m:r>
                        <m:r>
                          <m:rPr>
                            <m:sty m:val="bi"/>
                          </m:rPr>
                          <w:rPr>
                            <w:rFonts w:ascii="Cambria Math" w:hAnsi="Cambria Math" w:cs="Times New Roman"/>
                          </w:rPr>
                          <m:t>v</m:t>
                        </m:r>
                      </m:e>
                    </m:d>
                  </m:e>
                </m:mr>
              </m:m>
            </m:e>
          </m:d>
          <m:d>
            <m:dPr>
              <m:begChr m:val="["/>
              <m:endChr m:val="]"/>
              <m:ctrlPr>
                <w:rPr>
                  <w:rFonts w:ascii="Cambria Math" w:hAnsi="Cambria Math" w:cs="Times New Roman"/>
                </w:rPr>
              </m:ctrlPr>
            </m:dPr>
            <m:e>
              <m:m>
                <m:mPr>
                  <m:mcs>
                    <m:mc>
                      <m:mcPr>
                        <m:count m:val="1"/>
                        <m:mcJc m:val="center"/>
                      </m:mcPr>
                    </m:mc>
                  </m:mcs>
                  <m:ctrlPr>
                    <w:rPr>
                      <w:rFonts w:ascii="Cambria Math" w:hAnsi="Cambria Math" w:cs="Times New Roman"/>
                    </w:rPr>
                  </m:ctrlPr>
                </m:mPr>
                <m:mr>
                  <m:e>
                    <m:sSub>
                      <m:sSubPr>
                        <m:ctrlPr>
                          <w:rPr>
                            <w:rFonts w:ascii="Cambria Math" w:hAnsi="Cambria Math" w:cs="Times New Roman"/>
                          </w:rPr>
                        </m:ctrlPr>
                      </m:sSubPr>
                      <m:e>
                        <m:r>
                          <m:rPr>
                            <m:sty m:val="bi"/>
                          </m:rPr>
                          <w:rPr>
                            <w:rFonts w:ascii="Cambria Math" w:hAnsi="Cambria Math" w:cs="Times New Roman"/>
                          </w:rPr>
                          <m:t>ε</m:t>
                        </m:r>
                      </m:e>
                      <m:sub>
                        <m:r>
                          <m:rPr>
                            <m:sty m:val="bi"/>
                          </m:rPr>
                          <w:rPr>
                            <w:rFonts w:ascii="Cambria Math" w:hAnsi="Cambria Math" w:cs="Times New Roman"/>
                          </w:rPr>
                          <m:t>xx</m:t>
                        </m:r>
                      </m:sub>
                    </m:sSub>
                  </m:e>
                </m:mr>
                <m:mr>
                  <m:e>
                    <m:sSub>
                      <m:sSubPr>
                        <m:ctrlPr>
                          <w:rPr>
                            <w:rFonts w:ascii="Cambria Math" w:hAnsi="Cambria Math" w:cs="Times New Roman"/>
                          </w:rPr>
                        </m:ctrlPr>
                      </m:sSubPr>
                      <m:e>
                        <m:r>
                          <m:rPr>
                            <m:sty m:val="bi"/>
                          </m:rPr>
                          <w:rPr>
                            <w:rFonts w:ascii="Cambria Math" w:hAnsi="Cambria Math" w:cs="Times New Roman"/>
                          </w:rPr>
                          <m:t>ε</m:t>
                        </m:r>
                      </m:e>
                      <m:sub>
                        <m:r>
                          <m:rPr>
                            <m:sty m:val="bi"/>
                          </m:rPr>
                          <w:rPr>
                            <w:rFonts w:ascii="Cambria Math" w:hAnsi="Cambria Math" w:cs="Times New Roman"/>
                          </w:rPr>
                          <m:t>yy</m:t>
                        </m:r>
                      </m:sub>
                    </m:sSub>
                  </m:e>
                </m:mr>
                <m:mr>
                  <m:e>
                    <m:sSub>
                      <m:sSubPr>
                        <m:ctrlPr>
                          <w:rPr>
                            <w:rFonts w:ascii="Cambria Math" w:hAnsi="Cambria Math" w:cs="Times New Roman"/>
                          </w:rPr>
                        </m:ctrlPr>
                      </m:sSubPr>
                      <m:e>
                        <m:r>
                          <m:rPr>
                            <m:sty m:val="bi"/>
                          </m:rPr>
                          <w:rPr>
                            <w:rFonts w:ascii="Cambria Math" w:hAnsi="Cambria Math" w:cs="Times New Roman"/>
                          </w:rPr>
                          <m:t>ε</m:t>
                        </m:r>
                      </m:e>
                      <m:sub>
                        <m:r>
                          <m:rPr>
                            <m:sty m:val="bi"/>
                          </m:rPr>
                          <w:rPr>
                            <w:rFonts w:ascii="Cambria Math" w:hAnsi="Cambria Math" w:cs="Times New Roman"/>
                          </w:rPr>
                          <m:t>xy</m:t>
                        </m:r>
                      </m:sub>
                    </m:sSub>
                  </m:e>
                </m:mr>
              </m:m>
            </m:e>
          </m:d>
        </m:oMath>
      </m:oMathPara>
    </w:p>
    <w:p w14:paraId="51633987" w14:textId="3C393819" w:rsidR="007078C7" w:rsidRPr="005E432B" w:rsidRDefault="007078C7" w:rsidP="007078C7">
      <w:pPr>
        <w:spacing w:before="240"/>
        <w:jc w:val="both"/>
        <w:rPr>
          <w:rFonts w:ascii="Times New Roman" w:eastAsiaTheme="minorEastAsia" w:hAnsi="Times New Roman" w:cs="Times New Roman"/>
          <w:bCs/>
        </w:rPr>
      </w:pPr>
      <w:r w:rsidRPr="005E432B">
        <w:rPr>
          <w:rFonts w:ascii="Times New Roman" w:eastAsiaTheme="minorEastAsia" w:hAnsi="Times New Roman" w:cs="Times New Roman"/>
        </w:rPr>
        <w:t xml:space="preserve">Where </w:t>
      </w:r>
      <m:oMath>
        <m:r>
          <m:rPr>
            <m:sty m:val="bi"/>
          </m:rPr>
          <w:rPr>
            <w:rFonts w:ascii="Cambria Math" w:hAnsi="Cambria Math" w:cs="Times New Roman"/>
          </w:rPr>
          <m:t>E</m:t>
        </m:r>
      </m:oMath>
      <w:r w:rsidRPr="005E432B">
        <w:rPr>
          <w:rFonts w:ascii="Times New Roman" w:eastAsiaTheme="minorEastAsia" w:hAnsi="Times New Roman" w:cs="Times New Roman"/>
          <w:b/>
        </w:rPr>
        <w:t xml:space="preserve"> </w:t>
      </w:r>
      <w:r w:rsidRPr="005E432B">
        <w:rPr>
          <w:rFonts w:ascii="Times New Roman" w:eastAsiaTheme="minorEastAsia" w:hAnsi="Times New Roman" w:cs="Times New Roman"/>
          <w:bCs/>
        </w:rPr>
        <w:t xml:space="preserve">and </w:t>
      </w:r>
      <m:oMath>
        <m:r>
          <m:rPr>
            <m:sty m:val="bi"/>
          </m:rPr>
          <w:rPr>
            <w:rFonts w:ascii="Cambria Math" w:hAnsi="Cambria Math" w:cs="Times New Roman"/>
          </w:rPr>
          <m:t>v</m:t>
        </m:r>
      </m:oMath>
      <w:r w:rsidRPr="005E432B">
        <w:rPr>
          <w:rFonts w:ascii="Times New Roman" w:eastAsiaTheme="minorEastAsia" w:hAnsi="Times New Roman" w:cs="Times New Roman"/>
          <w:bCs/>
        </w:rPr>
        <w:t xml:space="preserve"> are the Young’s modulus and Poisson’s ratio, respectively.</w:t>
      </w:r>
    </w:p>
    <w:p w14:paraId="35DE617A" w14:textId="1E6E978D" w:rsidR="007078C7" w:rsidRPr="005E432B" w:rsidRDefault="007078C7" w:rsidP="007078C7">
      <w:pPr>
        <w:spacing w:before="240"/>
        <w:jc w:val="both"/>
        <w:rPr>
          <w:rFonts w:ascii="Times New Roman" w:eastAsiaTheme="minorEastAsia" w:hAnsi="Times New Roman" w:cs="Times New Roman"/>
          <w:bCs/>
        </w:rPr>
      </w:pPr>
      <w:r w:rsidRPr="005E432B">
        <w:rPr>
          <w:rFonts w:ascii="Times New Roman" w:eastAsiaTheme="minorEastAsia" w:hAnsi="Times New Roman" w:cs="Times New Roman"/>
          <w:bCs/>
        </w:rPr>
        <w:t>The strain tensor components are obtained through geodetic plate model of GSRMv2.1 by Kreemer et al. (2014) at coordinate 1.75°S and 120.90°E</w:t>
      </w:r>
      <w:r w:rsidR="005E432B" w:rsidRPr="005E432B">
        <w:rPr>
          <w:rFonts w:ascii="Times New Roman" w:eastAsiaTheme="minorEastAsia" w:hAnsi="Times New Roman" w:cs="Times New Roman"/>
          <w:bCs/>
        </w:rPr>
        <w:t xml:space="preserve"> (see Figure S1)</w:t>
      </w:r>
      <w:r w:rsidRPr="005E432B">
        <w:rPr>
          <w:rFonts w:ascii="Times New Roman" w:eastAsiaTheme="minorEastAsia" w:hAnsi="Times New Roman" w:cs="Times New Roman"/>
          <w:bCs/>
        </w:rPr>
        <w:t xml:space="preserve">. By assuming </w:t>
      </w:r>
      <m:oMath>
        <m:r>
          <m:rPr>
            <m:sty m:val="bi"/>
          </m:rPr>
          <w:rPr>
            <w:rFonts w:ascii="Cambria Math" w:hAnsi="Cambria Math" w:cs="Times New Roman"/>
          </w:rPr>
          <m:t>E</m:t>
        </m:r>
      </m:oMath>
      <w:r w:rsidRPr="005E432B">
        <w:rPr>
          <w:rFonts w:ascii="Times New Roman" w:eastAsiaTheme="minorEastAsia" w:hAnsi="Times New Roman" w:cs="Times New Roman"/>
          <w:b/>
        </w:rPr>
        <w:t xml:space="preserve"> </w:t>
      </w:r>
      <w:r w:rsidRPr="005E432B">
        <w:rPr>
          <w:rFonts w:ascii="Times New Roman" w:eastAsiaTheme="minorEastAsia" w:hAnsi="Times New Roman" w:cs="Times New Roman"/>
          <w:bCs/>
        </w:rPr>
        <w:t xml:space="preserve">is 80 GPa and </w:t>
      </w:r>
      <m:oMath>
        <m:r>
          <m:rPr>
            <m:sty m:val="bi"/>
          </m:rPr>
          <w:rPr>
            <w:rFonts w:ascii="Cambria Math" w:hAnsi="Cambria Math" w:cs="Times New Roman"/>
          </w:rPr>
          <m:t>v</m:t>
        </m:r>
      </m:oMath>
      <w:r w:rsidRPr="005E432B">
        <w:rPr>
          <w:rFonts w:ascii="Times New Roman" w:eastAsiaTheme="minorEastAsia" w:hAnsi="Times New Roman" w:cs="Times New Roman"/>
          <w:b/>
        </w:rPr>
        <w:t xml:space="preserve"> </w:t>
      </w:r>
      <w:r w:rsidRPr="005E432B">
        <w:rPr>
          <w:rFonts w:ascii="Times New Roman" w:eastAsiaTheme="minorEastAsia" w:hAnsi="Times New Roman" w:cs="Times New Roman"/>
          <w:bCs/>
        </w:rPr>
        <w:t>is 0.25, we g</w:t>
      </w:r>
      <w:r w:rsidR="00C53463" w:rsidRPr="005E432B">
        <w:rPr>
          <w:rFonts w:ascii="Times New Roman" w:eastAsiaTheme="minorEastAsia" w:hAnsi="Times New Roman" w:cs="Times New Roman"/>
          <w:bCs/>
        </w:rPr>
        <w:t>et the stress tensor components to be:</w:t>
      </w:r>
    </w:p>
    <w:p w14:paraId="4FA57BCC" w14:textId="1103899A" w:rsidR="00C53463" w:rsidRPr="005E432B" w:rsidRDefault="00000000" w:rsidP="00C53463">
      <w:pPr>
        <w:spacing w:before="240"/>
        <w:jc w:val="both"/>
        <w:rPr>
          <w:rFonts w:ascii="Times New Roman" w:eastAsiaTheme="minorEastAsia" w:hAnsi="Times New Roman" w:cs="Times New Roman"/>
          <w:sz w:val="18"/>
          <w:szCs w:val="18"/>
        </w:rPr>
      </w:pPr>
      <m:oMathPara>
        <m:oMath>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r>
                      <m:rPr>
                        <m:sty m:val="p"/>
                      </m:rPr>
                      <w:rPr>
                        <w:rFonts w:ascii="Cambria Math" w:hAnsi="Cambria Math" w:cs="Times New Roman"/>
                        <w:sz w:val="18"/>
                        <w:szCs w:val="18"/>
                      </w:rPr>
                      <m:t>-3.69 kPa</m:t>
                    </m:r>
                  </m:e>
                </m:mr>
                <m:mr>
                  <m:e>
                    <m:r>
                      <w:rPr>
                        <w:rFonts w:ascii="Cambria Math" w:hAnsi="Cambria Math" w:cs="Times New Roman"/>
                        <w:sz w:val="18"/>
                        <w:szCs w:val="18"/>
                      </w:rPr>
                      <m:t xml:space="preserve">6.31 </m:t>
                    </m:r>
                    <m:r>
                      <m:rPr>
                        <m:sty m:val="p"/>
                      </m:rPr>
                      <w:rPr>
                        <w:rFonts w:ascii="Cambria Math" w:hAnsi="Cambria Math" w:cs="Times New Roman"/>
                        <w:sz w:val="18"/>
                        <w:szCs w:val="18"/>
                      </w:rPr>
                      <m:t>kPa</m:t>
                    </m:r>
                  </m:e>
                </m:mr>
                <m:mr>
                  <m:e>
                    <m:r>
                      <w:rPr>
                        <w:rFonts w:ascii="Cambria Math" w:hAnsi="Cambria Math" w:cs="Times New Roman"/>
                        <w:sz w:val="18"/>
                        <w:szCs w:val="18"/>
                      </w:rPr>
                      <m:t xml:space="preserve">-0.97 </m:t>
                    </m:r>
                    <m:r>
                      <m:rPr>
                        <m:sty m:val="p"/>
                      </m:rPr>
                      <w:rPr>
                        <w:rFonts w:ascii="Cambria Math" w:hAnsi="Cambria Math" w:cs="Times New Roman"/>
                        <w:sz w:val="18"/>
                        <w:szCs w:val="18"/>
                      </w:rPr>
                      <m:t>kPa</m:t>
                    </m:r>
                  </m:e>
                </m:mr>
              </m:m>
            </m:e>
          </m:d>
          <m:r>
            <m:rPr>
              <m:sty m:val="b"/>
            </m:rPr>
            <w:rPr>
              <w:rFonts w:ascii="Cambria Math" w:hAnsi="Cambria Math" w:cs="Times New Roman"/>
              <w:sz w:val="18"/>
              <w:szCs w:val="18"/>
            </w:rPr>
            <m:t xml:space="preserve">= </m:t>
          </m:r>
          <m:f>
            <m:fPr>
              <m:ctrlPr>
                <w:rPr>
                  <w:rFonts w:ascii="Cambria Math" w:hAnsi="Cambria Math" w:cs="Times New Roman"/>
                  <w:sz w:val="18"/>
                  <w:szCs w:val="18"/>
                </w:rPr>
              </m:ctrlPr>
            </m:fPr>
            <m:num>
              <m:r>
                <m:rPr>
                  <m:sty m:val="bi"/>
                </m:rPr>
                <w:rPr>
                  <w:rFonts w:ascii="Cambria Math" w:hAnsi="Cambria Math" w:cs="Times New Roman"/>
                  <w:sz w:val="18"/>
                  <w:szCs w:val="18"/>
                </w:rPr>
                <m:t>80 GPa</m:t>
              </m:r>
            </m:num>
            <m:den>
              <m:d>
                <m:dPr>
                  <m:ctrlPr>
                    <w:rPr>
                      <w:rFonts w:ascii="Cambria Math" w:hAnsi="Cambria Math" w:cs="Times New Roman"/>
                      <w:sz w:val="18"/>
                      <w:szCs w:val="18"/>
                    </w:rPr>
                  </m:ctrlPr>
                </m:dPr>
                <m:e>
                  <m:r>
                    <m:rPr>
                      <m:sty m:val="b"/>
                    </m:rPr>
                    <w:rPr>
                      <w:rFonts w:ascii="Cambria Math" w:hAnsi="Cambria Math" w:cs="Times New Roman"/>
                      <w:sz w:val="18"/>
                      <w:szCs w:val="18"/>
                    </w:rPr>
                    <m:t>1+</m:t>
                  </m:r>
                  <m:r>
                    <m:rPr>
                      <m:sty m:val="bi"/>
                    </m:rPr>
                    <w:rPr>
                      <w:rFonts w:ascii="Cambria Math" w:hAnsi="Cambria Math" w:cs="Times New Roman"/>
                      <w:sz w:val="18"/>
                      <w:szCs w:val="18"/>
                    </w:rPr>
                    <m:t>0.25</m:t>
                  </m:r>
                </m:e>
              </m:d>
              <m:d>
                <m:dPr>
                  <m:ctrlPr>
                    <w:rPr>
                      <w:rFonts w:ascii="Cambria Math" w:hAnsi="Cambria Math" w:cs="Times New Roman"/>
                      <w:sz w:val="18"/>
                      <w:szCs w:val="18"/>
                    </w:rPr>
                  </m:ctrlPr>
                </m:dPr>
                <m:e>
                  <m:r>
                    <m:rPr>
                      <m:sty m:val="b"/>
                    </m:rPr>
                    <w:rPr>
                      <w:rFonts w:ascii="Cambria Math" w:hAnsi="Cambria Math" w:cs="Times New Roman"/>
                      <w:sz w:val="18"/>
                      <w:szCs w:val="18"/>
                    </w:rPr>
                    <m:t>1-2*0.25</m:t>
                  </m:r>
                </m:e>
              </m:d>
            </m:den>
          </m:f>
          <m:d>
            <m:dPr>
              <m:begChr m:val="["/>
              <m:endChr m:val="]"/>
              <m:ctrlPr>
                <w:rPr>
                  <w:rFonts w:ascii="Cambria Math" w:hAnsi="Cambria Math" w:cs="Times New Roman"/>
                  <w:sz w:val="18"/>
                  <w:szCs w:val="18"/>
                </w:rPr>
              </m:ctrlPr>
            </m:dPr>
            <m:e>
              <m:m>
                <m:mPr>
                  <m:mcs>
                    <m:mc>
                      <m:mcPr>
                        <m:count m:val="3"/>
                        <m:mcJc m:val="center"/>
                      </m:mcPr>
                    </m:mc>
                  </m:mcs>
                  <m:ctrlPr>
                    <w:rPr>
                      <w:rFonts w:ascii="Cambria Math" w:hAnsi="Cambria Math" w:cs="Times New Roman"/>
                      <w:sz w:val="18"/>
                      <w:szCs w:val="18"/>
                    </w:rPr>
                  </m:ctrlPr>
                </m:mPr>
                <m:mr>
                  <m:e>
                    <m:d>
                      <m:dPr>
                        <m:ctrlPr>
                          <w:rPr>
                            <w:rFonts w:ascii="Cambria Math" w:hAnsi="Cambria Math" w:cs="Times New Roman"/>
                            <w:sz w:val="18"/>
                            <w:szCs w:val="18"/>
                          </w:rPr>
                        </m:ctrlPr>
                      </m:dPr>
                      <m:e>
                        <m:r>
                          <m:rPr>
                            <m:sty m:val="b"/>
                          </m:rPr>
                          <w:rPr>
                            <w:rFonts w:ascii="Cambria Math" w:hAnsi="Cambria Math" w:cs="Times New Roman"/>
                            <w:sz w:val="18"/>
                            <w:szCs w:val="18"/>
                          </w:rPr>
                          <m:t>1-</m:t>
                        </m:r>
                        <m:r>
                          <m:rPr>
                            <m:sty m:val="bi"/>
                          </m:rPr>
                          <w:rPr>
                            <w:rFonts w:ascii="Cambria Math" w:hAnsi="Cambria Math" w:cs="Times New Roman"/>
                            <w:sz w:val="18"/>
                            <w:szCs w:val="18"/>
                          </w:rPr>
                          <m:t>0.25</m:t>
                        </m:r>
                      </m:e>
                    </m:d>
                  </m:e>
                  <m:e>
                    <m:r>
                      <m:rPr>
                        <m:sty m:val="bi"/>
                      </m:rPr>
                      <w:rPr>
                        <w:rFonts w:ascii="Cambria Math" w:hAnsi="Cambria Math" w:cs="Times New Roman"/>
                        <w:sz w:val="18"/>
                        <w:szCs w:val="18"/>
                      </w:rPr>
                      <m:t>0.25</m:t>
                    </m:r>
                  </m:e>
                  <m:e>
                    <m:r>
                      <m:rPr>
                        <m:sty m:val="b"/>
                      </m:rPr>
                      <w:rPr>
                        <w:rFonts w:ascii="Cambria Math" w:hAnsi="Cambria Math" w:cs="Times New Roman"/>
                        <w:sz w:val="18"/>
                        <w:szCs w:val="18"/>
                      </w:rPr>
                      <m:t>0</m:t>
                    </m:r>
                  </m:e>
                </m:mr>
                <m:mr>
                  <m:e>
                    <m:r>
                      <m:rPr>
                        <m:sty m:val="bi"/>
                      </m:rPr>
                      <w:rPr>
                        <w:rFonts w:ascii="Cambria Math" w:hAnsi="Cambria Math" w:cs="Times New Roman"/>
                        <w:sz w:val="18"/>
                        <w:szCs w:val="18"/>
                      </w:rPr>
                      <m:t>0.25</m:t>
                    </m:r>
                  </m:e>
                  <m:e>
                    <m:d>
                      <m:dPr>
                        <m:ctrlPr>
                          <w:rPr>
                            <w:rFonts w:ascii="Cambria Math" w:hAnsi="Cambria Math" w:cs="Times New Roman"/>
                            <w:sz w:val="18"/>
                            <w:szCs w:val="18"/>
                          </w:rPr>
                        </m:ctrlPr>
                      </m:dPr>
                      <m:e>
                        <m:r>
                          <m:rPr>
                            <m:sty m:val="b"/>
                          </m:rPr>
                          <w:rPr>
                            <w:rFonts w:ascii="Cambria Math" w:hAnsi="Cambria Math" w:cs="Times New Roman"/>
                            <w:sz w:val="18"/>
                            <w:szCs w:val="18"/>
                          </w:rPr>
                          <m:t>1-</m:t>
                        </m:r>
                        <m:r>
                          <m:rPr>
                            <m:sty m:val="bi"/>
                          </m:rPr>
                          <w:rPr>
                            <w:rFonts w:ascii="Cambria Math" w:hAnsi="Cambria Math" w:cs="Times New Roman"/>
                            <w:sz w:val="18"/>
                            <w:szCs w:val="18"/>
                          </w:rPr>
                          <m:t>0.25</m:t>
                        </m:r>
                      </m:e>
                    </m:d>
                  </m:e>
                  <m:e>
                    <m:r>
                      <m:rPr>
                        <m:sty m:val="b"/>
                      </m:rPr>
                      <w:rPr>
                        <w:rFonts w:ascii="Cambria Math" w:hAnsi="Cambria Math" w:cs="Times New Roman"/>
                        <w:sz w:val="18"/>
                        <w:szCs w:val="18"/>
                      </w:rPr>
                      <m:t>0</m:t>
                    </m:r>
                  </m:e>
                </m:mr>
                <m:mr>
                  <m:e>
                    <m:r>
                      <m:rPr>
                        <m:sty m:val="b"/>
                      </m:rPr>
                      <w:rPr>
                        <w:rFonts w:ascii="Cambria Math" w:hAnsi="Cambria Math" w:cs="Times New Roman"/>
                        <w:sz w:val="18"/>
                        <w:szCs w:val="18"/>
                      </w:rPr>
                      <m:t>0</m:t>
                    </m:r>
                  </m:e>
                  <m:e>
                    <m:r>
                      <m:rPr>
                        <m:sty m:val="b"/>
                      </m:rPr>
                      <w:rPr>
                        <w:rFonts w:ascii="Cambria Math" w:hAnsi="Cambria Math" w:cs="Times New Roman"/>
                        <w:sz w:val="18"/>
                        <w:szCs w:val="18"/>
                      </w:rPr>
                      <m:t>0</m:t>
                    </m:r>
                  </m:e>
                  <m:e>
                    <m:d>
                      <m:dPr>
                        <m:ctrlPr>
                          <w:rPr>
                            <w:rFonts w:ascii="Cambria Math" w:hAnsi="Cambria Math" w:cs="Times New Roman"/>
                            <w:sz w:val="18"/>
                            <w:szCs w:val="18"/>
                          </w:rPr>
                        </m:ctrlPr>
                      </m:dPr>
                      <m:e>
                        <m:r>
                          <m:rPr>
                            <m:sty m:val="b"/>
                          </m:rPr>
                          <w:rPr>
                            <w:rFonts w:ascii="Cambria Math" w:hAnsi="Cambria Math" w:cs="Times New Roman"/>
                            <w:sz w:val="18"/>
                            <w:szCs w:val="18"/>
                          </w:rPr>
                          <m:t>1-2</m:t>
                        </m:r>
                        <m:r>
                          <m:rPr>
                            <m:sty m:val="bi"/>
                          </m:rPr>
                          <w:rPr>
                            <w:rFonts w:ascii="Cambria Math" w:hAnsi="Cambria Math" w:cs="Times New Roman"/>
                            <w:sz w:val="18"/>
                            <w:szCs w:val="18"/>
                          </w:rPr>
                          <m:t>*0.25</m:t>
                        </m:r>
                      </m:e>
                    </m:d>
                  </m:e>
                </m:mr>
              </m:m>
            </m:e>
          </m:d>
          <m:d>
            <m:dPr>
              <m:begChr m:val="["/>
              <m:endChr m:val="]"/>
              <m:ctrlPr>
                <w:rPr>
                  <w:rFonts w:ascii="Cambria Math" w:hAnsi="Cambria Math" w:cs="Times New Roman"/>
                  <w:sz w:val="18"/>
                  <w:szCs w:val="18"/>
                </w:rPr>
              </m:ctrlPr>
            </m:dPr>
            <m:e>
              <m:m>
                <m:mPr>
                  <m:mcs>
                    <m:mc>
                      <m:mcPr>
                        <m:count m:val="1"/>
                        <m:mcJc m:val="center"/>
                      </m:mcPr>
                    </m:mc>
                  </m:mcs>
                  <m:ctrlPr>
                    <w:rPr>
                      <w:rFonts w:ascii="Cambria Math" w:hAnsi="Cambria Math" w:cs="Times New Roman"/>
                      <w:sz w:val="18"/>
                      <w:szCs w:val="18"/>
                    </w:rPr>
                  </m:ctrlPr>
                </m:mPr>
                <m:mr>
                  <m:e>
                    <m:r>
                      <m:rPr>
                        <m:sty m:val="p"/>
                      </m:rPr>
                      <w:rPr>
                        <w:rFonts w:ascii="Cambria Math" w:hAnsi="Cambria Math" w:cs="Times New Roman"/>
                        <w:sz w:val="18"/>
                        <w:szCs w:val="18"/>
                      </w:rPr>
                      <m:t>-67.9 nanostrain</m:t>
                    </m:r>
                  </m:e>
                </m:mr>
                <m:mr>
                  <m:e>
                    <m:r>
                      <w:rPr>
                        <w:rFonts w:ascii="Cambria Math" w:hAnsi="Cambria Math" w:cs="Times New Roman"/>
                        <w:sz w:val="18"/>
                        <w:szCs w:val="18"/>
                      </w:rPr>
                      <m:t xml:space="preserve">88.4 </m:t>
                    </m:r>
                    <m:r>
                      <m:rPr>
                        <m:sty m:val="p"/>
                      </m:rPr>
                      <w:rPr>
                        <w:rFonts w:ascii="Cambria Math" w:hAnsi="Cambria Math" w:cs="Times New Roman"/>
                        <w:sz w:val="18"/>
                        <w:szCs w:val="18"/>
                      </w:rPr>
                      <m:t>nanostrain</m:t>
                    </m:r>
                  </m:e>
                </m:mr>
                <m:mr>
                  <m:e>
                    <m:r>
                      <m:rPr>
                        <m:sty m:val="p"/>
                      </m:rPr>
                      <w:rPr>
                        <w:rFonts w:ascii="Cambria Math" w:hAnsi="Cambria Math" w:cs="Times New Roman"/>
                        <w:sz w:val="18"/>
                        <w:szCs w:val="18"/>
                      </w:rPr>
                      <m:t>-15.1 nanostrain</m:t>
                    </m:r>
                  </m:e>
                </m:mr>
              </m:m>
            </m:e>
          </m:d>
        </m:oMath>
      </m:oMathPara>
    </w:p>
    <w:p w14:paraId="2F482BC9" w14:textId="7B140728" w:rsidR="00C53463" w:rsidRPr="005E432B" w:rsidRDefault="00C53463" w:rsidP="007078C7">
      <w:pPr>
        <w:spacing w:before="240"/>
        <w:jc w:val="both"/>
        <w:rPr>
          <w:rFonts w:ascii="Times New Roman" w:hAnsi="Times New Roman" w:cs="Times New Roman"/>
          <w:bCs/>
        </w:rPr>
      </w:pPr>
      <w:r w:rsidRPr="005E432B">
        <w:rPr>
          <w:rFonts w:ascii="Times New Roman" w:hAnsi="Times New Roman" w:cs="Times New Roman"/>
          <w:bCs/>
        </w:rPr>
        <w:t>The stress tensor components are then evaluated to generate its principal stresses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2</m:t>
            </m:r>
          </m:sub>
        </m:sSub>
      </m:oMath>
      <w:r w:rsidRPr="005E432B">
        <w:rPr>
          <w:rFonts w:ascii="Times New Roman" w:eastAsiaTheme="minorEastAsia" w:hAnsi="Times New Roman" w:cs="Times New Roman"/>
        </w:rPr>
        <w:t>)</w:t>
      </w:r>
      <w:r w:rsidRPr="005E432B">
        <w:rPr>
          <w:rFonts w:ascii="Times New Roman" w:hAnsi="Times New Roman" w:cs="Times New Roman"/>
          <w:bCs/>
        </w:rPr>
        <w:t xml:space="preserve"> by determining its eigenvalues. Then we compute the normal and shear stress changes using Coulomb-failure criterion using the equation as follow:</w:t>
      </w:r>
    </w:p>
    <w:p w14:paraId="204D70C0" w14:textId="5EB0D650" w:rsidR="00C53463" w:rsidRPr="005E432B" w:rsidRDefault="00000000" w:rsidP="00C53463">
      <w:pPr>
        <w:spacing w:after="0"/>
        <w:jc w:val="both"/>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m:t>
              </m:r>
            </m:sub>
          </m:sSub>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2</m:t>
                  </m:r>
                </m:sub>
              </m:sSub>
            </m:e>
          </m:d>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2</m:t>
                  </m:r>
                </m:sub>
              </m:sSub>
            </m:e>
          </m:d>
          <m:r>
            <w:rPr>
              <w:rFonts w:ascii="Cambria Math" w:hAnsi="Cambria Math" w:cs="Times New Roman"/>
            </w:rPr>
            <m:t>cos2θ</m:t>
          </m:r>
        </m:oMath>
      </m:oMathPara>
    </w:p>
    <w:p w14:paraId="1187118E" w14:textId="4EED5D86" w:rsidR="00C53463" w:rsidRPr="005E432B" w:rsidRDefault="00000000" w:rsidP="00C53463">
      <w:pPr>
        <w:spacing w:after="0"/>
        <w:jc w:val="both"/>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m:t>
              </m:r>
            </m:sub>
          </m:sSub>
          <m:r>
            <w:rPr>
              <w:rFonts w:ascii="Cambria Math" w:hAnsi="Cambria Math" w:cs="Times New Roman"/>
            </w:rPr>
            <m:t xml:space="preserve">= </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2</m:t>
                  </m:r>
                </m:sub>
              </m:sSub>
            </m:e>
          </m:d>
          <m:r>
            <w:rPr>
              <w:rFonts w:ascii="Cambria Math" w:hAnsi="Cambria Math" w:cs="Times New Roman"/>
            </w:rPr>
            <m:t>sin2θ</m:t>
          </m:r>
        </m:oMath>
      </m:oMathPara>
    </w:p>
    <w:p w14:paraId="38615FAD" w14:textId="5AC040F3" w:rsidR="00C53463" w:rsidRPr="00EF67E7" w:rsidRDefault="00C53463" w:rsidP="00C53463">
      <w:pPr>
        <w:spacing w:after="0"/>
        <w:jc w:val="both"/>
        <w:rPr>
          <w:rFonts w:ascii="Times New Roman" w:eastAsiaTheme="minorEastAsia" w:hAnsi="Times New Roman" w:cs="Times New Roman"/>
          <w:lang w:val="en-US"/>
        </w:rPr>
      </w:pPr>
      <w:r w:rsidRPr="005E432B">
        <w:rPr>
          <w:rFonts w:ascii="Times New Roman" w:eastAsiaTheme="minorEastAsia" w:hAnsi="Times New Roman" w:cs="Times New Roman"/>
        </w:rPr>
        <w:t xml:space="preserve">Where </w:t>
      </w:r>
      <m:oMath>
        <m:r>
          <w:rPr>
            <w:rFonts w:ascii="Cambria Math" w:hAnsi="Cambria Math" w:cs="Times New Roman"/>
          </w:rPr>
          <m:t>θ</m:t>
        </m:r>
      </m:oMath>
      <w:r w:rsidR="00593E33" w:rsidRPr="005E432B">
        <w:rPr>
          <w:rFonts w:ascii="Times New Roman" w:eastAsiaTheme="minorEastAsia" w:hAnsi="Times New Roman" w:cs="Times New Roman"/>
        </w:rPr>
        <w:t xml:space="preserve"> is the angle between the direction of the surface normal on a plane and the orientation of the maximum principal stress.</w:t>
      </w:r>
      <w:r w:rsidRPr="005E432B">
        <w:rPr>
          <w:rFonts w:ascii="Times New Roman" w:eastAsiaTheme="minorEastAsia" w:hAnsi="Times New Roman" w:cs="Times New Roman"/>
        </w:rPr>
        <w:t xml:space="preserve"> </w:t>
      </w:r>
      <w:r w:rsidRPr="005E432B">
        <w:rPr>
          <w:rFonts w:ascii="Times New Roman" w:eastAsiaTheme="minorEastAsia" w:hAnsi="Times New Roman" w:cs="Times New Roman"/>
          <w:lang w:val="en-US"/>
        </w:rPr>
        <w:t xml:space="preserve">Where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m:t>
            </m:r>
          </m:sub>
        </m:sSub>
      </m:oMath>
      <w:r w:rsidRPr="005E432B">
        <w:rPr>
          <w:rFonts w:ascii="Times New Roman" w:eastAsiaTheme="minorEastAsia" w:hAnsi="Times New Roman" w:cs="Times New Roman"/>
        </w:rPr>
        <w:t xml:space="preserve"> </w:t>
      </w:r>
      <w:r w:rsidR="00593E33" w:rsidRPr="005E432B">
        <w:rPr>
          <w:rFonts w:ascii="Times New Roman" w:eastAsiaTheme="minorEastAsia" w:hAnsi="Times New Roman" w:cs="Times New Roman"/>
        </w:rPr>
        <w:t xml:space="preserve">and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m:t>
            </m:r>
          </m:sub>
        </m:sSub>
      </m:oMath>
      <w:r w:rsidR="00593E33" w:rsidRPr="005E432B">
        <w:rPr>
          <w:rFonts w:ascii="Times New Roman" w:eastAsiaTheme="minorEastAsia" w:hAnsi="Times New Roman" w:cs="Times New Roman"/>
        </w:rPr>
        <w:t xml:space="preserve"> are normal and stress stresses, respectively. From these equations we get </w:t>
      </w:r>
      <m:oMath>
        <m:d>
          <m:dPr>
            <m:begChr m:val="["/>
            <m:endChr m:val="]"/>
            <m:ctrlPr>
              <w:rPr>
                <w:rFonts w:ascii="Cambria Math" w:eastAsiaTheme="minorEastAsia" w:hAnsi="Cambria Math" w:cs="Times New Roman"/>
                <w:i/>
              </w:rPr>
            </m:ctrlPr>
          </m:dPr>
          <m:e>
            <m:eqArr>
              <m:eqArrPr>
                <m:ctrlPr>
                  <w:rPr>
                    <w:rFonts w:ascii="Cambria Math" w:eastAsiaTheme="minorEastAsia" w:hAnsi="Cambria Math" w:cs="Times New Roman"/>
                    <w:i/>
                  </w:rPr>
                </m:ctrlPr>
              </m:eqArr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N</m:t>
                    </m:r>
                  </m:sub>
                </m:sSub>
              </m:e>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s</m:t>
                    </m:r>
                  </m:sub>
                </m:sSub>
              </m:e>
            </m:eqArr>
          </m:e>
        </m:d>
        <m:r>
          <w:rPr>
            <w:rFonts w:ascii="Cambria Math" w:eastAsiaTheme="minorEastAsia" w:hAnsi="Cambria Math" w:cs="Times New Roman"/>
          </w:rPr>
          <m:t>=</m:t>
        </m:r>
        <m:d>
          <m:dPr>
            <m:begChr m:val="["/>
            <m:endChr m:val="]"/>
            <m:ctrlPr>
              <w:rPr>
                <w:rFonts w:ascii="Cambria Math" w:eastAsiaTheme="minorEastAsia" w:hAnsi="Cambria Math" w:cs="Times New Roman"/>
                <w:i/>
              </w:rPr>
            </m:ctrlPr>
          </m:dPr>
          <m:e>
            <m:eqArr>
              <m:eqArrPr>
                <m:ctrlPr>
                  <w:rPr>
                    <w:rFonts w:ascii="Cambria Math" w:eastAsiaTheme="minorEastAsia" w:hAnsi="Cambria Math" w:cs="Times New Roman"/>
                    <w:i/>
                  </w:rPr>
                </m:ctrlPr>
              </m:eqArrPr>
              <m:e>
                <m:r>
                  <w:rPr>
                    <w:rFonts w:ascii="Cambria Math" w:hAnsi="Cambria Math" w:cs="Times New Roman"/>
                  </w:rPr>
                  <m:t>6.13 kPa</m:t>
                </m:r>
              </m:e>
              <m:e>
                <m:r>
                  <w:rPr>
                    <w:rFonts w:ascii="Cambria Math" w:hAnsi="Cambria Math" w:cs="Times New Roman"/>
                  </w:rPr>
                  <m:t>-0.017 kPa</m:t>
                </m:r>
              </m:e>
            </m:eqArr>
          </m:e>
        </m:d>
      </m:oMath>
      <w:r w:rsidR="005E432B" w:rsidRPr="005E432B">
        <w:rPr>
          <w:rFonts w:ascii="Times New Roman" w:eastAsiaTheme="minorEastAsia" w:hAnsi="Times New Roman" w:cs="Times New Roman"/>
        </w:rPr>
        <w:t xml:space="preserve"> and assuming </w:t>
      </w:r>
      <m:oMath>
        <m:r>
          <w:rPr>
            <w:rFonts w:ascii="Cambria Math" w:eastAsiaTheme="minorEastAsia" w:hAnsi="Cambria Math" w:cs="Times New Roman"/>
          </w:rPr>
          <m:t>μ'</m:t>
        </m:r>
      </m:oMath>
      <w:r w:rsidR="005E432B" w:rsidRPr="005E432B">
        <w:rPr>
          <w:rFonts w:ascii="Times New Roman" w:eastAsiaTheme="minorEastAsia" w:hAnsi="Times New Roman" w:cs="Times New Roman"/>
        </w:rPr>
        <w:t xml:space="preserve"> is 0.4, the tectonic stress rate is ~2.4 kPa.</w:t>
      </w:r>
    </w:p>
    <w:p w14:paraId="52ADEC7D" w14:textId="4DA0996C" w:rsidR="00553A5C" w:rsidRPr="005E432B" w:rsidRDefault="007078C7" w:rsidP="005E432B">
      <w:pPr>
        <w:spacing w:after="0"/>
        <w:jc w:val="center"/>
        <w:rPr>
          <w:rFonts w:ascii="Times New Roman" w:hAnsi="Times New Roman" w:cs="Times New Roman"/>
        </w:rPr>
      </w:pPr>
      <w:r w:rsidRPr="005E432B">
        <w:rPr>
          <w:rFonts w:ascii="Times New Roman" w:hAnsi="Times New Roman" w:cs="Times New Roman"/>
          <w:noProof/>
        </w:rPr>
        <w:drawing>
          <wp:inline distT="0" distB="0" distL="0" distR="0" wp14:anchorId="5D1FD163" wp14:editId="0B299E42">
            <wp:extent cx="3942110" cy="2905125"/>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350" t="2133" r="11950"/>
                    <a:stretch/>
                  </pic:blipFill>
                  <pic:spPr bwMode="auto">
                    <a:xfrm>
                      <a:off x="0" y="0"/>
                      <a:ext cx="4116627" cy="3033735"/>
                    </a:xfrm>
                    <a:prstGeom prst="rect">
                      <a:avLst/>
                    </a:prstGeom>
                    <a:noFill/>
                    <a:ln>
                      <a:noFill/>
                    </a:ln>
                    <a:extLst>
                      <a:ext uri="{53640926-AAD7-44D8-BBD7-CCE9431645EC}">
                        <a14:shadowObscured xmlns:a14="http://schemas.microsoft.com/office/drawing/2010/main"/>
                      </a:ext>
                    </a:extLst>
                  </pic:spPr>
                </pic:pic>
              </a:graphicData>
            </a:graphic>
          </wp:inline>
        </w:drawing>
      </w:r>
    </w:p>
    <w:p w14:paraId="6C7109AE" w14:textId="56A8F5A9" w:rsidR="008E1532" w:rsidRPr="005E432B" w:rsidRDefault="004C79F2" w:rsidP="007B4160">
      <w:pPr>
        <w:jc w:val="both"/>
        <w:rPr>
          <w:rFonts w:ascii="Times New Roman" w:hAnsi="Times New Roman" w:cs="Times New Roman"/>
        </w:rPr>
      </w:pPr>
      <w:r w:rsidRPr="005E432B">
        <w:rPr>
          <w:rFonts w:ascii="Times New Roman" w:hAnsi="Times New Roman" w:cs="Times New Roman"/>
        </w:rPr>
        <w:t xml:space="preserve">Figure S1. </w:t>
      </w:r>
      <w:r w:rsidR="005E432B" w:rsidRPr="005E432B">
        <w:rPr>
          <w:rFonts w:ascii="Times New Roman" w:hAnsi="Times New Roman" w:cs="Times New Roman"/>
        </w:rPr>
        <w:t>The point observation of strain rate used to calculate tectonic stress rate indicated by red circle</w:t>
      </w:r>
      <w:r w:rsidRPr="005E432B">
        <w:rPr>
          <w:rFonts w:ascii="Times New Roman" w:hAnsi="Times New Roman" w:cs="Times New Roman"/>
        </w:rPr>
        <w:t>.</w:t>
      </w:r>
      <w:r w:rsidR="005E432B" w:rsidRPr="005E432B">
        <w:rPr>
          <w:rFonts w:ascii="Times New Roman" w:hAnsi="Times New Roman" w:cs="Times New Roman"/>
        </w:rPr>
        <w:t xml:space="preserve"> The red boxes near the red circle are the azimuth of strain and stress from calculated eigenvectors. </w:t>
      </w:r>
      <w:r w:rsidR="005E432B" w:rsidRPr="005E432B">
        <w:rPr>
          <w:rFonts w:ascii="Times New Roman" w:eastAsiaTheme="minorEastAsia" w:hAnsi="Times New Roman" w:cs="Times New Roman"/>
        </w:rPr>
        <w:t>The inset box shows the Island of Sulawesi with the focus study area indicated by red box</w:t>
      </w:r>
      <w:r w:rsidR="00EF67E7">
        <w:rPr>
          <w:rFonts w:ascii="Times New Roman" w:eastAsiaTheme="minorEastAsia" w:hAnsi="Times New Roman" w:cs="Times New Roman"/>
        </w:rPr>
        <w:t>.</w:t>
      </w:r>
    </w:p>
    <w:p w14:paraId="70D9E228" w14:textId="69DC365C" w:rsidR="00B21F8F" w:rsidRDefault="005E432B" w:rsidP="005E432B">
      <w:pPr>
        <w:spacing w:after="0"/>
        <w:jc w:val="center"/>
        <w:rPr>
          <w:rFonts w:ascii="Times New Roman" w:hAnsi="Times New Roman" w:cs="Times New Roman"/>
        </w:rPr>
      </w:pPr>
      <w:r>
        <w:rPr>
          <w:noProof/>
        </w:rPr>
        <w:lastRenderedPageBreak/>
        <w:drawing>
          <wp:inline distT="0" distB="0" distL="0" distR="0" wp14:anchorId="3E47DA5F" wp14:editId="0E3A0D2F">
            <wp:extent cx="5056047" cy="4044950"/>
            <wp:effectExtent l="0" t="0" r="0" b="0"/>
            <wp:docPr id="106092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6809" cy="4053560"/>
                    </a:xfrm>
                    <a:prstGeom prst="rect">
                      <a:avLst/>
                    </a:prstGeom>
                    <a:noFill/>
                    <a:ln>
                      <a:noFill/>
                    </a:ln>
                  </pic:spPr>
                </pic:pic>
              </a:graphicData>
            </a:graphic>
          </wp:inline>
        </w:drawing>
      </w:r>
    </w:p>
    <w:p w14:paraId="1EDA26EF" w14:textId="372F14EE" w:rsidR="005E432B" w:rsidRPr="005E432B" w:rsidRDefault="005E432B" w:rsidP="005E432B">
      <w:pPr>
        <w:jc w:val="both"/>
        <w:rPr>
          <w:rFonts w:ascii="Times New Roman" w:hAnsi="Times New Roman" w:cs="Times New Roman"/>
        </w:rPr>
      </w:pPr>
      <w:r>
        <w:rPr>
          <w:rFonts w:ascii="Times New Roman" w:hAnsi="Times New Roman" w:cs="Times New Roman"/>
        </w:rPr>
        <w:t xml:space="preserve">Figure S2. </w:t>
      </w:r>
      <w:r>
        <w:rPr>
          <w:rFonts w:eastAsiaTheme="minorEastAsia" w:cstheme="minorHAnsi"/>
        </w:rPr>
        <w:t xml:space="preserve">ΔCFS time function on each Poso fault segment using </w:t>
      </w:r>
      <m:oMath>
        <m:sSup>
          <m:sSupPr>
            <m:ctrlPr>
              <w:rPr>
                <w:rFonts w:ascii="Cambria Math" w:eastAsiaTheme="minorEastAsia" w:hAnsi="Cambria Math" w:cstheme="minorHAnsi"/>
                <w:i/>
              </w:rPr>
            </m:ctrlPr>
          </m:sSupPr>
          <m:e>
            <m:r>
              <w:rPr>
                <w:rFonts w:ascii="Cambria Math" w:eastAsiaTheme="minorEastAsia" w:hAnsi="Cambria Math" w:cstheme="minorHAnsi"/>
              </w:rPr>
              <m:t>μ</m:t>
            </m:r>
          </m:e>
          <m:sup>
            <m:r>
              <w:rPr>
                <w:rFonts w:ascii="Cambria Math" w:eastAsiaTheme="minorEastAsia" w:hAnsi="Cambria Math" w:cstheme="minorHAnsi"/>
              </w:rPr>
              <m:t>'</m:t>
            </m:r>
          </m:sup>
        </m:sSup>
      </m:oMath>
      <w:r>
        <w:rPr>
          <w:rFonts w:eastAsiaTheme="minorEastAsia" w:cstheme="minorHAnsi"/>
        </w:rPr>
        <w:t>=0.1 and dip=25°, (a) for segment 1 – 10 and (b) for segment 11 - 20. Coseismic changes in CFS due to the occurrence of the 2017 Poso and the 2018 Palu-Donggala earthquakes (blue and red lines, respectively) as well as the tectonic stress rate (green) around Central Sulawesi Fault System (CSFS) are indicated. The absolute value of the range of change in CFS from these sources, accumulated over 20 years for each segment is indicated on the left of (a) and the right of (b).</w:t>
      </w:r>
    </w:p>
    <w:p w14:paraId="0A4C4D1F" w14:textId="7AF2F0EE" w:rsidR="00F74275" w:rsidRDefault="005E432B" w:rsidP="00466C3A">
      <w:pPr>
        <w:spacing w:after="0"/>
        <w:jc w:val="center"/>
        <w:rPr>
          <w:rFonts w:ascii="Times New Roman" w:hAnsi="Times New Roman" w:cs="Times New Roman"/>
        </w:rPr>
      </w:pPr>
      <w:r>
        <w:rPr>
          <w:noProof/>
        </w:rPr>
        <w:lastRenderedPageBreak/>
        <w:drawing>
          <wp:inline distT="0" distB="0" distL="0" distR="0" wp14:anchorId="32012AD5" wp14:editId="13DAE7EA">
            <wp:extent cx="5057859" cy="4046400"/>
            <wp:effectExtent l="0" t="0" r="0" b="0"/>
            <wp:docPr id="1477702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57859" cy="4046400"/>
                    </a:xfrm>
                    <a:prstGeom prst="rect">
                      <a:avLst/>
                    </a:prstGeom>
                    <a:noFill/>
                    <a:ln>
                      <a:noFill/>
                    </a:ln>
                  </pic:spPr>
                </pic:pic>
              </a:graphicData>
            </a:graphic>
          </wp:inline>
        </w:drawing>
      </w:r>
    </w:p>
    <w:p w14:paraId="21607207" w14:textId="65686F99" w:rsidR="005E432B" w:rsidRPr="005E432B" w:rsidRDefault="005E432B" w:rsidP="005E432B">
      <w:pPr>
        <w:jc w:val="both"/>
        <w:rPr>
          <w:rFonts w:ascii="Times New Roman" w:hAnsi="Times New Roman" w:cs="Times New Roman"/>
        </w:rPr>
      </w:pPr>
      <w:r>
        <w:rPr>
          <w:rFonts w:ascii="Times New Roman" w:hAnsi="Times New Roman" w:cs="Times New Roman"/>
        </w:rPr>
        <w:t xml:space="preserve">Figure S3. </w:t>
      </w:r>
      <w:r>
        <w:rPr>
          <w:rFonts w:eastAsiaTheme="minorEastAsia" w:cstheme="minorHAnsi"/>
        </w:rPr>
        <w:t xml:space="preserve">ΔCFS time function on each Poso fault segment using </w:t>
      </w:r>
      <m:oMath>
        <m:sSup>
          <m:sSupPr>
            <m:ctrlPr>
              <w:rPr>
                <w:rFonts w:ascii="Cambria Math" w:eastAsiaTheme="minorEastAsia" w:hAnsi="Cambria Math" w:cstheme="minorHAnsi"/>
                <w:i/>
              </w:rPr>
            </m:ctrlPr>
          </m:sSupPr>
          <m:e>
            <m:r>
              <w:rPr>
                <w:rFonts w:ascii="Cambria Math" w:eastAsiaTheme="minorEastAsia" w:hAnsi="Cambria Math" w:cstheme="minorHAnsi"/>
              </w:rPr>
              <m:t>μ</m:t>
            </m:r>
          </m:e>
          <m:sup>
            <m:r>
              <w:rPr>
                <w:rFonts w:ascii="Cambria Math" w:eastAsiaTheme="minorEastAsia" w:hAnsi="Cambria Math" w:cstheme="minorHAnsi"/>
              </w:rPr>
              <m:t>'</m:t>
            </m:r>
          </m:sup>
        </m:sSup>
      </m:oMath>
      <w:r>
        <w:rPr>
          <w:rFonts w:eastAsiaTheme="minorEastAsia" w:cstheme="minorHAnsi"/>
        </w:rPr>
        <w:t>=0.4 and dip=45°, (a) for segment 1 – 10 and (b) for segment 11 - 20. Coseismic changes in CFS due to the occurrence of the 2017 Poso and the 2018 Palu-Donggala earthquakes (blue and red lines, respectively) as well as the tectonic stress rate (green) around Central Sulawesi Fault System (CSFS) are indicated. The absolute value of the range of change in CFS from these sources, accumulated over 20 years for each segment is indicated on the left of (a) and the right of (b).</w:t>
      </w:r>
    </w:p>
    <w:p w14:paraId="149B3582" w14:textId="4F247CF3" w:rsidR="005E432B" w:rsidRDefault="005E432B" w:rsidP="00466C3A">
      <w:pPr>
        <w:spacing w:after="0"/>
        <w:jc w:val="center"/>
        <w:rPr>
          <w:rFonts w:ascii="Times New Roman" w:hAnsi="Times New Roman" w:cs="Times New Roman"/>
        </w:rPr>
      </w:pPr>
      <w:r>
        <w:rPr>
          <w:noProof/>
        </w:rPr>
        <w:lastRenderedPageBreak/>
        <w:drawing>
          <wp:inline distT="0" distB="0" distL="0" distR="0" wp14:anchorId="676731A4" wp14:editId="3783DA36">
            <wp:extent cx="5057860" cy="4046400"/>
            <wp:effectExtent l="0" t="0" r="0" b="0"/>
            <wp:docPr id="8235600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7860" cy="4046400"/>
                    </a:xfrm>
                    <a:prstGeom prst="rect">
                      <a:avLst/>
                    </a:prstGeom>
                    <a:noFill/>
                    <a:ln>
                      <a:noFill/>
                    </a:ln>
                  </pic:spPr>
                </pic:pic>
              </a:graphicData>
            </a:graphic>
          </wp:inline>
        </w:drawing>
      </w:r>
    </w:p>
    <w:p w14:paraId="6604AEE6" w14:textId="00BA01C4" w:rsidR="005E432B" w:rsidRPr="005E432B" w:rsidRDefault="005E432B" w:rsidP="005E432B">
      <w:pPr>
        <w:jc w:val="both"/>
        <w:rPr>
          <w:rFonts w:ascii="Times New Roman" w:hAnsi="Times New Roman" w:cs="Times New Roman"/>
        </w:rPr>
      </w:pPr>
      <w:r>
        <w:rPr>
          <w:rFonts w:ascii="Times New Roman" w:hAnsi="Times New Roman" w:cs="Times New Roman"/>
        </w:rPr>
        <w:t xml:space="preserve">Figure S4. </w:t>
      </w:r>
      <w:r>
        <w:rPr>
          <w:rFonts w:eastAsiaTheme="minorEastAsia" w:cstheme="minorHAnsi"/>
        </w:rPr>
        <w:t xml:space="preserve">ΔCFS time function on each Poso fault segment using </w:t>
      </w:r>
      <m:oMath>
        <m:sSup>
          <m:sSupPr>
            <m:ctrlPr>
              <w:rPr>
                <w:rFonts w:ascii="Cambria Math" w:eastAsiaTheme="minorEastAsia" w:hAnsi="Cambria Math" w:cstheme="minorHAnsi"/>
                <w:i/>
              </w:rPr>
            </m:ctrlPr>
          </m:sSupPr>
          <m:e>
            <m:r>
              <w:rPr>
                <w:rFonts w:ascii="Cambria Math" w:eastAsiaTheme="minorEastAsia" w:hAnsi="Cambria Math" w:cstheme="minorHAnsi"/>
              </w:rPr>
              <m:t>μ</m:t>
            </m:r>
          </m:e>
          <m:sup>
            <m:r>
              <w:rPr>
                <w:rFonts w:ascii="Cambria Math" w:eastAsiaTheme="minorEastAsia" w:hAnsi="Cambria Math" w:cstheme="minorHAnsi"/>
              </w:rPr>
              <m:t>'</m:t>
            </m:r>
          </m:sup>
        </m:sSup>
      </m:oMath>
      <w:r>
        <w:rPr>
          <w:rFonts w:eastAsiaTheme="minorEastAsia" w:cstheme="minorHAnsi"/>
        </w:rPr>
        <w:t>=0.</w:t>
      </w:r>
      <w:r w:rsidR="00FD15FC">
        <w:rPr>
          <w:rFonts w:eastAsiaTheme="minorEastAsia" w:cstheme="minorHAnsi"/>
        </w:rPr>
        <w:t>1</w:t>
      </w:r>
      <w:r>
        <w:rPr>
          <w:rFonts w:eastAsiaTheme="minorEastAsia" w:cstheme="minorHAnsi"/>
        </w:rPr>
        <w:t xml:space="preserve"> and dip=45°, (a) for segment 1 – 10 and (b) for segment 11 - 20. Coseismic changes in CFS due to the occurrence of the 2017 Poso and the 2018 Palu-Donggala earthquakes (blue and red lines, respectively) as well as the tectonic stress rate (green) around Central Sulawesi Fault System (CSFS) are indicated. The absolute value of the range of change in CFS from these sources, accumulated over 20 years for each segment is indicated on the left of (a) and the right of (b).</w:t>
      </w:r>
    </w:p>
    <w:p w14:paraId="73380036" w14:textId="77777777" w:rsidR="005E432B" w:rsidRPr="005E432B" w:rsidRDefault="005E432B" w:rsidP="005E432B">
      <w:pPr>
        <w:spacing w:after="0"/>
        <w:jc w:val="both"/>
        <w:rPr>
          <w:rFonts w:ascii="Times New Roman" w:hAnsi="Times New Roman" w:cs="Times New Roman"/>
        </w:rPr>
      </w:pPr>
    </w:p>
    <w:sectPr w:rsidR="005E432B" w:rsidRPr="005E43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9F2"/>
    <w:rsid w:val="002B022F"/>
    <w:rsid w:val="00415572"/>
    <w:rsid w:val="00466C3A"/>
    <w:rsid w:val="004C79F2"/>
    <w:rsid w:val="00553A5C"/>
    <w:rsid w:val="00593E33"/>
    <w:rsid w:val="005E1475"/>
    <w:rsid w:val="005E432B"/>
    <w:rsid w:val="00613147"/>
    <w:rsid w:val="006754DC"/>
    <w:rsid w:val="006C0BB4"/>
    <w:rsid w:val="007078C7"/>
    <w:rsid w:val="007B4160"/>
    <w:rsid w:val="007E5BFB"/>
    <w:rsid w:val="007E65EA"/>
    <w:rsid w:val="00803FE6"/>
    <w:rsid w:val="008E1532"/>
    <w:rsid w:val="00982578"/>
    <w:rsid w:val="00AC226A"/>
    <w:rsid w:val="00B21F8F"/>
    <w:rsid w:val="00C53463"/>
    <w:rsid w:val="00CC06AE"/>
    <w:rsid w:val="00D90B53"/>
    <w:rsid w:val="00DC72B6"/>
    <w:rsid w:val="00E136D4"/>
    <w:rsid w:val="00E757CD"/>
    <w:rsid w:val="00EF67E7"/>
    <w:rsid w:val="00F74275"/>
    <w:rsid w:val="00FD15F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FCDA6"/>
  <w15:chartTrackingRefBased/>
  <w15:docId w15:val="{4459CC3F-65E1-418C-8DF5-B7F01F2ED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E1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21F8F"/>
    <w:rPr>
      <w:color w:val="0563C1"/>
      <w:u w:val="single"/>
    </w:rPr>
  </w:style>
  <w:style w:type="character" w:styleId="FollowedHyperlink">
    <w:name w:val="FollowedHyperlink"/>
    <w:basedOn w:val="DefaultParagraphFont"/>
    <w:uiPriority w:val="99"/>
    <w:semiHidden/>
    <w:unhideWhenUsed/>
    <w:rsid w:val="00B21F8F"/>
    <w:rPr>
      <w:color w:val="954F72"/>
      <w:u w:val="single"/>
    </w:rPr>
  </w:style>
  <w:style w:type="paragraph" w:customStyle="1" w:styleId="msonormal0">
    <w:name w:val="msonormal"/>
    <w:basedOn w:val="Normal"/>
    <w:rsid w:val="00B21F8F"/>
    <w:pPr>
      <w:spacing w:before="100" w:beforeAutospacing="1" w:after="100" w:afterAutospacing="1" w:line="240" w:lineRule="auto"/>
    </w:pPr>
    <w:rPr>
      <w:rFonts w:ascii="Times New Roman" w:eastAsia="Times New Roman" w:hAnsi="Times New Roman" w:cs="Times New Roman"/>
      <w:sz w:val="24"/>
      <w:szCs w:val="24"/>
      <w:lang w:eastAsia="en-ID"/>
    </w:rPr>
  </w:style>
  <w:style w:type="paragraph" w:styleId="Revision">
    <w:name w:val="Revision"/>
    <w:hidden/>
    <w:uiPriority w:val="99"/>
    <w:semiHidden/>
    <w:rsid w:val="002B022F"/>
    <w:pPr>
      <w:spacing w:after="0" w:line="240" w:lineRule="auto"/>
    </w:pPr>
  </w:style>
  <w:style w:type="character" w:styleId="CommentReference">
    <w:name w:val="annotation reference"/>
    <w:basedOn w:val="DefaultParagraphFont"/>
    <w:uiPriority w:val="99"/>
    <w:semiHidden/>
    <w:unhideWhenUsed/>
    <w:rsid w:val="00D90B53"/>
    <w:rPr>
      <w:sz w:val="16"/>
      <w:szCs w:val="16"/>
    </w:rPr>
  </w:style>
  <w:style w:type="paragraph" w:styleId="CommentText">
    <w:name w:val="annotation text"/>
    <w:basedOn w:val="Normal"/>
    <w:link w:val="CommentTextChar"/>
    <w:uiPriority w:val="99"/>
    <w:semiHidden/>
    <w:unhideWhenUsed/>
    <w:rsid w:val="00D90B53"/>
    <w:pPr>
      <w:spacing w:line="240" w:lineRule="auto"/>
    </w:pPr>
    <w:rPr>
      <w:sz w:val="20"/>
      <w:szCs w:val="20"/>
    </w:rPr>
  </w:style>
  <w:style w:type="character" w:customStyle="1" w:styleId="CommentTextChar">
    <w:name w:val="Comment Text Char"/>
    <w:basedOn w:val="DefaultParagraphFont"/>
    <w:link w:val="CommentText"/>
    <w:uiPriority w:val="99"/>
    <w:semiHidden/>
    <w:rsid w:val="00D90B53"/>
    <w:rPr>
      <w:sz w:val="20"/>
      <w:szCs w:val="20"/>
    </w:rPr>
  </w:style>
  <w:style w:type="paragraph" w:styleId="CommentSubject">
    <w:name w:val="annotation subject"/>
    <w:basedOn w:val="CommentText"/>
    <w:next w:val="CommentText"/>
    <w:link w:val="CommentSubjectChar"/>
    <w:uiPriority w:val="99"/>
    <w:semiHidden/>
    <w:unhideWhenUsed/>
    <w:rsid w:val="00D90B53"/>
    <w:rPr>
      <w:b/>
      <w:bCs/>
    </w:rPr>
  </w:style>
  <w:style w:type="character" w:customStyle="1" w:styleId="CommentSubjectChar">
    <w:name w:val="Comment Subject Char"/>
    <w:basedOn w:val="CommentTextChar"/>
    <w:link w:val="CommentSubject"/>
    <w:uiPriority w:val="99"/>
    <w:semiHidden/>
    <w:rsid w:val="00D90B53"/>
    <w:rPr>
      <w:b/>
      <w:bCs/>
      <w:sz w:val="20"/>
      <w:szCs w:val="20"/>
    </w:rPr>
  </w:style>
  <w:style w:type="character" w:styleId="PlaceholderText">
    <w:name w:val="Placeholder Text"/>
    <w:basedOn w:val="DefaultParagraphFont"/>
    <w:uiPriority w:val="99"/>
    <w:semiHidden/>
    <w:rsid w:val="007078C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634188">
      <w:bodyDiv w:val="1"/>
      <w:marLeft w:val="0"/>
      <w:marRight w:val="0"/>
      <w:marTop w:val="0"/>
      <w:marBottom w:val="0"/>
      <w:divBdr>
        <w:top w:val="none" w:sz="0" w:space="0" w:color="auto"/>
        <w:left w:val="none" w:sz="0" w:space="0" w:color="auto"/>
        <w:bottom w:val="none" w:sz="0" w:space="0" w:color="auto"/>
        <w:right w:val="none" w:sz="0" w:space="0" w:color="auto"/>
      </w:divBdr>
    </w:div>
    <w:div w:id="133760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4</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Taufiq Rafie</dc:creator>
  <cp:keywords/>
  <dc:description/>
  <cp:lastModifiedBy>Muhammad Taufiq Rafie</cp:lastModifiedBy>
  <cp:revision>9</cp:revision>
  <dcterms:created xsi:type="dcterms:W3CDTF">2022-11-07T03:04:00Z</dcterms:created>
  <dcterms:modified xsi:type="dcterms:W3CDTF">2023-08-11T02:24:00Z</dcterms:modified>
</cp:coreProperties>
</file>