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DA9" w:rsidRPr="008A5155" w:rsidRDefault="00E75DA9" w:rsidP="00E75DA9">
      <w:pPr>
        <w:pStyle w:val="Heading1"/>
        <w:rPr>
          <w:rStyle w:val="SubtleEmphasis"/>
          <w:rFonts w:cstheme="minorBidi"/>
          <w:iCs w:val="0"/>
          <w:color w:val="5A5A5A" w:themeColor="text1" w:themeTint="A5"/>
          <w:sz w:val="22"/>
          <w:szCs w:val="22"/>
        </w:rPr>
      </w:pPr>
      <w:bookmarkStart w:id="0" w:name="_GoBack"/>
      <w:r w:rsidRPr="00E75DA9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>Appendix 8</w:t>
      </w:r>
      <w:bookmarkEnd w:id="0"/>
      <w:r w:rsidRPr="00E75DA9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 xml:space="preserve">: Numerical breakdown of key themes in the existing </w:t>
      </w:r>
      <w:proofErr w:type="gramStart"/>
      <w:r w:rsidRPr="00E75DA9">
        <w:rPr>
          <w:rFonts w:ascii="Times New Roman" w:hAnsi="Times New Roman" w:cs="Times New Roman"/>
          <w:b/>
          <w:color w:val="3B3838" w:themeColor="background2" w:themeShade="40"/>
          <w:sz w:val="28"/>
          <w:szCs w:val="28"/>
        </w:rPr>
        <w:t>literature</w:t>
      </w:r>
      <w:r w:rsidRPr="00E75DA9">
        <w:rPr>
          <w:color w:val="3B3838" w:themeColor="background2" w:themeShade="40"/>
        </w:rPr>
        <w:t xml:space="preserve"> </w:t>
      </w:r>
      <w:bookmarkStart w:id="1" w:name="_mzobr1csvyp9" w:colFirst="0" w:colLast="0"/>
      <w:bookmarkEnd w:id="1"/>
      <w:r w:rsidRPr="00E75DA9">
        <w:rPr>
          <w:rStyle w:val="SubtleEmphasis"/>
          <w:color w:val="3B3838" w:themeColor="background2" w:themeShade="40"/>
        </w:rPr>
        <w:t xml:space="preserve"> </w:t>
      </w:r>
      <w:r w:rsidRPr="008A5155">
        <w:rPr>
          <w:rStyle w:val="SubtleEmphasis"/>
        </w:rPr>
        <w:t>(</w:t>
      </w:r>
      <w:proofErr w:type="gramEnd"/>
      <w:r w:rsidRPr="008A5155">
        <w:rPr>
          <w:rStyle w:val="SubtleEmphasis"/>
        </w:rPr>
        <w:t>Sorted by Count from highest to lowest)</w:t>
      </w:r>
    </w:p>
    <w:tbl>
      <w:tblPr>
        <w:tblW w:w="10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5280"/>
        <w:gridCol w:w="1950"/>
      </w:tblGrid>
      <w:tr w:rsidR="00E75DA9" w:rsidRPr="008A5155" w:rsidTr="00E0699E">
        <w:trPr>
          <w:trHeight w:val="384"/>
        </w:trPr>
        <w:tc>
          <w:tcPr>
            <w:tcW w:w="2880" w:type="dxa"/>
            <w:tcBorders>
              <w:top w:val="single" w:sz="4" w:space="0" w:color="000000"/>
              <w:bottom w:val="single" w:sz="4" w:space="0" w:color="000000"/>
            </w:tcBorders>
          </w:tcPr>
          <w:p w:rsidR="00E75DA9" w:rsidRPr="00BB1FFC" w:rsidRDefault="00E75DA9" w:rsidP="00E0699E">
            <w:pPr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Author/Date</w:t>
            </w:r>
          </w:p>
        </w:tc>
        <w:tc>
          <w:tcPr>
            <w:tcW w:w="5280" w:type="dxa"/>
            <w:tcBorders>
              <w:top w:val="single" w:sz="4" w:space="0" w:color="000000"/>
              <w:bottom w:val="single" w:sz="4" w:space="0" w:color="000000"/>
            </w:tcBorders>
          </w:tcPr>
          <w:p w:rsidR="00E75DA9" w:rsidRPr="00BB1FFC" w:rsidRDefault="00E75DA9" w:rsidP="00E0699E">
            <w:pPr>
              <w:rPr>
                <w:rFonts w:eastAsia="Calibri"/>
                <w:b/>
                <w:sz w:val="16"/>
                <w:szCs w:val="16"/>
              </w:rPr>
            </w:pPr>
            <w:r w:rsidRPr="00BB1FFC">
              <w:rPr>
                <w:rFonts w:eastAsia="Calibri"/>
                <w:b/>
                <w:sz w:val="16"/>
                <w:szCs w:val="16"/>
              </w:rPr>
              <w:t>Key themes in the existing literature?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:rsidR="00E75DA9" w:rsidRPr="00BB1FFC" w:rsidRDefault="00E75DA9" w:rsidP="00E0699E">
            <w:pPr>
              <w:rPr>
                <w:rFonts w:eastAsia="Calibri"/>
                <w:b/>
                <w:sz w:val="16"/>
                <w:szCs w:val="16"/>
              </w:rPr>
            </w:pPr>
            <w:r w:rsidRPr="00BB1FFC">
              <w:rPr>
                <w:rFonts w:eastAsia="Calibri"/>
                <w:b/>
                <w:sz w:val="16"/>
                <w:szCs w:val="16"/>
              </w:rPr>
              <w:t>Count %</w:t>
            </w:r>
          </w:p>
        </w:tc>
      </w:tr>
      <w:tr w:rsidR="00E75DA9" w:rsidRPr="008A5155" w:rsidTr="00E0699E">
        <w:trPr>
          <w:trHeight w:val="384"/>
        </w:trPr>
        <w:tc>
          <w:tcPr>
            <w:tcW w:w="288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0645B4">
              <w:rPr>
                <w:rFonts w:eastAsia="Calibri"/>
                <w:sz w:val="16"/>
                <w:szCs w:val="16"/>
              </w:rPr>
              <w:t>(Johnsen and Lok 2008)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0645B4">
              <w:rPr>
                <w:rFonts w:eastAsia="Calibri"/>
                <w:sz w:val="16"/>
                <w:szCs w:val="16"/>
              </w:rPr>
              <w:t>(Cheng, Chiang et al. 2010)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0645B4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0645B4">
              <w:rPr>
                <w:rFonts w:eastAsia="Calibri"/>
                <w:sz w:val="16"/>
                <w:szCs w:val="16"/>
              </w:rPr>
              <w:t>Kalyanaraman</w:t>
            </w:r>
            <w:proofErr w:type="spellEnd"/>
            <w:r w:rsidRPr="000645B4">
              <w:rPr>
                <w:rFonts w:eastAsia="Calibri"/>
                <w:sz w:val="16"/>
                <w:szCs w:val="16"/>
              </w:rPr>
              <w:t>, Penn et al. 2010)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0645B4">
              <w:rPr>
                <w:rFonts w:eastAsia="Calibri"/>
                <w:sz w:val="16"/>
                <w:szCs w:val="16"/>
              </w:rPr>
              <w:t xml:space="preserve">(Sulpizio, </w:t>
            </w:r>
            <w:proofErr w:type="spellStart"/>
            <w:r w:rsidRPr="000645B4">
              <w:rPr>
                <w:rFonts w:eastAsia="Calibri"/>
                <w:sz w:val="16"/>
                <w:szCs w:val="16"/>
              </w:rPr>
              <w:t>Committeri</w:t>
            </w:r>
            <w:proofErr w:type="spellEnd"/>
            <w:r w:rsidRPr="000645B4">
              <w:rPr>
                <w:rFonts w:eastAsia="Calibri"/>
                <w:sz w:val="16"/>
                <w:szCs w:val="16"/>
              </w:rPr>
              <w:t xml:space="preserve"> et al. 2015)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0645B4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0645B4">
              <w:rPr>
                <w:rFonts w:eastAsia="Calibri"/>
                <w:sz w:val="16"/>
                <w:szCs w:val="16"/>
              </w:rPr>
              <w:t>Adefila</w:t>
            </w:r>
            <w:proofErr w:type="spellEnd"/>
            <w:r w:rsidRPr="000645B4">
              <w:rPr>
                <w:rFonts w:eastAsia="Calibri"/>
                <w:sz w:val="16"/>
                <w:szCs w:val="16"/>
              </w:rPr>
              <w:t>, Graham et al. 2016)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0645B4">
              <w:rPr>
                <w:rFonts w:eastAsia="Calibri"/>
                <w:sz w:val="16"/>
                <w:szCs w:val="16"/>
              </w:rPr>
              <w:t xml:space="preserve">(Kors, </w:t>
            </w:r>
            <w:proofErr w:type="spellStart"/>
            <w:r w:rsidRPr="000645B4">
              <w:rPr>
                <w:rFonts w:eastAsia="Calibri"/>
                <w:sz w:val="16"/>
                <w:szCs w:val="16"/>
              </w:rPr>
              <w:t>Ferri</w:t>
            </w:r>
            <w:proofErr w:type="spellEnd"/>
            <w:r w:rsidRPr="000645B4">
              <w:rPr>
                <w:rFonts w:eastAsia="Calibri"/>
                <w:sz w:val="16"/>
                <w:szCs w:val="16"/>
              </w:rPr>
              <w:t xml:space="preserve"> et al. 2016)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(Camilleri, Montebello et al. 2017)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(Muller, Kessel et al. 2017)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 xml:space="preserve">(Schutte and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Stilinović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2017</w:t>
            </w:r>
            <w:r>
              <w:rPr>
                <w:rFonts w:eastAsia="Calibri"/>
                <w:sz w:val="16"/>
                <w:szCs w:val="16"/>
              </w:rPr>
              <w:t>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(Hamilton-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Giachritsis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Banakou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2018)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 xml:space="preserve">(Ingram,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Espelage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2019)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Jütten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>. LH 2018)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(Kang 2018)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(Formosa, Morrison et al. 2018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Stavroulia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>, Baka et al. 2018)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 xml:space="preserve">(van Loon,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Bailenson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2018)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(Weinel 2018)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Wijma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Veerbeek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2018)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(Buchman and Henderson 2019)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(Slater, Hasson et al. 2019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Stavroulia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and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Lanitis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2019)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Stavroulia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2019)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Stavroulia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2019)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Barbot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and Kaufman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Barreda-Ángeles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M,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Aleix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>-Guillaume S et al.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Christofi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>, Michael-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Grigoriou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(Kim, Jung et al.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 xml:space="preserve">(Kors,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Spek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Misztal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Carbonell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 xml:space="preserve">(Mustapha. S and Razali. M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M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Patané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I,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Lelgouarch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A et al.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(Roswell, Cogburn et al.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 xml:space="preserve">(Tong,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Gromala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2020)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 xml:space="preserve">(Campbell,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Lugger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2021)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(Navarrete, Martínez-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Sanchis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2021)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(Ventura, Cardenas et al. 2021)</w:t>
            </w:r>
          </w:p>
        </w:tc>
        <w:tc>
          <w:tcPr>
            <w:tcW w:w="5280" w:type="dxa"/>
          </w:tcPr>
          <w:p w:rsidR="00E75DA9" w:rsidRPr="008A5155" w:rsidRDefault="00E75DA9" w:rsidP="00E0699E">
            <w:pPr>
              <w:rPr>
                <w:sz w:val="16"/>
                <w:szCs w:val="16"/>
              </w:rPr>
            </w:pPr>
            <w:r w:rsidRPr="008A5155">
              <w:rPr>
                <w:sz w:val="16"/>
                <w:szCs w:val="16"/>
              </w:rPr>
              <w:t xml:space="preserve">Papers that discussed the existing literature in a more supportive manner (i.e. VR’s potential as an empathy enhancement tool) </w:t>
            </w:r>
          </w:p>
        </w:tc>
        <w:tc>
          <w:tcPr>
            <w:tcW w:w="195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>36 (81.82%)</w:t>
            </w:r>
          </w:p>
        </w:tc>
      </w:tr>
      <w:tr w:rsidR="00E75DA9" w:rsidRPr="008A5155" w:rsidTr="00E0699E">
        <w:trPr>
          <w:trHeight w:val="384"/>
        </w:trPr>
        <w:tc>
          <w:tcPr>
            <w:tcW w:w="288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5F093D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Deladisma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>, Cohen et al. 2007)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 xml:space="preserve">(McEvoy,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Oyekoya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2016)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 xml:space="preserve">(Oh, </w:t>
            </w:r>
            <w:proofErr w:type="spellStart"/>
            <w:r w:rsidRPr="005F093D">
              <w:rPr>
                <w:rFonts w:eastAsia="Calibri"/>
                <w:sz w:val="16"/>
                <w:szCs w:val="16"/>
              </w:rPr>
              <w:t>Bailenson</w:t>
            </w:r>
            <w:proofErr w:type="spellEnd"/>
            <w:r w:rsidRPr="005F093D">
              <w:rPr>
                <w:rFonts w:eastAsia="Calibri"/>
                <w:sz w:val="16"/>
                <w:szCs w:val="16"/>
              </w:rPr>
              <w:t xml:space="preserve"> et al. 2016)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5F093D">
              <w:rPr>
                <w:rFonts w:eastAsia="Calibri"/>
                <w:sz w:val="16"/>
                <w:szCs w:val="16"/>
              </w:rPr>
              <w:t>(Bang and Yildirim)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2252A4">
              <w:rPr>
                <w:rFonts w:eastAsia="Calibri"/>
                <w:sz w:val="16"/>
                <w:szCs w:val="16"/>
              </w:rPr>
              <w:t xml:space="preserve">(Herrera, </w:t>
            </w:r>
            <w:proofErr w:type="spellStart"/>
            <w:r w:rsidRPr="002252A4">
              <w:rPr>
                <w:rFonts w:eastAsia="Calibri"/>
                <w:sz w:val="16"/>
                <w:szCs w:val="16"/>
              </w:rPr>
              <w:t>Bailenson</w:t>
            </w:r>
            <w:proofErr w:type="spellEnd"/>
            <w:r w:rsidRPr="002252A4">
              <w:rPr>
                <w:rFonts w:eastAsia="Calibri"/>
                <w:sz w:val="16"/>
                <w:szCs w:val="16"/>
              </w:rPr>
              <w:t xml:space="preserve"> et al. 2018)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2252A4">
              <w:rPr>
                <w:rFonts w:eastAsia="Calibri"/>
                <w:sz w:val="16"/>
                <w:szCs w:val="16"/>
              </w:rPr>
              <w:t xml:space="preserve">(Trinidad and </w:t>
            </w:r>
            <w:proofErr w:type="spellStart"/>
            <w:r w:rsidRPr="002252A4">
              <w:rPr>
                <w:rFonts w:eastAsia="Calibri"/>
                <w:sz w:val="16"/>
                <w:szCs w:val="16"/>
              </w:rPr>
              <w:t>Linsangan</w:t>
            </w:r>
            <w:proofErr w:type="spellEnd"/>
            <w:r w:rsidRPr="002252A4">
              <w:rPr>
                <w:rFonts w:eastAsia="Calibri"/>
                <w:sz w:val="16"/>
                <w:szCs w:val="16"/>
              </w:rPr>
              <w:t xml:space="preserve"> 2018)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2252A4">
              <w:rPr>
                <w:rFonts w:eastAsia="Calibri"/>
                <w:sz w:val="16"/>
                <w:szCs w:val="16"/>
              </w:rPr>
              <w:t>(</w:t>
            </w:r>
            <w:proofErr w:type="spellStart"/>
            <w:r w:rsidRPr="002252A4">
              <w:rPr>
                <w:rFonts w:eastAsia="Calibri"/>
                <w:sz w:val="16"/>
                <w:szCs w:val="16"/>
              </w:rPr>
              <w:t>MacDorman</w:t>
            </w:r>
            <w:proofErr w:type="spellEnd"/>
            <w:r w:rsidRPr="002252A4">
              <w:rPr>
                <w:rFonts w:eastAsia="Calibri"/>
                <w:sz w:val="16"/>
                <w:szCs w:val="16"/>
              </w:rPr>
              <w:t xml:space="preserve"> 2019)</w:t>
            </w:r>
            <w:r w:rsidRPr="008A5155">
              <w:rPr>
                <w:rFonts w:eastAsia="Calibri"/>
                <w:sz w:val="16"/>
                <w:szCs w:val="16"/>
              </w:rPr>
              <w:t xml:space="preserve">, </w:t>
            </w:r>
            <w:r w:rsidRPr="002252A4">
              <w:rPr>
                <w:rFonts w:eastAsia="Calibri"/>
                <w:sz w:val="16"/>
                <w:szCs w:val="16"/>
              </w:rPr>
              <w:t>(Steinfeld 2020)</w:t>
            </w:r>
            <w:r w:rsidRPr="008A5155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528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>Papers that discussed the existing literature in a more disputed and Indecisive manner</w:t>
            </w:r>
          </w:p>
        </w:tc>
        <w:tc>
          <w:tcPr>
            <w:tcW w:w="195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>8 (18.19%)</w:t>
            </w:r>
          </w:p>
        </w:tc>
      </w:tr>
      <w:tr w:rsidR="00E75DA9" w:rsidRPr="008A5155" w:rsidTr="00E0699E">
        <w:trPr>
          <w:trHeight w:val="384"/>
        </w:trPr>
        <w:tc>
          <w:tcPr>
            <w:tcW w:w="2880" w:type="dxa"/>
            <w:vMerge w:val="restart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8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bookmarkStart w:id="2" w:name="_2s8eyo1" w:colFirst="0" w:colLast="0"/>
            <w:bookmarkEnd w:id="2"/>
            <w:r w:rsidRPr="008A5155">
              <w:rPr>
                <w:rFonts w:eastAsia="Calibri"/>
                <w:sz w:val="16"/>
                <w:szCs w:val="16"/>
              </w:rPr>
              <w:t>Papers that reported the complex and / or varied definition of empathy</w:t>
            </w:r>
          </w:p>
        </w:tc>
        <w:tc>
          <w:tcPr>
            <w:tcW w:w="195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>11 (25.00%)</w:t>
            </w:r>
          </w:p>
        </w:tc>
      </w:tr>
      <w:tr w:rsidR="00E75DA9" w:rsidRPr="008A5155" w:rsidTr="00E0699E">
        <w:trPr>
          <w:trHeight w:val="384"/>
        </w:trPr>
        <w:tc>
          <w:tcPr>
            <w:tcW w:w="2880" w:type="dxa"/>
            <w:vMerge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8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>Relatability</w:t>
            </w:r>
            <w:r w:rsidRPr="008A5155">
              <w:rPr>
                <w:rFonts w:eastAsia="Calibri"/>
                <w:sz w:val="16"/>
                <w:szCs w:val="16"/>
              </w:rPr>
              <w:tab/>
            </w:r>
          </w:p>
        </w:tc>
        <w:tc>
          <w:tcPr>
            <w:tcW w:w="195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>7 (15.91%)</w:t>
            </w:r>
          </w:p>
        </w:tc>
      </w:tr>
      <w:tr w:rsidR="00E75DA9" w:rsidRPr="008A5155" w:rsidTr="00E0699E">
        <w:trPr>
          <w:trHeight w:val="384"/>
        </w:trPr>
        <w:tc>
          <w:tcPr>
            <w:tcW w:w="2880" w:type="dxa"/>
            <w:vMerge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8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 xml:space="preserve">Empathy definition inconsistency </w:t>
            </w:r>
          </w:p>
        </w:tc>
        <w:tc>
          <w:tcPr>
            <w:tcW w:w="195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>11 (25.00%)</w:t>
            </w:r>
          </w:p>
        </w:tc>
      </w:tr>
      <w:tr w:rsidR="00E75DA9" w:rsidRPr="008A5155" w:rsidTr="00E0699E">
        <w:trPr>
          <w:trHeight w:val="384"/>
        </w:trPr>
        <w:tc>
          <w:tcPr>
            <w:tcW w:w="2880" w:type="dxa"/>
            <w:vMerge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28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 xml:space="preserve">Females reported as typically more empathetic </w:t>
            </w:r>
          </w:p>
        </w:tc>
        <w:tc>
          <w:tcPr>
            <w:tcW w:w="1950" w:type="dxa"/>
          </w:tcPr>
          <w:p w:rsidR="00E75DA9" w:rsidRPr="008A5155" w:rsidRDefault="00E75DA9" w:rsidP="00E0699E">
            <w:pPr>
              <w:rPr>
                <w:rFonts w:eastAsia="Calibri"/>
                <w:sz w:val="16"/>
                <w:szCs w:val="16"/>
              </w:rPr>
            </w:pPr>
            <w:r w:rsidRPr="008A5155">
              <w:rPr>
                <w:rFonts w:eastAsia="Calibri"/>
                <w:sz w:val="16"/>
                <w:szCs w:val="16"/>
              </w:rPr>
              <w:t>3 (6.82%)</w:t>
            </w:r>
          </w:p>
        </w:tc>
      </w:tr>
    </w:tbl>
    <w:p w:rsidR="00E75DA9" w:rsidRDefault="00E75DA9" w:rsidP="00E75DA9"/>
    <w:p w:rsidR="00BE0A33" w:rsidRPr="00E75DA9" w:rsidRDefault="00BE0A33" w:rsidP="00E75DA9"/>
    <w:sectPr w:rsidR="00BE0A33" w:rsidRPr="00E75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svverziexff0ewfx5xewvlp5da0920wwvv&quot;&gt;My EndNote Library&lt;record-ids&gt;&lt;item&gt;50&lt;/item&gt;&lt;item&gt;52&lt;/item&gt;&lt;/record-ids&gt;&lt;/item&gt;&lt;/Libraries&gt;"/>
  </w:docVars>
  <w:rsids>
    <w:rsidRoot w:val="008A5155"/>
    <w:rsid w:val="000645B4"/>
    <w:rsid w:val="002252A4"/>
    <w:rsid w:val="002D1F80"/>
    <w:rsid w:val="00380847"/>
    <w:rsid w:val="004E408A"/>
    <w:rsid w:val="005F093D"/>
    <w:rsid w:val="008A5155"/>
    <w:rsid w:val="009118A3"/>
    <w:rsid w:val="00AA1CBD"/>
    <w:rsid w:val="00AC40A4"/>
    <w:rsid w:val="00BB1FFC"/>
    <w:rsid w:val="00BE0A33"/>
    <w:rsid w:val="00CE6EEA"/>
    <w:rsid w:val="00E7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D9CBBF-5A8B-4F97-A722-CD855328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155"/>
    <w:pPr>
      <w:widowControl w:val="0"/>
      <w:pBdr>
        <w:top w:val="nil"/>
        <w:left w:val="nil"/>
        <w:bottom w:val="nil"/>
        <w:right w:val="nil"/>
        <w:between w:val="nil"/>
      </w:pBdr>
      <w:spacing w:before="240"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DA9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5155"/>
    <w:pPr>
      <w:keepNext/>
      <w:spacing w:before="360" w:after="60"/>
      <w:ind w:right="567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5155"/>
    <w:pPr>
      <w:keepNext/>
      <w:spacing w:before="360" w:after="60"/>
      <w:ind w:right="567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5155"/>
    <w:rPr>
      <w:rFonts w:ascii="Times New Roman" w:eastAsia="Times New Roman" w:hAnsi="Times New Roman" w:cs="Times New Roman"/>
      <w:b/>
      <w:color w:val="000000"/>
      <w:sz w:val="32"/>
      <w:szCs w:val="32"/>
      <w:lang w:val="en-GB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8A5155"/>
    <w:rPr>
      <w:rFonts w:ascii="Times New Roman" w:eastAsia="Times New Roman" w:hAnsi="Times New Roman" w:cs="Times New Roman"/>
      <w:i/>
      <w:color w:val="000000"/>
      <w:sz w:val="24"/>
      <w:szCs w:val="24"/>
      <w:lang w:val="en-GB" w:eastAsia="en-AU"/>
    </w:rPr>
  </w:style>
  <w:style w:type="character" w:styleId="SubtleEmphasis">
    <w:name w:val="Subtle Emphasis"/>
    <w:basedOn w:val="DefaultParagraphFont"/>
    <w:uiPriority w:val="19"/>
    <w:qFormat/>
    <w:rsid w:val="008A5155"/>
    <w:rPr>
      <w:rFonts w:asciiTheme="minorHAnsi" w:hAnsiTheme="minorHAnsi" w:cstheme="minorHAnsi"/>
      <w:i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15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A5155"/>
    <w:rPr>
      <w:rFonts w:eastAsiaTheme="minorEastAsia"/>
      <w:color w:val="5A5A5A" w:themeColor="text1" w:themeTint="A5"/>
      <w:spacing w:val="15"/>
      <w:lang w:val="en-GB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E75D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45A44-92D7-4AB7-B8CC-0A4A1362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Trevena</dc:creator>
  <cp:keywords/>
  <dc:description/>
  <cp:lastModifiedBy>Lee Trevena</cp:lastModifiedBy>
  <cp:revision>2</cp:revision>
  <dcterms:created xsi:type="dcterms:W3CDTF">2023-08-08T12:31:00Z</dcterms:created>
  <dcterms:modified xsi:type="dcterms:W3CDTF">2023-08-08T12:31:00Z</dcterms:modified>
</cp:coreProperties>
</file>