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5-Hydroxymethylcytosine profiles in circulating cell-free DNA serve as potential biomarkers for diagnosis and classification </w:t>
      </w:r>
      <w:r>
        <w:rPr>
          <w:rFonts w:eastAsia="等线"/>
          <w:b/>
          <w:color w:val="000000" w:themeColor="text1"/>
          <w14:textFill>
            <w14:solidFill>
              <w14:schemeClr w14:val="tx1"/>
            </w14:solidFill>
          </w14:textFill>
        </w:rPr>
        <w:t>of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adenomyosis</w:t>
      </w:r>
    </w:p>
    <w:p>
      <w:pPr>
        <w:spacing w:line="480" w:lineRule="auto"/>
        <w:jc w:val="both"/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Lei Zhang</w:t>
      </w:r>
      <w:r>
        <w:rPr>
          <w:rFonts w:hint="eastAsia" w:eastAsia="等线"/>
          <w:i/>
          <w:iCs/>
          <w:color w:val="000000" w:themeColor="text1"/>
          <w:vertAlign w:val="baseline"/>
          <w14:textFill>
            <w14:solidFill>
              <w14:schemeClr w14:val="tx1"/>
            </w14:solidFill>
          </w14:textFill>
        </w:rPr>
        <w:t>†</w:t>
      </w:r>
      <w:r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1, 3, 4, 6</w:t>
      </w:r>
      <w:r>
        <w:rPr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Xiaotong Han</w:t>
      </w:r>
      <w:r>
        <w:rPr>
          <w:rFonts w:hint="eastAsia"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†</w:t>
      </w:r>
      <w:r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, Hangyu Chen</w:t>
      </w:r>
      <w:r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, Chunliang Shang</w:t>
      </w:r>
      <w:r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, Long Chen,</w:t>
      </w:r>
      <w:r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2, 3, 4, 5</w:t>
      </w:r>
      <w:r>
        <w:rPr>
          <w:rFonts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, Jian Lin</w:t>
      </w:r>
      <w:r>
        <w:rPr>
          <w:rFonts w:hint="eastAsia" w:eastAsia="等线"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2, 3, 4, 5</w:t>
      </w:r>
      <w:r>
        <w:rPr>
          <w:rFonts w:eastAsia="等线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, Hongyan Guo</w:t>
      </w:r>
      <w:r>
        <w:rPr>
          <w:rFonts w:hint="eastAsia" w:eastAsia="等线"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eastAsia="等线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1 Gynecology and obstetrics, </w:t>
      </w:r>
      <w:bookmarkStart w:id="0" w:name="OLE_LINK1"/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>Peking University Third Hospital</w:t>
      </w:r>
      <w:bookmarkEnd w:id="0"/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, Beijing, China. 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2 Department of Pharmacy, Peking University Third Hospital, Beijing, China. 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3 Synthetic and Functional Biomolecules Center, Peking University, Beijing, China. 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>4 Key Laboratory of Tropical Biological Resources of Ministry of Education, School of Pharmaceutical Sciences, Hainan University, Haikou, China.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等线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 Peking University Third Hospital Cancer Center, </w:t>
      </w:r>
      <w:r>
        <w:rPr>
          <w:rFonts w:hint="eastAsia" w:eastAsia="等线"/>
          <w:color w:val="000000" w:themeColor="text1"/>
          <w14:textFill>
            <w14:solidFill>
              <w14:schemeClr w14:val="tx1"/>
            </w14:solidFill>
          </w14:textFill>
        </w:rPr>
        <w:t>Beijing,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等线"/>
          <w:color w:val="000000" w:themeColor="text1"/>
          <w14:textFill>
            <w14:solidFill>
              <w14:schemeClr w14:val="tx1"/>
            </w14:solidFill>
          </w14:textFill>
        </w:rPr>
        <w:t>China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>6 Natural Medicine Institute of Zhejiang YangShengTang Co. Ltd., Hangzhou, China</w:t>
      </w:r>
      <w:r>
        <w:rPr>
          <w:rFonts w:hint="eastAsia" w:eastAsia="等线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MS Mincho" w:cs="Times New Roman"/>
          <w:color w:val="000000"/>
          <w:kern w:val="0"/>
          <w:sz w:val="24"/>
          <w:szCs w:val="24"/>
          <w:lang w:val="en-US" w:eastAsia="zh-CN" w:bidi="ar"/>
        </w:rPr>
        <w:t>†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First authors: 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MS Mincho" w:cs="Times New Roman"/>
          <w:color w:val="000000"/>
          <w:kern w:val="0"/>
          <w:sz w:val="24"/>
          <w:szCs w:val="24"/>
          <w:lang w:val="en-US" w:eastAsia="zh-CN" w:bidi="ar"/>
        </w:rPr>
        <w:t>†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Lei Zhang, </w:t>
      </w:r>
      <w:r>
        <w:rPr>
          <w:rFonts w:hint="default" w:ascii="Times New Roman" w:hAnsi="Times New Roman" w:eastAsia="MS Mincho" w:cs="Times New Roman"/>
          <w:color w:val="000000"/>
          <w:kern w:val="0"/>
          <w:sz w:val="24"/>
          <w:szCs w:val="24"/>
          <w:lang w:val="en-US" w:eastAsia="zh-CN" w:bidi="ar"/>
        </w:rPr>
        <w:t>†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>Xiaotong Han</w:t>
      </w:r>
    </w:p>
    <w:p>
      <w:pPr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*Corresponding authors: 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480" w:lineRule="auto"/>
        <w:jc w:val="both"/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>Hongyan Guo</w:t>
      </w:r>
      <w:r>
        <w:rPr>
          <w:rFonts w:eastAsia="等线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fldChar w:fldCharType="begin"/>
      </w:r>
      <w:r>
        <w:instrText xml:space="preserve"> HYPERLINK "mailto:bysyghy@163.com" </w:instrText>
      </w:r>
      <w:r>
        <w:fldChar w:fldCharType="separate"/>
      </w:r>
      <w:r>
        <w:t>bysyghy@163.com</w:t>
      </w:r>
      <w:r>
        <w:fldChar w:fldCharType="end"/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), </w:t>
      </w:r>
      <w:r>
        <w:t>Gynecology and obstetrics, Peking University Third Hospital, Beijing, China</w:t>
      </w:r>
      <w:r>
        <w:rPr>
          <w:rFonts w:hint="eastAsia"/>
        </w:rPr>
        <w:t>.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480" w:lineRule="auto"/>
        <w:jc w:val="both"/>
      </w:pPr>
      <w:r>
        <w:t>Jian Lin</w:t>
      </w:r>
      <w:r>
        <w:rPr>
          <w:vertAlign w:val="superscript"/>
        </w:rPr>
        <w:t>*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>, (</w:t>
      </w:r>
      <w:r>
        <w:t>linjian@pku.edu.cn</w:t>
      </w:r>
      <w:r>
        <w:rPr>
          <w:rFonts w:eastAsia="等线"/>
          <w:color w:val="000000" w:themeColor="text1"/>
          <w14:textFill>
            <w14:solidFill>
              <w14:schemeClr w14:val="tx1"/>
            </w14:solidFill>
          </w14:textFill>
        </w:rPr>
        <w:t xml:space="preserve">), </w:t>
      </w:r>
      <w:r>
        <w:t xml:space="preserve">Department of Pharmacy Peking University Third Hospital. </w:t>
      </w:r>
    </w:p>
    <w:p/>
    <w:p/>
    <w:p/>
    <w:p/>
    <w:p/>
    <w:p/>
    <w:p>
      <w:pPr>
        <w:jc w:val="both"/>
      </w:pPr>
      <w:r>
        <w:rPr>
          <w:rFonts w:eastAsia="TimesNewRomanPSMT"/>
          <w:color w:val="000000"/>
          <w:lang w:bidi="ar"/>
        </w:rPr>
        <w:t>Supplementary Information: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5097780" cy="7216775"/>
            <wp:effectExtent l="0" t="0" r="7620" b="6985"/>
            <wp:docPr id="11" name="图片 11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S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721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eastAsiaTheme="minorEastAsia"/>
          <w:lang w:val="en-US" w:eastAsia="zh-CN"/>
        </w:rPr>
      </w:pPr>
      <w:r>
        <w:rPr>
          <w:b/>
          <w:bCs/>
        </w:rPr>
        <w:t>Figure S1. Correlation between some genes expressed by the same markers in plasma and tissue</w:t>
      </w:r>
      <w:r>
        <w:rPr>
          <w:rFonts w:hint="eastAsia"/>
          <w:b/>
          <w:bCs/>
        </w:rPr>
        <w:t>s</w:t>
      </w:r>
      <w:r>
        <w:rPr>
          <w:b/>
          <w:bCs/>
        </w:rPr>
        <w:t>.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A.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5hmC markers in plasma cfDNA correlated with 5hmC markers in pathological tissue genomic DNA</w:t>
      </w:r>
      <w:r>
        <w:rPr>
          <w:rFonts w:hint="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jc w:val="both"/>
      </w:pPr>
      <w:bookmarkStart w:id="1" w:name="_GoBack"/>
      <w:r>
        <w:drawing>
          <wp:inline distT="0" distB="0" distL="0" distR="0">
            <wp:extent cx="5147310" cy="7280910"/>
            <wp:effectExtent l="0" t="0" r="0" b="0"/>
            <wp:docPr id="10" name="图片 10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s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728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eastAsiaTheme="minorEastAsia"/>
          <w:b/>
          <w:color w:val="000000"/>
          <w:lang w:val="en-US" w:eastAsia="zh-CN" w:bidi="ar"/>
        </w:rPr>
      </w:pPr>
      <w:r>
        <w:rPr>
          <w:b/>
          <w:bCs/>
          <w:color w:val="000000"/>
          <w:lang w:bidi="ar"/>
        </w:rPr>
        <w:t>Figure S2</w:t>
      </w:r>
      <w:r>
        <w:rPr>
          <w:rFonts w:hint="eastAsia"/>
          <w:b/>
          <w:bCs/>
          <w:color w:val="000000"/>
          <w:lang w:bidi="ar"/>
        </w:rPr>
        <w:t>.</w:t>
      </w:r>
      <w:r>
        <w:rPr>
          <w:b/>
          <w:bCs/>
          <w:color w:val="000000"/>
          <w:lang w:bidi="ar"/>
        </w:rPr>
        <w:t xml:space="preserve"> The individual diagnosis performance of each marker in the </w:t>
      </w:r>
      <w:r>
        <w:rPr>
          <w:rFonts w:hint="eastAsia"/>
          <w:b/>
          <w:bCs/>
          <w:color w:val="000000"/>
          <w:lang w:bidi="ar"/>
        </w:rPr>
        <w:t>ten</w:t>
      </w:r>
      <w:r>
        <w:rPr>
          <w:b/>
          <w:bCs/>
          <w:color w:val="000000"/>
          <w:lang w:bidi="ar"/>
        </w:rPr>
        <w:t xml:space="preserve"> markers in the training and validation cohort.</w:t>
      </w:r>
      <w:r>
        <w:rPr>
          <w:rFonts w:hint="eastAsia"/>
          <w:b/>
          <w:bCs/>
          <w:color w:val="000000"/>
          <w:lang w:val="en-US" w:eastAsia="zh-CN" w:bidi="ar"/>
        </w:rPr>
        <w:t xml:space="preserve"> </w:t>
      </w:r>
      <w:r>
        <w:rPr>
          <w:rFonts w:hint="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A. I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ndividual </w:t>
      </w:r>
      <w:r>
        <w:rPr>
          <w:rFonts w:hint="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RO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 </w:t>
      </w:r>
      <w:r>
        <w:rPr>
          <w:rFonts w:hint="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curves 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for each of the ten 5hmC markers in the training and validation cohorts</w:t>
      </w:r>
      <w:r>
        <w:rPr>
          <w:rFonts w:hint="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948045"/>
            <wp:effectExtent l="0" t="0" r="4445" b="10795"/>
            <wp:docPr id="2" name="图片 2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3"/>
                    <pic:cNvPicPr>
                      <a:picLocks noChangeAspect="1"/>
                    </pic:cNvPicPr>
                  </pic:nvPicPr>
                  <pic:blipFill>
                    <a:blip r:embed="rId6"/>
                    <a:srcRect b="2277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94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color w:val="000000"/>
        </w:rPr>
      </w:pPr>
      <w:r>
        <w:rPr>
          <w:b/>
          <w:bCs/>
          <w:color w:val="000000"/>
          <w:lang w:bidi="ar"/>
        </w:rPr>
        <w:t>Figure S3</w:t>
      </w:r>
      <w:r>
        <w:rPr>
          <w:rFonts w:hint="eastAsia"/>
          <w:b/>
          <w:bCs/>
          <w:color w:val="000000"/>
          <w:lang w:bidi="ar"/>
        </w:rPr>
        <w:t>.</w:t>
      </w:r>
      <w:r>
        <w:rPr>
          <w:b/>
          <w:bCs/>
          <w:color w:val="000000"/>
          <w:lang w:bidi="ar"/>
        </w:rPr>
        <w:t xml:space="preserve"> Distribution characteristics of intrinsic and extrinsic plasma of 5hmC in adenomyosis. </w:t>
      </w:r>
      <w:r>
        <w:rPr>
          <w:color w:val="000000"/>
        </w:rPr>
        <w:t xml:space="preserve">A. PCA differentiation between intrinsic and extrinsic plasma (extrinsic in blue, intrinsic in pink). B. Genome-wide distribution of 5hmC in different genomic feature groups in cfDNA of intrinsic (n= 20) and extrinsic (n=15) plasma in adenomyosis patients (n= 35). C.D. </w:t>
      </w:r>
      <w:r>
        <w:rPr>
          <w:bCs/>
          <w:color w:val="000000"/>
          <w:szCs w:val="21"/>
        </w:rPr>
        <w:t>The pie chart shows the percentage of 5hmC peaks for up-regulated and down-regulated genes in each category of Genomic traits. The Promoter region is defined as 2KB around TSS</w:t>
      </w:r>
      <w:r>
        <w:rPr>
          <w:color w:val="000000"/>
        </w:rPr>
        <w:t xml:space="preserve">. E. </w:t>
      </w:r>
      <w:r>
        <w:rPr>
          <w:bCs/>
          <w:color w:val="000000"/>
          <w:szCs w:val="21"/>
        </w:rPr>
        <w:t>The top 200 DhMRs (</w:t>
      </w:r>
      <w:r>
        <w:rPr>
          <w:bCs/>
          <w:color w:val="000000"/>
        </w:rPr>
        <w:t>p-value&lt;0. 05 &amp; |log2FoldChange|≥0. 5</w:t>
      </w:r>
      <w:r>
        <w:rPr>
          <w:bCs/>
          <w:color w:val="000000"/>
          <w:szCs w:val="21"/>
        </w:rPr>
        <w:t>) (</w:t>
      </w:r>
      <w:r>
        <w:rPr>
          <w:color w:val="000000"/>
        </w:rPr>
        <w:t>extrinsic in blue, intrinsic in pink</w:t>
      </w:r>
      <w:r>
        <w:rPr>
          <w:bCs/>
          <w:color w:val="000000"/>
          <w:szCs w:val="21"/>
        </w:rPr>
        <w:t>) map of 20 intrinsic and heat maps of 23 cases of extrinsic. Unsupervised hierarchical clustering was performed across genes and samples</w:t>
      </w:r>
      <w:r>
        <w:rPr>
          <w:color w:val="000000"/>
        </w:rPr>
        <w:t>. F.</w:t>
      </w:r>
      <w:r>
        <w:rPr>
          <w:bCs/>
          <w:color w:val="000000"/>
          <w:szCs w:val="21"/>
        </w:rPr>
        <w:t xml:space="preserve"> Dot graph for viewing 5hmC markers in GO enrichment clusters.</w:t>
      </w:r>
    </w:p>
    <w:p>
      <w:pPr>
        <w:jc w:val="both"/>
      </w:pPr>
      <w:r>
        <w:drawing>
          <wp:inline distT="0" distB="0" distL="0" distR="0">
            <wp:extent cx="5270500" cy="7279640"/>
            <wp:effectExtent l="0" t="0" r="0" b="0"/>
            <wp:docPr id="5" name="图片 5" descr="fig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s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7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rPr>
          <w:b/>
          <w:color w:val="000000"/>
          <w:lang w:bidi="ar"/>
        </w:rPr>
        <w:t>Figure S4</w:t>
      </w:r>
      <w:r>
        <w:rPr>
          <w:rFonts w:hint="eastAsia"/>
          <w:b/>
          <w:color w:val="000000"/>
          <w:lang w:bidi="ar"/>
        </w:rPr>
        <w:t>.</w:t>
      </w:r>
      <w:r>
        <w:rPr>
          <w:b/>
          <w:color w:val="000000"/>
          <w:lang w:bidi="ar"/>
        </w:rPr>
        <w:t xml:space="preserve"> </w:t>
      </w:r>
      <w:r>
        <w:rPr>
          <w:b/>
          <w:bCs/>
          <w:color w:val="000000"/>
          <w:lang w:bidi="ar"/>
        </w:rPr>
        <w:t>Distribution characteristics of intrinsic and extrinsic 5hmC in adenomyosis tissues.</w:t>
      </w:r>
      <w:r>
        <w:rPr>
          <w:color w:val="000000"/>
        </w:rPr>
        <w:t xml:space="preserve"> A. PCA differentiation between intrinsic and extrinsic tissue (extrinsic in blue, intrinsic in pink). B. Genome-wide distribution of 5hmC in different genomic feature groups in cfDNA of intrinsic (n= 20) and extrinsic (n=15) plasma in adenomyosis patients (n= 35). C. Volcano map (intrinsic vs. Extrinsic). HMR significantly changed (</w:t>
      </w:r>
      <w:r>
        <w:rPr>
          <w:bCs/>
          <w:color w:val="000000"/>
        </w:rPr>
        <w:t>p-value&lt;0. 05 &amp; |log2FoldChange|≥0. 5</w:t>
      </w:r>
      <w:r>
        <w:rPr>
          <w:color w:val="000000"/>
        </w:rPr>
        <w:t xml:space="preserve">) are indicated in pink (up) or blue (down). The black dots represent The HMR with no difference. D.E. </w:t>
      </w:r>
      <w:r>
        <w:rPr>
          <w:bCs/>
          <w:color w:val="000000"/>
          <w:szCs w:val="21"/>
        </w:rPr>
        <w:t>The pie chart shows the percentage of 5hmC peaks for up-regulated and down-regulated genes in each category of Genomic traits. The Promoter region is defined as 2KB around TSS</w:t>
      </w:r>
      <w:r>
        <w:rPr>
          <w:color w:val="000000"/>
        </w:rPr>
        <w:t xml:space="preserve">. F. </w:t>
      </w:r>
      <w:r>
        <w:rPr>
          <w:bCs/>
          <w:color w:val="000000"/>
          <w:szCs w:val="21"/>
        </w:rPr>
        <w:t>The top 200 DhMRs (</w:t>
      </w:r>
      <w:r>
        <w:rPr>
          <w:bCs/>
          <w:color w:val="000000"/>
        </w:rPr>
        <w:t>p-value&lt;0. 05 &amp; |log2FoldChange|≥0. 5</w:t>
      </w:r>
      <w:r>
        <w:rPr>
          <w:bCs/>
          <w:color w:val="000000"/>
          <w:szCs w:val="21"/>
        </w:rPr>
        <w:t>) (</w:t>
      </w:r>
      <w:r>
        <w:rPr>
          <w:color w:val="000000"/>
        </w:rPr>
        <w:t>extrinsic in blue, intrinsic in pink</w:t>
      </w:r>
      <w:r>
        <w:rPr>
          <w:bCs/>
          <w:color w:val="000000"/>
          <w:szCs w:val="21"/>
        </w:rPr>
        <w:t>) map of 20 intrinsic and heat maps of 23 cases of extrinsic. Unsupervised hierarchical clustering was performed across genes and samples</w:t>
      </w:r>
      <w:r>
        <w:rPr>
          <w:color w:val="000000"/>
        </w:rPr>
        <w:t>. G. Based on the differences between 31 gene (</w:t>
      </w:r>
      <w:r>
        <w:rPr>
          <w:bCs/>
          <w:color w:val="000000"/>
        </w:rPr>
        <w:t>p-value&lt;0. 05 &amp; |log2FoldChange|≥0. 5</w:t>
      </w:r>
      <w:r>
        <w:rPr>
          <w:color w:val="000000"/>
        </w:rPr>
        <w:t>) in 15 heat maps of extrinsic and intrinsic 20 (pink in intrinsic, blue in extrinsic). H.</w:t>
      </w:r>
      <w:r>
        <w:rPr>
          <w:bCs/>
          <w:color w:val="000000"/>
          <w:szCs w:val="21"/>
        </w:rPr>
        <w:t xml:space="preserve"> Dot graph for viewing 5hmC markers in GO enrichment clusters.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YWUxOGNhZjMyOGU3YTMzN2M5NmYwZWI0MWY2ZWYifQ=="/>
  </w:docVars>
  <w:rsids>
    <w:rsidRoot w:val="00000000"/>
    <w:rsid w:val="0AE150B9"/>
    <w:rsid w:val="1B936819"/>
    <w:rsid w:val="2490507E"/>
    <w:rsid w:val="3AFF54CB"/>
    <w:rsid w:val="683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499</Words>
  <Characters>2900</Characters>
  <Lines>0</Lines>
  <Paragraphs>0</Paragraphs>
  <TotalTime>0</TotalTime>
  <ScaleCrop>false</ScaleCrop>
  <LinksUpToDate>false</LinksUpToDate>
  <CharactersWithSpaces>3391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2023-05-27T03:14:00Z</dcterms:created>
  <dc:creator>Administrator</dc:creator>
  <cp:lastModifiedBy>lym</cp:lastModifiedBy>
  <dcterms:modified xsi:type="dcterms:W3CDTF">2023-08-11T02:05:44Z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146776E613A744ADA8940AA9482D3CD7_13</vt:lpwstr>
  </property>
</Properties>
</file>