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1CAC3" w14:textId="6D346CAE" w:rsidR="00E246C5" w:rsidRPr="00630F97" w:rsidRDefault="005D6751">
      <w:pPr>
        <w:rPr>
          <w:b/>
          <w:bCs/>
        </w:rPr>
      </w:pPr>
      <w:r>
        <w:rPr>
          <w:b/>
          <w:bCs/>
        </w:rPr>
        <w:t>Table A</w:t>
      </w:r>
      <w:r w:rsidR="001A08BB" w:rsidRPr="00630F97">
        <w:rPr>
          <w:b/>
          <w:bCs/>
        </w:rPr>
        <w:t xml:space="preserve"> - </w:t>
      </w:r>
      <w:r w:rsidR="00107ECE" w:rsidRPr="00630F97">
        <w:rPr>
          <w:b/>
          <w:bCs/>
        </w:rPr>
        <w:t xml:space="preserve">Consolidated </w:t>
      </w:r>
      <w:r w:rsidR="001A08BB" w:rsidRPr="00630F97">
        <w:rPr>
          <w:b/>
          <w:bCs/>
        </w:rPr>
        <w:t xml:space="preserve">context-mechanism-outcome </w:t>
      </w:r>
      <w:r w:rsidR="00107ECE" w:rsidRPr="00630F97">
        <w:rPr>
          <w:b/>
          <w:bCs/>
        </w:rPr>
        <w:t>theories for successful implementation of LST initiatives in the New Zealand health system</w:t>
      </w:r>
    </w:p>
    <w:tbl>
      <w:tblPr>
        <w:tblStyle w:val="GridTable1Light"/>
        <w:tblW w:w="14757" w:type="dxa"/>
        <w:tblLayout w:type="fixed"/>
        <w:tblLook w:val="04A0" w:firstRow="1" w:lastRow="0" w:firstColumn="1" w:lastColumn="0" w:noHBand="0" w:noVBand="1"/>
      </w:tblPr>
      <w:tblGrid>
        <w:gridCol w:w="2263"/>
        <w:gridCol w:w="2977"/>
        <w:gridCol w:w="3458"/>
        <w:gridCol w:w="3258"/>
        <w:gridCol w:w="2801"/>
      </w:tblGrid>
      <w:tr w:rsidR="00107ECE" w:rsidRPr="00630F97" w14:paraId="08558829" w14:textId="77777777" w:rsidTr="00630F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1AC3F13" w14:textId="77777777" w:rsidR="00107ECE" w:rsidRPr="00630F97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630F97">
              <w:rPr>
                <w:rFonts w:cstheme="minorHAnsi"/>
                <w:sz w:val="20"/>
                <w:szCs w:val="20"/>
              </w:rPr>
              <w:t xml:space="preserve">Context </w:t>
            </w:r>
          </w:p>
        </w:tc>
        <w:tc>
          <w:tcPr>
            <w:tcW w:w="2977" w:type="dxa"/>
          </w:tcPr>
          <w:p w14:paraId="27FCAD92" w14:textId="77777777" w:rsidR="00107ECE" w:rsidRPr="00630F97" w:rsidRDefault="00107ECE" w:rsidP="00AF62E9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630F97">
              <w:rPr>
                <w:rFonts w:cstheme="minorHAnsi"/>
                <w:sz w:val="20"/>
                <w:szCs w:val="20"/>
              </w:rPr>
              <w:t>Realist mechanism</w:t>
            </w:r>
          </w:p>
        </w:tc>
        <w:tc>
          <w:tcPr>
            <w:tcW w:w="3458" w:type="dxa"/>
          </w:tcPr>
          <w:p w14:paraId="239B8292" w14:textId="77777777" w:rsidR="00107ECE" w:rsidRPr="00630F97" w:rsidRDefault="00107ECE" w:rsidP="00AF62E9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30F97">
              <w:rPr>
                <w:rFonts w:cstheme="minorHAnsi"/>
                <w:i/>
                <w:sz w:val="20"/>
                <w:szCs w:val="20"/>
              </w:rPr>
              <w:t>Constraining factors</w:t>
            </w:r>
          </w:p>
        </w:tc>
        <w:tc>
          <w:tcPr>
            <w:tcW w:w="3258" w:type="dxa"/>
          </w:tcPr>
          <w:p w14:paraId="1FECEE49" w14:textId="77777777" w:rsidR="00107ECE" w:rsidRPr="00630F97" w:rsidRDefault="00107ECE" w:rsidP="00AF62E9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30F97">
              <w:rPr>
                <w:rFonts w:cstheme="minorHAnsi"/>
                <w:i/>
                <w:sz w:val="20"/>
                <w:szCs w:val="20"/>
              </w:rPr>
              <w:t>Enabling factors</w:t>
            </w:r>
          </w:p>
        </w:tc>
        <w:tc>
          <w:tcPr>
            <w:tcW w:w="2801" w:type="dxa"/>
          </w:tcPr>
          <w:p w14:paraId="5F7E38CA" w14:textId="77777777" w:rsidR="00107ECE" w:rsidRPr="00630F97" w:rsidRDefault="00107ECE" w:rsidP="00AF62E9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630F97">
              <w:rPr>
                <w:rFonts w:cstheme="minorHAnsi"/>
                <w:sz w:val="20"/>
                <w:szCs w:val="20"/>
              </w:rPr>
              <w:t xml:space="preserve">Outcome </w:t>
            </w:r>
          </w:p>
        </w:tc>
      </w:tr>
      <w:tr w:rsidR="00107ECE" w:rsidRPr="00A1217E" w14:paraId="047C9639" w14:textId="77777777" w:rsidTr="005E56EB">
        <w:trPr>
          <w:trHeight w:val="2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4553A26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History of working together </w:t>
            </w:r>
            <w:r>
              <w:rPr>
                <w:rFonts w:cstheme="minorHAnsi"/>
                <w:sz w:val="20"/>
                <w:szCs w:val="20"/>
              </w:rPr>
              <w:t>and quality of relationships</w:t>
            </w:r>
          </w:p>
        </w:tc>
        <w:tc>
          <w:tcPr>
            <w:tcW w:w="2977" w:type="dxa"/>
          </w:tcPr>
          <w:p w14:paraId="64A4B8EA" w14:textId="77777777" w:rsidR="00107ECE" w:rsidRPr="00D60962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60962">
              <w:rPr>
                <w:rFonts w:cstheme="minorHAnsi"/>
                <w:sz w:val="20"/>
                <w:szCs w:val="20"/>
              </w:rPr>
              <w:t>Successful with previous change efforts</w:t>
            </w:r>
          </w:p>
          <w:p w14:paraId="1E56E58A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Presence of trust among senior leaders of health system partners</w:t>
            </w:r>
          </w:p>
          <w:p w14:paraId="06B0B4A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'Bottom-up' approach to change</w:t>
            </w:r>
          </w:p>
          <w:p w14:paraId="440E41A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8" w:type="dxa"/>
          </w:tcPr>
          <w:p w14:paraId="71F89FB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Negative </w:t>
            </w:r>
            <w:r>
              <w:rPr>
                <w:rFonts w:cstheme="minorHAnsi"/>
                <w:sz w:val="20"/>
                <w:szCs w:val="20"/>
              </w:rPr>
              <w:t>history</w:t>
            </w:r>
            <w:r w:rsidRPr="00A1217E">
              <w:rPr>
                <w:rFonts w:cstheme="minorHAnsi"/>
                <w:sz w:val="20"/>
                <w:szCs w:val="20"/>
              </w:rPr>
              <w:t xml:space="preserve"> of working together</w:t>
            </w:r>
          </w:p>
          <w:p w14:paraId="6A1434B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‘Master-servant’ dynamic between senior leaders in DHBs and PHOs</w:t>
            </w:r>
          </w:p>
          <w:p w14:paraId="2436B5BC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Power and control by senior DHB and PHO leaders</w:t>
            </w:r>
          </w:p>
          <w:p w14:paraId="61E6A6B1" w14:textId="77777777" w:rsidR="00107EC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Focus on hospital </w:t>
            </w:r>
          </w:p>
          <w:p w14:paraId="6895B36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Top-down approaches to </w:t>
            </w:r>
            <w:r w:rsidRPr="003E3A5E">
              <w:rPr>
                <w:sz w:val="20"/>
                <w:szCs w:val="20"/>
              </w:rPr>
              <w:t>LST initiatives</w:t>
            </w:r>
          </w:p>
          <w:p w14:paraId="520FA3B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Frontline health care professionals are not involved in design of solutions or their solutions are not implemented by operational leaders</w:t>
            </w:r>
          </w:p>
        </w:tc>
        <w:tc>
          <w:tcPr>
            <w:tcW w:w="3258" w:type="dxa"/>
          </w:tcPr>
          <w:p w14:paraId="3D07CF7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Positive </w:t>
            </w:r>
            <w:r>
              <w:rPr>
                <w:rFonts w:cstheme="minorHAnsi"/>
                <w:sz w:val="20"/>
                <w:szCs w:val="20"/>
              </w:rPr>
              <w:t>history</w:t>
            </w:r>
            <w:r w:rsidRPr="00A1217E">
              <w:rPr>
                <w:rFonts w:cstheme="minorHAnsi"/>
                <w:sz w:val="20"/>
                <w:szCs w:val="20"/>
              </w:rPr>
              <w:t xml:space="preserve"> of working together</w:t>
            </w:r>
          </w:p>
          <w:p w14:paraId="6FAFB07F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Senior leaders value relationship and collective action through ‘bottom-up’ approaches to </w:t>
            </w:r>
            <w:r w:rsidRPr="003E3A5E">
              <w:rPr>
                <w:sz w:val="20"/>
                <w:szCs w:val="20"/>
              </w:rPr>
              <w:t>LST initiatives</w:t>
            </w:r>
          </w:p>
          <w:p w14:paraId="4212D9EB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DHB shares power with other system leaders</w:t>
            </w:r>
          </w:p>
          <w:p w14:paraId="683EE7DB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DHBs recognise the system outside the hospital </w:t>
            </w:r>
          </w:p>
          <w:p w14:paraId="5051B47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Frontline health care professionals are given tools, are involved in design of solutions and see their solutions being implemented </w:t>
            </w:r>
          </w:p>
        </w:tc>
        <w:tc>
          <w:tcPr>
            <w:tcW w:w="2801" w:type="dxa"/>
          </w:tcPr>
          <w:p w14:paraId="698444DD" w14:textId="77777777" w:rsidR="00107ECE" w:rsidRPr="008D03C3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D03C3">
              <w:rPr>
                <w:rFonts w:cstheme="minorHAnsi"/>
                <w:sz w:val="20"/>
                <w:szCs w:val="20"/>
              </w:rPr>
              <w:t>Enhanced trust</w:t>
            </w:r>
          </w:p>
          <w:p w14:paraId="1252CF1E" w14:textId="77777777" w:rsidR="00107ECE" w:rsidRPr="008D03C3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D03C3">
              <w:rPr>
                <w:rFonts w:cstheme="minorHAnsi"/>
                <w:sz w:val="20"/>
                <w:szCs w:val="20"/>
              </w:rPr>
              <w:t>Enhanced quality of relationships</w:t>
            </w:r>
          </w:p>
          <w:p w14:paraId="0DE07CE8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DHB senior leaders practi</w:t>
            </w:r>
            <w:r>
              <w:rPr>
                <w:rFonts w:cstheme="minorHAnsi"/>
                <w:sz w:val="20"/>
                <w:szCs w:val="20"/>
              </w:rPr>
              <w:t>s</w:t>
            </w:r>
            <w:r w:rsidRPr="00B27790">
              <w:rPr>
                <w:rFonts w:cstheme="minorHAnsi"/>
                <w:sz w:val="20"/>
                <w:szCs w:val="20"/>
              </w:rPr>
              <w:t>e distributed leadership</w:t>
            </w:r>
          </w:p>
          <w:p w14:paraId="78247CEF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Clinical and operational leaders are more willing to come together, share resources, data and ideas and attempt on change efforts</w:t>
            </w:r>
          </w:p>
          <w:p w14:paraId="2AD9E6EB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Clinicians feel empowered to improve the system they work in</w:t>
            </w:r>
          </w:p>
        </w:tc>
      </w:tr>
      <w:tr w:rsidR="00107ECE" w:rsidRPr="00A1217E" w14:paraId="79F3AACE" w14:textId="77777777" w:rsidTr="005E56EB">
        <w:trPr>
          <w:trHeight w:val="29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3A9BBBCF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Distributed leadership from DHB leaders</w:t>
            </w:r>
          </w:p>
        </w:tc>
        <w:tc>
          <w:tcPr>
            <w:tcW w:w="2977" w:type="dxa"/>
          </w:tcPr>
          <w:p w14:paraId="0380C966" w14:textId="77777777" w:rsidR="00107ECE" w:rsidRPr="005B258F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B258F">
              <w:rPr>
                <w:rFonts w:cstheme="minorHAnsi"/>
                <w:sz w:val="20"/>
                <w:szCs w:val="20"/>
              </w:rPr>
              <w:t>People see sharing of power and feel less threatened by the size of organisation or budget</w:t>
            </w:r>
          </w:p>
          <w:p w14:paraId="7EBAEF5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Fosters a collective approach to implementation of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</w:p>
          <w:p w14:paraId="647C0F8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Staff are clear on vision and goals and use these to prioritise their work and feel confident to do things differently</w:t>
            </w:r>
          </w:p>
        </w:tc>
        <w:tc>
          <w:tcPr>
            <w:tcW w:w="3458" w:type="dxa"/>
          </w:tcPr>
          <w:p w14:paraId="066BA54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Low-trust relationships between DHBs and PHOs</w:t>
            </w:r>
          </w:p>
          <w:p w14:paraId="6AB141DA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Command and control leadership style of senior leaders in DHBs and PHOs</w:t>
            </w:r>
          </w:p>
          <w:p w14:paraId="2D3841F5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Power and control by senior DHB and PHO leaders</w:t>
            </w:r>
          </w:p>
          <w:p w14:paraId="62470DD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Poor history of working together</w:t>
            </w:r>
          </w:p>
          <w:p w14:paraId="5AEB205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Focus on hospital</w:t>
            </w:r>
          </w:p>
          <w:p w14:paraId="0945642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Change fatigue</w:t>
            </w:r>
          </w:p>
        </w:tc>
        <w:tc>
          <w:tcPr>
            <w:tcW w:w="3258" w:type="dxa"/>
          </w:tcPr>
          <w:p w14:paraId="46201A3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High-trust relationships between DHBs and PHOs</w:t>
            </w:r>
          </w:p>
          <w:p w14:paraId="589B697B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Collaborative, collective or distributed leadership styles of senior leaders in DHBs and PHOs</w:t>
            </w:r>
          </w:p>
          <w:p w14:paraId="5D2A6CEC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Positive history of working together</w:t>
            </w:r>
          </w:p>
          <w:p w14:paraId="3FA1806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Strong and courageous leadership</w:t>
            </w:r>
          </w:p>
          <w:p w14:paraId="31C729F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DHBs recognise the system outside the hospital</w:t>
            </w:r>
          </w:p>
        </w:tc>
        <w:tc>
          <w:tcPr>
            <w:tcW w:w="2801" w:type="dxa"/>
          </w:tcPr>
          <w:p w14:paraId="40A18D98" w14:textId="77777777" w:rsidR="00107ECE" w:rsidRPr="00DC20C7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C20C7">
              <w:rPr>
                <w:rFonts w:eastAsia="Times New Roman" w:cstheme="minorHAnsi"/>
                <w:color w:val="000000"/>
                <w:sz w:val="20"/>
                <w:szCs w:val="20"/>
              </w:rPr>
              <w:t>Trust between senior system leaders is nurtured and sustained</w:t>
            </w:r>
          </w:p>
          <w:p w14:paraId="10C1E82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217E">
              <w:rPr>
                <w:rFonts w:eastAsia="Times New Roman" w:cstheme="minorHAnsi"/>
                <w:color w:val="000000"/>
                <w:sz w:val="20"/>
                <w:szCs w:val="20"/>
              </w:rPr>
              <w:t>Senior leaders in the district agree on an agreed integrated work programme for their district that includes a shared vision and goals; and all actors commit to working towards the agreed work programme</w:t>
            </w:r>
          </w:p>
        </w:tc>
      </w:tr>
      <w:tr w:rsidR="00107ECE" w:rsidRPr="00A1217E" w14:paraId="28E188EC" w14:textId="77777777" w:rsidTr="005E56EB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3EC9919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Maturity of </w:t>
            </w: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>s</w:t>
            </w:r>
          </w:p>
        </w:tc>
        <w:tc>
          <w:tcPr>
            <w:tcW w:w="2977" w:type="dxa"/>
          </w:tcPr>
          <w:p w14:paraId="76BA1C1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members </w:t>
            </w:r>
            <w:proofErr w:type="gramStart"/>
            <w:r w:rsidRPr="00A1217E">
              <w:rPr>
                <w:rFonts w:cstheme="minorHAnsi"/>
                <w:sz w:val="20"/>
                <w:szCs w:val="20"/>
              </w:rPr>
              <w:t>are able to</w:t>
            </w:r>
            <w:proofErr w:type="gramEnd"/>
            <w:r w:rsidRPr="00A1217E">
              <w:rPr>
                <w:rFonts w:cstheme="minorHAnsi"/>
                <w:sz w:val="20"/>
                <w:szCs w:val="20"/>
              </w:rPr>
              <w:t xml:space="preserve"> navigate through disagreements, deal with emerging issues, overcome changes in senior leadership roles and </w:t>
            </w: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membership, and stay </w:t>
            </w:r>
            <w:r>
              <w:rPr>
                <w:rFonts w:cstheme="minorHAnsi"/>
                <w:sz w:val="20"/>
                <w:szCs w:val="20"/>
              </w:rPr>
              <w:t>focused</w:t>
            </w:r>
            <w:r w:rsidRPr="00A1217E">
              <w:rPr>
                <w:rFonts w:cstheme="minorHAnsi"/>
                <w:sz w:val="20"/>
                <w:szCs w:val="20"/>
              </w:rPr>
              <w:t xml:space="preserve"> towards the shared vision </w:t>
            </w:r>
          </w:p>
          <w:p w14:paraId="5CD4672F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8" w:type="dxa"/>
          </w:tcPr>
          <w:p w14:paraId="5B87653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 xml:space="preserve">Lack of an </w:t>
            </w:r>
            <w:r>
              <w:rPr>
                <w:rFonts w:cstheme="minorHAnsi"/>
                <w:sz w:val="20"/>
                <w:szCs w:val="20"/>
              </w:rPr>
              <w:t>Alliance</w:t>
            </w:r>
          </w:p>
          <w:p w14:paraId="7441F0F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a whole-of-system approach</w:t>
            </w:r>
          </w:p>
          <w:p w14:paraId="20C5868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a shared vision and goals</w:t>
            </w:r>
          </w:p>
          <w:p w14:paraId="54C794D5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Lack of resources to support the </w:t>
            </w:r>
            <w:r>
              <w:rPr>
                <w:rFonts w:cstheme="minorHAnsi"/>
                <w:sz w:val="20"/>
                <w:szCs w:val="20"/>
              </w:rPr>
              <w:t>Alliance</w:t>
            </w:r>
          </w:p>
          <w:p w14:paraId="07A57F6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 xml:space="preserve">Lack of sharing data and intelligence </w:t>
            </w:r>
          </w:p>
          <w:p w14:paraId="73156BF4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Agreed </w:t>
            </w: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charter in place but behaviours of members do not reflect the way of working described in the charter</w:t>
            </w:r>
          </w:p>
        </w:tc>
        <w:tc>
          <w:tcPr>
            <w:tcW w:w="3258" w:type="dxa"/>
          </w:tcPr>
          <w:p w14:paraId="17DB722B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 xml:space="preserve">High-trust relationships </w:t>
            </w:r>
          </w:p>
          <w:p w14:paraId="58B79F4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Shared vision and goals</w:t>
            </w:r>
          </w:p>
          <w:p w14:paraId="176667D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Commitment among </w:t>
            </w: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partners to work towards shared vision and goals</w:t>
            </w:r>
          </w:p>
          <w:p w14:paraId="4EA9B4E3" w14:textId="4FEB8CF1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 xml:space="preserve">Members of the </w:t>
            </w: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live the agreed charter</w:t>
            </w:r>
          </w:p>
          <w:p w14:paraId="5F8D3AE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has independent chair.</w:t>
            </w:r>
          </w:p>
          <w:p w14:paraId="4818E8D0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has mandate and embedded within DHB governance structure</w:t>
            </w:r>
          </w:p>
          <w:p w14:paraId="7EA83EF0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is supported by lower level structures such as working groups</w:t>
            </w:r>
          </w:p>
        </w:tc>
        <w:tc>
          <w:tcPr>
            <w:tcW w:w="2801" w:type="dxa"/>
          </w:tcPr>
          <w:p w14:paraId="1783730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is cohesive and resilient and </w:t>
            </w:r>
            <w:proofErr w:type="gramStart"/>
            <w:r w:rsidRPr="00A1217E">
              <w:rPr>
                <w:rFonts w:cstheme="minorHAnsi"/>
                <w:sz w:val="20"/>
                <w:szCs w:val="20"/>
              </w:rPr>
              <w:t>is able to</w:t>
            </w:r>
            <w:proofErr w:type="gramEnd"/>
            <w:r w:rsidRPr="00A1217E">
              <w:rPr>
                <w:rFonts w:cstheme="minorHAnsi"/>
                <w:sz w:val="20"/>
                <w:szCs w:val="20"/>
              </w:rPr>
              <w:t xml:space="preserve"> successfully implement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</w:p>
        </w:tc>
      </w:tr>
      <w:tr w:rsidR="00107ECE" w:rsidRPr="00A1217E" w14:paraId="3E0D8DC5" w14:textId="77777777" w:rsidTr="005E5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F4E9F59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Capacity and capability </w:t>
            </w:r>
          </w:p>
        </w:tc>
        <w:tc>
          <w:tcPr>
            <w:tcW w:w="2977" w:type="dxa"/>
          </w:tcPr>
          <w:p w14:paraId="3643FC77" w14:textId="77777777" w:rsidR="00107ECE" w:rsidRPr="00BA5CB7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A5CB7">
              <w:rPr>
                <w:rFonts w:cstheme="minorHAnsi"/>
                <w:sz w:val="20"/>
                <w:szCs w:val="20"/>
              </w:rPr>
              <w:t>System leaders recognise the importance of capacity and capability for implementation of LST initiatives</w:t>
            </w:r>
          </w:p>
          <w:p w14:paraId="693920B1" w14:textId="77777777" w:rsidR="00107ECE" w:rsidRPr="00BA5CB7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A5CB7">
              <w:rPr>
                <w:rFonts w:cstheme="minorHAnsi"/>
                <w:sz w:val="20"/>
                <w:szCs w:val="20"/>
              </w:rPr>
              <w:t>Use of data and evidence in change efforts</w:t>
            </w:r>
          </w:p>
          <w:p w14:paraId="4FA820BC" w14:textId="77777777" w:rsidR="00107ECE" w:rsidRPr="00BA5CB7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A5CB7">
              <w:rPr>
                <w:rFonts w:cstheme="minorHAnsi"/>
                <w:sz w:val="20"/>
                <w:szCs w:val="20"/>
              </w:rPr>
              <w:t>Health care professionals see value in the use of integrated health information</w:t>
            </w:r>
          </w:p>
          <w:p w14:paraId="7FFC9E7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8" w:type="dxa"/>
          </w:tcPr>
          <w:p w14:paraId="19592B95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awareness by senior leaders on the capacity and capability of their organisation</w:t>
            </w:r>
          </w:p>
          <w:p w14:paraId="0CE9A48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Power and control by senior DHB and PHO leaders</w:t>
            </w:r>
          </w:p>
          <w:p w14:paraId="7A58DD9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Frequent changes to senior leadership roles</w:t>
            </w:r>
          </w:p>
          <w:p w14:paraId="3E3A36A3" w14:textId="77777777" w:rsidR="00107EC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Poor relationships</w:t>
            </w:r>
          </w:p>
          <w:p w14:paraId="5A4ECF0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Lack of dedicated analytic resources, skilled project or programme managers, budget and evaluative processes </w:t>
            </w:r>
          </w:p>
          <w:p w14:paraId="1C6901C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Lack of or out of date appropriate information technology tools </w:t>
            </w:r>
          </w:p>
          <w:p w14:paraId="03761F04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Clinicians not reimbursed for their loss of income or costs to attend meetings</w:t>
            </w:r>
          </w:p>
          <w:p w14:paraId="6590894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Change management added to existing work demands of those in the system</w:t>
            </w:r>
          </w:p>
          <w:p w14:paraId="74EE9AA4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58" w:type="dxa"/>
          </w:tcPr>
          <w:p w14:paraId="00AF747A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Continuity of system leadership roles</w:t>
            </w:r>
          </w:p>
          <w:p w14:paraId="6614193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Senior leaders value relationships</w:t>
            </w:r>
          </w:p>
          <w:p w14:paraId="2C17B22A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High-trust relationships</w:t>
            </w:r>
          </w:p>
          <w:p w14:paraId="241AC52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Willingness to share power, successes and failures Integrated health information </w:t>
            </w:r>
          </w:p>
          <w:p w14:paraId="320974F5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Analytic capability</w:t>
            </w:r>
          </w:p>
          <w:p w14:paraId="2FD8990C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Dedicated personnel with right skills recruited or re-directed to co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Pr="00A1217E">
              <w:rPr>
                <w:rFonts w:cstheme="minorHAnsi"/>
                <w:sz w:val="20"/>
                <w:szCs w:val="20"/>
              </w:rPr>
              <w:t>ordinate and or assist with change efforts</w:t>
            </w:r>
          </w:p>
          <w:p w14:paraId="2374241F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Time and incentives available for clinical leaders to engage in </w:t>
            </w:r>
            <w:r>
              <w:rPr>
                <w:rFonts w:cstheme="minorHAnsi"/>
                <w:sz w:val="20"/>
                <w:szCs w:val="20"/>
              </w:rPr>
              <w:t>Alliance</w:t>
            </w:r>
            <w:r w:rsidRPr="00A1217E">
              <w:rPr>
                <w:rFonts w:cstheme="minorHAnsi"/>
                <w:sz w:val="20"/>
                <w:szCs w:val="20"/>
              </w:rPr>
              <w:t xml:space="preserve"> leadership team</w:t>
            </w:r>
          </w:p>
          <w:p w14:paraId="399A8D0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Meetings held at times suitable for clinicians and frontline staff to attend</w:t>
            </w:r>
          </w:p>
          <w:p w14:paraId="7921489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Clinicians provided with locum to backfill</w:t>
            </w:r>
          </w:p>
          <w:p w14:paraId="0CEABD2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Clinicians reimbursed for their loss of income and costs to attend meetings</w:t>
            </w:r>
          </w:p>
        </w:tc>
        <w:tc>
          <w:tcPr>
            <w:tcW w:w="2801" w:type="dxa"/>
          </w:tcPr>
          <w:p w14:paraId="24670AB0" w14:textId="77777777" w:rsidR="00107ECE" w:rsidRPr="001A1112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A1112">
              <w:rPr>
                <w:rFonts w:cstheme="minorHAnsi"/>
                <w:sz w:val="20"/>
                <w:szCs w:val="20"/>
              </w:rPr>
              <w:t>System leaders invest in organisational capacity and capability</w:t>
            </w:r>
          </w:p>
          <w:p w14:paraId="2011B80A" w14:textId="77777777" w:rsidR="00107ECE" w:rsidRPr="001A1112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A1112">
              <w:rPr>
                <w:rFonts w:cstheme="minorHAnsi"/>
                <w:sz w:val="20"/>
                <w:szCs w:val="20"/>
              </w:rPr>
              <w:t>Willingness of system leaders to partner with other organisations to boost capacity and capability</w:t>
            </w:r>
          </w:p>
          <w:p w14:paraId="62CE10A7" w14:textId="77777777" w:rsidR="00107ECE" w:rsidRPr="001A1112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A1112">
              <w:rPr>
                <w:rFonts w:cstheme="minorHAnsi"/>
                <w:sz w:val="20"/>
                <w:szCs w:val="20"/>
              </w:rPr>
              <w:t>Stronger clinical engagement in identification of meaningful quality improvement activities</w:t>
            </w:r>
          </w:p>
          <w:p w14:paraId="1661B947" w14:textId="77777777" w:rsidR="00107ECE" w:rsidRPr="001A1112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A1112">
              <w:rPr>
                <w:rFonts w:cstheme="minorHAnsi"/>
                <w:sz w:val="20"/>
                <w:szCs w:val="20"/>
              </w:rPr>
              <w:t>Health care professionals more likely to share patient level data across the system</w:t>
            </w:r>
          </w:p>
        </w:tc>
      </w:tr>
      <w:tr w:rsidR="00107ECE" w:rsidRPr="00A1217E" w14:paraId="3601CEEC" w14:textId="77777777" w:rsidTr="005E56EB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9048227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 xml:space="preserve">Continuous improvement culture </w:t>
            </w:r>
          </w:p>
        </w:tc>
        <w:tc>
          <w:tcPr>
            <w:tcW w:w="2977" w:type="dxa"/>
          </w:tcPr>
          <w:p w14:paraId="2D01E5D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Active support from senior system leaders for a continuous improvement approach </w:t>
            </w:r>
          </w:p>
          <w:p w14:paraId="3CDC250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Staff feel encouraged and supported to challenge status quo and try new initiatives </w:t>
            </w:r>
          </w:p>
          <w:p w14:paraId="6484696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8" w:type="dxa"/>
          </w:tcPr>
          <w:p w14:paraId="46CCB70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Sole focus on accountability reporting</w:t>
            </w:r>
          </w:p>
          <w:p w14:paraId="3695CE1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organisational values or values do not support continuous improvement</w:t>
            </w:r>
          </w:p>
          <w:p w14:paraId="2C0F7C8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awareness, availability and use of improvement science tools and methodology</w:t>
            </w:r>
          </w:p>
          <w:p w14:paraId="692927C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buy-in from senior system leaders</w:t>
            </w:r>
          </w:p>
          <w:p w14:paraId="6AE7C3E0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Culture of blame</w:t>
            </w:r>
          </w:p>
        </w:tc>
        <w:tc>
          <w:tcPr>
            <w:tcW w:w="3258" w:type="dxa"/>
          </w:tcPr>
          <w:p w14:paraId="5852464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Balance between accountability and continuous improvement</w:t>
            </w:r>
          </w:p>
          <w:p w14:paraId="675E42BE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Organisational values support continuous improvement</w:t>
            </w:r>
          </w:p>
          <w:p w14:paraId="26335B0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Use of constant feedback loops and plan-do-study-act processes</w:t>
            </w:r>
          </w:p>
          <w:p w14:paraId="1B37D384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Use of evaluation processes</w:t>
            </w:r>
          </w:p>
          <w:p w14:paraId="47BA3CBB" w14:textId="59330824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A permissive culture to try new initiatives (i.e., Safe to fail)</w:t>
            </w:r>
          </w:p>
        </w:tc>
        <w:tc>
          <w:tcPr>
            <w:tcW w:w="2801" w:type="dxa"/>
          </w:tcPr>
          <w:p w14:paraId="4EB89A3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Organisations embrace critique and look to continuously improve their performance </w:t>
            </w:r>
          </w:p>
          <w:p w14:paraId="1B01FADE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107ECE" w:rsidRPr="00A1217E" w14:paraId="30C163DB" w14:textId="77777777" w:rsidTr="005E56EB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E6BF704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‘New power’ approach to </w:t>
            </w:r>
            <w:r>
              <w:rPr>
                <w:rFonts w:cstheme="minorHAnsi"/>
                <w:sz w:val="20"/>
                <w:szCs w:val="20"/>
              </w:rPr>
              <w:t>design and implementation of LST initiatives</w:t>
            </w:r>
          </w:p>
        </w:tc>
        <w:tc>
          <w:tcPr>
            <w:tcW w:w="2977" w:type="dxa"/>
          </w:tcPr>
          <w:p w14:paraId="0EF0590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Cs/>
                <w:sz w:val="20"/>
                <w:szCs w:val="20"/>
              </w:rPr>
            </w:pPr>
            <w:r w:rsidRPr="00A1217E">
              <w:rPr>
                <w:rFonts w:cstheme="minorHAnsi"/>
                <w:bCs/>
                <w:iCs/>
                <w:sz w:val="20"/>
                <w:szCs w:val="20"/>
              </w:rPr>
              <w:t>Confidence in system actors to be innovative and do things differently</w:t>
            </w:r>
          </w:p>
        </w:tc>
        <w:tc>
          <w:tcPr>
            <w:tcW w:w="3458" w:type="dxa"/>
          </w:tcPr>
          <w:p w14:paraId="35933B4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dedicated resources and time</w:t>
            </w:r>
          </w:p>
          <w:p w14:paraId="6C55EA4F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political mandate and credibility</w:t>
            </w:r>
          </w:p>
          <w:p w14:paraId="370AB88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financial incentives</w:t>
            </w:r>
          </w:p>
          <w:p w14:paraId="31561F8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Disconnect between national policies and planning processes </w:t>
            </w:r>
          </w:p>
          <w:p w14:paraId="5004945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258" w:type="dxa"/>
          </w:tcPr>
          <w:p w14:paraId="5ABC026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Dedicated resources and time</w:t>
            </w:r>
          </w:p>
          <w:p w14:paraId="79B53515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National improvement or seed funding available</w:t>
            </w:r>
          </w:p>
          <w:p w14:paraId="37C256A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Collaborative development and implementation of the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</w:p>
          <w:p w14:paraId="3582E710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Financial incentives</w:t>
            </w:r>
          </w:p>
        </w:tc>
        <w:tc>
          <w:tcPr>
            <w:tcW w:w="2801" w:type="dxa"/>
          </w:tcPr>
          <w:p w14:paraId="79E7129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Cs/>
                <w:sz w:val="20"/>
                <w:szCs w:val="20"/>
              </w:rPr>
            </w:pPr>
            <w:r w:rsidRPr="00A1217E">
              <w:rPr>
                <w:rFonts w:cstheme="minorHAnsi"/>
                <w:bCs/>
                <w:iCs/>
                <w:sz w:val="20"/>
                <w:szCs w:val="20"/>
              </w:rPr>
              <w:t xml:space="preserve">Sustained engagement with implementation of </w:t>
            </w:r>
            <w:r>
              <w:rPr>
                <w:rFonts w:cstheme="minorHAnsi"/>
                <w:bCs/>
                <w:iCs/>
                <w:sz w:val="20"/>
                <w:szCs w:val="20"/>
              </w:rPr>
              <w:t>LST initiatives</w:t>
            </w:r>
          </w:p>
        </w:tc>
      </w:tr>
      <w:tr w:rsidR="00107ECE" w:rsidRPr="00A1217E" w14:paraId="2A663959" w14:textId="77777777" w:rsidTr="005E5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6208E2C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Election cycle</w:t>
            </w:r>
          </w:p>
        </w:tc>
        <w:tc>
          <w:tcPr>
            <w:tcW w:w="2977" w:type="dxa"/>
          </w:tcPr>
          <w:p w14:paraId="29FAD7A5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Short-term focus on system transformation</w:t>
            </w:r>
          </w:p>
          <w:p w14:paraId="172FAE7C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8" w:type="dxa"/>
          </w:tcPr>
          <w:p w14:paraId="1B4580D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Three-year election cycle</w:t>
            </w:r>
          </w:p>
          <w:p w14:paraId="546CC85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Rapid change in national policies and budget packages</w:t>
            </w:r>
          </w:p>
          <w:p w14:paraId="6C4EA4B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Constant reforms with change of governments</w:t>
            </w:r>
          </w:p>
          <w:p w14:paraId="20111A8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Use of pilot studies</w:t>
            </w:r>
          </w:p>
          <w:p w14:paraId="4B32989C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Change in key leadership roles</w:t>
            </w:r>
          </w:p>
        </w:tc>
        <w:tc>
          <w:tcPr>
            <w:tcW w:w="3258" w:type="dxa"/>
          </w:tcPr>
          <w:p w14:paraId="6F15790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Presence of high-level think tank</w:t>
            </w:r>
          </w:p>
          <w:p w14:paraId="25D0F20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Shared vision for the system</w:t>
            </w:r>
          </w:p>
          <w:p w14:paraId="5BE1294A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Long-term planning that is enduring to change in government</w:t>
            </w:r>
          </w:p>
        </w:tc>
        <w:tc>
          <w:tcPr>
            <w:tcW w:w="2801" w:type="dxa"/>
          </w:tcPr>
          <w:p w14:paraId="67F9F1AB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Disruption to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  <w:r w:rsidRPr="00A1217E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AB91BA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107ECE" w:rsidRPr="00A1217E" w14:paraId="328CC522" w14:textId="77777777" w:rsidTr="005E56EB">
        <w:trPr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EB2CBFF" w14:textId="77777777" w:rsidR="00107ECE" w:rsidRPr="00A1217E" w:rsidRDefault="00107ECE" w:rsidP="00AF62E9">
            <w:pPr>
              <w:spacing w:before="40" w:after="4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 xml:space="preserve">National policy </w:t>
            </w:r>
            <w:r>
              <w:rPr>
                <w:rFonts w:cstheme="minorHAnsi"/>
                <w:sz w:val="20"/>
                <w:szCs w:val="20"/>
              </w:rPr>
              <w:t>environment</w:t>
            </w:r>
          </w:p>
          <w:p w14:paraId="1C48C61D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2EE4FD2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Change fatigue that creates resistance to change or inertia in the system</w:t>
            </w:r>
          </w:p>
          <w:p w14:paraId="21D0D155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8" w:type="dxa"/>
          </w:tcPr>
          <w:p w14:paraId="62FB6FA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shared vision or clear strong foundation for the system</w:t>
            </w:r>
          </w:p>
          <w:p w14:paraId="62F69E2C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The MoH does not share with the sector the policy advice given to Ministers and their response to it (lack of transparency)</w:t>
            </w:r>
          </w:p>
          <w:p w14:paraId="2A1EF5A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Change in key leadership roles such as the Director General of Health</w:t>
            </w:r>
          </w:p>
        </w:tc>
        <w:tc>
          <w:tcPr>
            <w:tcW w:w="3258" w:type="dxa"/>
          </w:tcPr>
          <w:p w14:paraId="00C297DB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Presence of high-level think tank</w:t>
            </w:r>
          </w:p>
          <w:p w14:paraId="4448690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Shared vision for the system through collaborative policy design</w:t>
            </w:r>
          </w:p>
          <w:p w14:paraId="28F1FB6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Long-term planning that is enduring to change in government</w:t>
            </w:r>
          </w:p>
          <w:p w14:paraId="6647474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Transparency in policy advice provided to the Ministers</w:t>
            </w:r>
          </w:p>
        </w:tc>
        <w:tc>
          <w:tcPr>
            <w:tcW w:w="2801" w:type="dxa"/>
          </w:tcPr>
          <w:p w14:paraId="5786885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Inertia in the system blocks or resists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</w:p>
          <w:p w14:paraId="5F28929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107ECE" w:rsidRPr="00A1217E" w14:paraId="22111B4D" w14:textId="77777777" w:rsidTr="005E56EB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D73831D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Government ideology</w:t>
            </w:r>
          </w:p>
        </w:tc>
        <w:tc>
          <w:tcPr>
            <w:tcW w:w="2977" w:type="dxa"/>
          </w:tcPr>
          <w:p w14:paraId="3379E09A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Collaborative or competitive behaviour that follows the government ideology</w:t>
            </w:r>
          </w:p>
          <w:p w14:paraId="65AA5174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8" w:type="dxa"/>
          </w:tcPr>
          <w:p w14:paraId="5203C35B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Competitive funding environment that erodes trust and collective action on shared vision</w:t>
            </w:r>
          </w:p>
          <w:p w14:paraId="756A4954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Different philosophical underpinnings of other government agencies which influence wider social determinants of health</w:t>
            </w:r>
          </w:p>
        </w:tc>
        <w:tc>
          <w:tcPr>
            <w:tcW w:w="3258" w:type="dxa"/>
          </w:tcPr>
          <w:p w14:paraId="098C227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Collaborative ideology</w:t>
            </w:r>
          </w:p>
          <w:p w14:paraId="6012E7F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Policies and agendas of other government agencies are aligned with the health system</w:t>
            </w:r>
          </w:p>
          <w:p w14:paraId="5059425F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Shared vision for the health system </w:t>
            </w:r>
          </w:p>
          <w:p w14:paraId="0B54225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Funding environment that builds trust and generates collective action towards shared vision</w:t>
            </w:r>
          </w:p>
        </w:tc>
        <w:tc>
          <w:tcPr>
            <w:tcW w:w="2801" w:type="dxa"/>
          </w:tcPr>
          <w:p w14:paraId="35B5FF54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Government ideology influences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  <w:r w:rsidRPr="00A1217E">
              <w:rPr>
                <w:rFonts w:cstheme="minorHAnsi"/>
                <w:sz w:val="20"/>
                <w:szCs w:val="20"/>
              </w:rPr>
              <w:t xml:space="preserve"> (can be positive or negative influence) </w:t>
            </w:r>
          </w:p>
        </w:tc>
      </w:tr>
      <w:tr w:rsidR="00107ECE" w:rsidRPr="00A1217E" w14:paraId="19B4B9B9" w14:textId="77777777" w:rsidTr="005E56EB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5510E07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Media bias</w:t>
            </w:r>
          </w:p>
        </w:tc>
        <w:tc>
          <w:tcPr>
            <w:tcW w:w="2977" w:type="dxa"/>
          </w:tcPr>
          <w:p w14:paraId="1193C6B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Fosters a blame culture that suffocates the notion of a learning system </w:t>
            </w:r>
          </w:p>
        </w:tc>
        <w:tc>
          <w:tcPr>
            <w:tcW w:w="3458" w:type="dxa"/>
          </w:tcPr>
          <w:p w14:paraId="6D3BE9DE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Public reprimand of senior leaders for not meeting accountability goals</w:t>
            </w:r>
          </w:p>
          <w:p w14:paraId="2E87E61B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shared vision or clear strong foundation for the system</w:t>
            </w:r>
          </w:p>
        </w:tc>
        <w:tc>
          <w:tcPr>
            <w:tcW w:w="3258" w:type="dxa"/>
          </w:tcPr>
          <w:p w14:paraId="2E93686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Presence of high-level think tank</w:t>
            </w:r>
          </w:p>
          <w:p w14:paraId="68194C60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Shared vision for the system</w:t>
            </w:r>
          </w:p>
          <w:p w14:paraId="2D93DC9D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Long-term planning that is enduring to change in government</w:t>
            </w:r>
          </w:p>
        </w:tc>
        <w:tc>
          <w:tcPr>
            <w:tcW w:w="2801" w:type="dxa"/>
          </w:tcPr>
          <w:p w14:paraId="1C832F6E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Senior leaders do not support or engage in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</w:p>
          <w:p w14:paraId="6FBF51DF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107ECE" w:rsidRPr="00A1217E" w14:paraId="27338192" w14:textId="77777777" w:rsidTr="005E56EB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5459C4A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Health system </w:t>
            </w:r>
            <w:r w:rsidRPr="00A1217E">
              <w:rPr>
                <w:rFonts w:cstheme="minorHAnsi"/>
                <w:sz w:val="20"/>
                <w:szCs w:val="20"/>
              </w:rPr>
              <w:t>leadership</w:t>
            </w:r>
          </w:p>
        </w:tc>
        <w:tc>
          <w:tcPr>
            <w:tcW w:w="2977" w:type="dxa"/>
          </w:tcPr>
          <w:p w14:paraId="1A89918F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Fostering collective system leadership</w:t>
            </w:r>
          </w:p>
          <w:p w14:paraId="2AA1EA2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Supporting and celebrating innovations</w:t>
            </w:r>
          </w:p>
        </w:tc>
        <w:tc>
          <w:tcPr>
            <w:tcW w:w="3458" w:type="dxa"/>
          </w:tcPr>
          <w:p w14:paraId="20A08D6C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shared vision or clear strong foundation for the system</w:t>
            </w:r>
          </w:p>
          <w:p w14:paraId="4A5E2500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Unclear expectations of system leaders</w:t>
            </w:r>
          </w:p>
          <w:p w14:paraId="18BE56C1" w14:textId="77777777" w:rsidR="00107EC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The MoH’s performance monitoring frameworks focus on DHB bottom line </w:t>
            </w:r>
          </w:p>
          <w:p w14:paraId="5912F737" w14:textId="74349A48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Service improvements are often seen as </w:t>
            </w:r>
            <w:r w:rsidR="003A19F8">
              <w:rPr>
                <w:rFonts w:cstheme="minorHAnsi"/>
                <w:i/>
                <w:sz w:val="20"/>
                <w:szCs w:val="20"/>
              </w:rPr>
              <w:t>‘</w:t>
            </w:r>
            <w:r w:rsidRPr="00A1217E">
              <w:rPr>
                <w:rFonts w:cstheme="minorHAnsi"/>
                <w:i/>
                <w:sz w:val="20"/>
                <w:szCs w:val="20"/>
              </w:rPr>
              <w:t>woolly and soft</w:t>
            </w:r>
            <w:r w:rsidR="003A19F8">
              <w:rPr>
                <w:rFonts w:cstheme="minorHAnsi"/>
                <w:i/>
                <w:sz w:val="20"/>
                <w:szCs w:val="20"/>
              </w:rPr>
              <w:t>’</w:t>
            </w:r>
            <w:r w:rsidRPr="00A1217E">
              <w:rPr>
                <w:rFonts w:cstheme="minorHAnsi"/>
                <w:sz w:val="20"/>
                <w:szCs w:val="20"/>
              </w:rPr>
              <w:t xml:space="preserve"> an</w:t>
            </w:r>
            <w:r>
              <w:rPr>
                <w:rFonts w:cstheme="minorHAnsi"/>
                <w:sz w:val="20"/>
                <w:szCs w:val="20"/>
              </w:rPr>
              <w:t>d</w:t>
            </w:r>
            <w:r w:rsidRPr="00A1217E">
              <w:rPr>
                <w:rFonts w:cstheme="minorHAnsi"/>
                <w:sz w:val="20"/>
                <w:szCs w:val="20"/>
              </w:rPr>
              <w:t xml:space="preserve"> a nice to have </w:t>
            </w:r>
            <w:r w:rsidR="003A19F8">
              <w:rPr>
                <w:rFonts w:cstheme="minorHAnsi"/>
                <w:sz w:val="20"/>
                <w:szCs w:val="20"/>
              </w:rPr>
              <w:t>‘</w:t>
            </w:r>
            <w:r w:rsidRPr="00A1217E">
              <w:rPr>
                <w:rFonts w:cstheme="minorHAnsi"/>
                <w:i/>
                <w:sz w:val="20"/>
                <w:szCs w:val="20"/>
              </w:rPr>
              <w:t>when the DHB bottom line is sorted</w:t>
            </w:r>
            <w:r w:rsidR="003A19F8">
              <w:rPr>
                <w:rFonts w:cstheme="minorHAnsi"/>
                <w:i/>
                <w:sz w:val="20"/>
                <w:szCs w:val="20"/>
              </w:rPr>
              <w:t>’</w:t>
            </w:r>
          </w:p>
        </w:tc>
        <w:tc>
          <w:tcPr>
            <w:tcW w:w="3258" w:type="dxa"/>
          </w:tcPr>
          <w:p w14:paraId="47A2CF4C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Presence of high-level think tank</w:t>
            </w:r>
          </w:p>
          <w:p w14:paraId="4BF77A0A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Clear expectations of system leaders</w:t>
            </w:r>
          </w:p>
          <w:p w14:paraId="7011ACE5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Long-term planning that is enduring to change in government</w:t>
            </w:r>
          </w:p>
          <w:p w14:paraId="7122B02B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The MoH embracing the improvement function</w:t>
            </w:r>
          </w:p>
          <w:p w14:paraId="5ACD5FE0" w14:textId="77777777" w:rsidR="00107EC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Peer mentoring and support through learning communities </w:t>
            </w:r>
          </w:p>
          <w:p w14:paraId="13E3F0C4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Culture of continuous improvement</w:t>
            </w:r>
          </w:p>
        </w:tc>
        <w:tc>
          <w:tcPr>
            <w:tcW w:w="2801" w:type="dxa"/>
          </w:tcPr>
          <w:p w14:paraId="2A98414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Builds system leadership capacity and capability and facilitates collaborative learning</w:t>
            </w:r>
          </w:p>
          <w:p w14:paraId="2E0C415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Supports the notion of a learning system</w:t>
            </w:r>
          </w:p>
        </w:tc>
      </w:tr>
      <w:tr w:rsidR="00107ECE" w:rsidRPr="00A1217E" w14:paraId="46CD1151" w14:textId="77777777" w:rsidTr="005E56EB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DFE8524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>Funding environment</w:t>
            </w:r>
          </w:p>
        </w:tc>
        <w:tc>
          <w:tcPr>
            <w:tcW w:w="2977" w:type="dxa"/>
          </w:tcPr>
          <w:p w14:paraId="2846C4BE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Provides a motivator or the burning platform for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</w:p>
          <w:p w14:paraId="3DF680DE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8" w:type="dxa"/>
          </w:tcPr>
          <w:p w14:paraId="34BAA84E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No reason to change</w:t>
            </w:r>
          </w:p>
          <w:p w14:paraId="77D7822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Everyone protects their own budget</w:t>
            </w:r>
          </w:p>
          <w:p w14:paraId="21A875B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Micromanagement of budgets</w:t>
            </w:r>
          </w:p>
          <w:p w14:paraId="56B8069A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Funding seen as the sole catalyst for change</w:t>
            </w:r>
          </w:p>
          <w:p w14:paraId="6CE2331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Continued focus on DHB bottom line</w:t>
            </w:r>
          </w:p>
          <w:p w14:paraId="3CCEB77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transparency on how incentive funding is used</w:t>
            </w:r>
          </w:p>
          <w:p w14:paraId="616166C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Inconsistent use of incentive payments</w:t>
            </w:r>
          </w:p>
        </w:tc>
        <w:tc>
          <w:tcPr>
            <w:tcW w:w="3258" w:type="dxa"/>
          </w:tcPr>
          <w:p w14:paraId="70B01D74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System leaders understanding the financial context</w:t>
            </w:r>
          </w:p>
          <w:p w14:paraId="2F66EA72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Natural disasters</w:t>
            </w:r>
          </w:p>
          <w:p w14:paraId="1A3CE245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National fund together with an improvement team to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</w:p>
          <w:p w14:paraId="2CC13627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Systemic and transparent use of incentive funding to support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</w:p>
        </w:tc>
        <w:tc>
          <w:tcPr>
            <w:tcW w:w="2801" w:type="dxa"/>
          </w:tcPr>
          <w:p w14:paraId="0B473BC8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Funding is seen as an enabler for innovative thinking</w:t>
            </w:r>
          </w:p>
        </w:tc>
      </w:tr>
      <w:tr w:rsidR="00107ECE" w:rsidRPr="00B27790" w14:paraId="21CFB778" w14:textId="77777777" w:rsidTr="005E56EB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41E29F7" w14:textId="77777777" w:rsidR="00107ECE" w:rsidRPr="00B27790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System accountability environment</w:t>
            </w:r>
          </w:p>
          <w:p w14:paraId="543CC4E4" w14:textId="77777777" w:rsidR="00107ECE" w:rsidRPr="00B27790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A5A48B4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System leaders place more effort on achieving accountability measures to avoid sanctions and penalties</w:t>
            </w:r>
          </w:p>
          <w:p w14:paraId="34A3EE1E" w14:textId="1E4BE39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 xml:space="preserve">System actors feel disempowered to involve their local communities, </w:t>
            </w:r>
            <w:proofErr w:type="gramStart"/>
            <w:r w:rsidRPr="00B27790">
              <w:rPr>
                <w:rFonts w:cstheme="minorHAnsi"/>
                <w:sz w:val="20"/>
                <w:szCs w:val="20"/>
              </w:rPr>
              <w:t>Māori</w:t>
            </w:r>
            <w:proofErr w:type="gramEnd"/>
            <w:r w:rsidRPr="00B27790">
              <w:rPr>
                <w:rFonts w:cstheme="minorHAnsi"/>
                <w:sz w:val="20"/>
                <w:szCs w:val="20"/>
              </w:rPr>
              <w:t xml:space="preserve"> and </w:t>
            </w:r>
            <w:r w:rsidR="00C66480">
              <w:rPr>
                <w:rFonts w:cstheme="minorHAnsi"/>
                <w:sz w:val="20"/>
                <w:szCs w:val="20"/>
              </w:rPr>
              <w:t>i</w:t>
            </w:r>
            <w:r w:rsidRPr="00B27790">
              <w:rPr>
                <w:rFonts w:cstheme="minorHAnsi"/>
                <w:sz w:val="20"/>
                <w:szCs w:val="20"/>
              </w:rPr>
              <w:t>wi</w:t>
            </w:r>
          </w:p>
          <w:p w14:paraId="0FF2CEBE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8" w:type="dxa"/>
          </w:tcPr>
          <w:p w14:paraId="70F1FA54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 xml:space="preserve">National template driven approach to system accountability </w:t>
            </w:r>
          </w:p>
          <w:p w14:paraId="0E1D6846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Output based performance measures</w:t>
            </w:r>
          </w:p>
          <w:p w14:paraId="1935ED5F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Focus on DHB financial position</w:t>
            </w:r>
          </w:p>
          <w:p w14:paraId="44E001DF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Penalties and sanctions for not meeting performance or financial targets</w:t>
            </w:r>
          </w:p>
          <w:p w14:paraId="60B48FDE" w14:textId="67A69318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 xml:space="preserve">Lack of priority on engaging with local communities, </w:t>
            </w:r>
            <w:proofErr w:type="gramStart"/>
            <w:r w:rsidRPr="00B27790">
              <w:rPr>
                <w:rFonts w:cstheme="minorHAnsi"/>
                <w:sz w:val="20"/>
                <w:szCs w:val="20"/>
              </w:rPr>
              <w:t>Māori</w:t>
            </w:r>
            <w:proofErr w:type="gramEnd"/>
            <w:r w:rsidRPr="00B27790">
              <w:rPr>
                <w:rFonts w:cstheme="minorHAnsi"/>
                <w:sz w:val="20"/>
                <w:szCs w:val="20"/>
              </w:rPr>
              <w:t xml:space="preserve"> and </w:t>
            </w:r>
            <w:r w:rsidR="00C66480">
              <w:rPr>
                <w:rFonts w:cstheme="minorHAnsi"/>
                <w:sz w:val="20"/>
                <w:szCs w:val="20"/>
              </w:rPr>
              <w:t>i</w:t>
            </w:r>
            <w:r w:rsidRPr="00B27790">
              <w:rPr>
                <w:rFonts w:cstheme="minorHAnsi"/>
                <w:sz w:val="20"/>
                <w:szCs w:val="20"/>
              </w:rPr>
              <w:t>wi</w:t>
            </w:r>
          </w:p>
          <w:p w14:paraId="0A0018E9" w14:textId="6CD637E9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 xml:space="preserve">Tokenistic consultation with local communities, Māori and </w:t>
            </w:r>
            <w:r w:rsidR="00C66480">
              <w:rPr>
                <w:rFonts w:cstheme="minorHAnsi"/>
                <w:sz w:val="20"/>
                <w:szCs w:val="20"/>
              </w:rPr>
              <w:t>i</w:t>
            </w:r>
            <w:r w:rsidRPr="00B27790">
              <w:rPr>
                <w:rFonts w:cstheme="minorHAnsi"/>
                <w:sz w:val="20"/>
                <w:szCs w:val="20"/>
              </w:rPr>
              <w:t xml:space="preserve">wi </w:t>
            </w:r>
            <w:r>
              <w:rPr>
                <w:rFonts w:cstheme="minorHAnsi"/>
                <w:sz w:val="20"/>
                <w:szCs w:val="20"/>
              </w:rPr>
              <w:t>owing</w:t>
            </w:r>
            <w:r w:rsidRPr="00B27790">
              <w:rPr>
                <w:rFonts w:cstheme="minorHAnsi"/>
                <w:sz w:val="20"/>
                <w:szCs w:val="20"/>
              </w:rPr>
              <w:t xml:space="preserve"> to time constraints to deliver on contractual requirements</w:t>
            </w:r>
          </w:p>
          <w:p w14:paraId="40C84D47" w14:textId="372CC07C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 xml:space="preserve">Lack of skills and knowledge on how to genuinely engage with local communities, </w:t>
            </w:r>
            <w:proofErr w:type="gramStart"/>
            <w:r w:rsidRPr="00B27790">
              <w:rPr>
                <w:rFonts w:cstheme="minorHAnsi"/>
                <w:sz w:val="20"/>
                <w:szCs w:val="20"/>
              </w:rPr>
              <w:t>Māori</w:t>
            </w:r>
            <w:proofErr w:type="gramEnd"/>
            <w:r w:rsidRPr="00B27790">
              <w:rPr>
                <w:rFonts w:cstheme="minorHAnsi"/>
                <w:sz w:val="20"/>
                <w:szCs w:val="20"/>
              </w:rPr>
              <w:t xml:space="preserve"> and </w:t>
            </w:r>
            <w:r w:rsidR="00C66480">
              <w:rPr>
                <w:rFonts w:cstheme="minorHAnsi"/>
                <w:sz w:val="20"/>
                <w:szCs w:val="20"/>
              </w:rPr>
              <w:t>i</w:t>
            </w:r>
            <w:r w:rsidRPr="00B27790">
              <w:rPr>
                <w:rFonts w:cstheme="minorHAnsi"/>
                <w:sz w:val="20"/>
                <w:szCs w:val="20"/>
              </w:rPr>
              <w:t>wi</w:t>
            </w:r>
          </w:p>
        </w:tc>
        <w:tc>
          <w:tcPr>
            <w:tcW w:w="3258" w:type="dxa"/>
          </w:tcPr>
          <w:p w14:paraId="5F498431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System accountability frameworks allow flexibility and consider local contexts</w:t>
            </w:r>
          </w:p>
          <w:p w14:paraId="22613F1E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Safety margin rather than national target approach</w:t>
            </w:r>
          </w:p>
          <w:p w14:paraId="07BF2A48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Focus on whole health system performance and funding</w:t>
            </w:r>
          </w:p>
          <w:p w14:paraId="4BC5D177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Staff capability and capacity for genuine engagement</w:t>
            </w:r>
          </w:p>
          <w:p w14:paraId="7F019CBE" w14:textId="56C448EA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 xml:space="preserve">Local communities, Māori and </w:t>
            </w:r>
            <w:r w:rsidR="00F51C81">
              <w:rPr>
                <w:rFonts w:cstheme="minorHAnsi"/>
                <w:sz w:val="20"/>
                <w:szCs w:val="20"/>
              </w:rPr>
              <w:t>i</w:t>
            </w:r>
            <w:r w:rsidRPr="00B27790">
              <w:rPr>
                <w:rFonts w:cstheme="minorHAnsi"/>
                <w:sz w:val="20"/>
                <w:szCs w:val="20"/>
              </w:rPr>
              <w:t>wi are involved in governance and delivery of health services</w:t>
            </w:r>
          </w:p>
          <w:p w14:paraId="7BE70F0B" w14:textId="2EEDF96E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 xml:space="preserve">Awareness and acknowledgement of </w:t>
            </w:r>
            <w:proofErr w:type="spellStart"/>
            <w:r w:rsidR="00F51C81">
              <w:rPr>
                <w:rFonts w:cstheme="minorHAnsi"/>
                <w:sz w:val="20"/>
                <w:szCs w:val="20"/>
              </w:rPr>
              <w:t>t</w:t>
            </w:r>
            <w:r w:rsidRPr="00B27790">
              <w:rPr>
                <w:rFonts w:cstheme="minorHAnsi"/>
                <w:sz w:val="20"/>
                <w:szCs w:val="20"/>
              </w:rPr>
              <w:t>e</w:t>
            </w:r>
            <w:proofErr w:type="spellEnd"/>
            <w:r w:rsidRPr="00B2779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B27790">
              <w:rPr>
                <w:rFonts w:cstheme="minorHAnsi"/>
                <w:sz w:val="20"/>
                <w:szCs w:val="20"/>
              </w:rPr>
              <w:t>Tiriti</w:t>
            </w:r>
            <w:proofErr w:type="spellEnd"/>
            <w:r w:rsidRPr="00B27790">
              <w:rPr>
                <w:rFonts w:cstheme="minorHAnsi"/>
                <w:sz w:val="20"/>
                <w:szCs w:val="20"/>
              </w:rPr>
              <w:t xml:space="preserve"> </w:t>
            </w:r>
            <w:r w:rsidR="00F51C81">
              <w:rPr>
                <w:rFonts w:cstheme="minorHAnsi"/>
                <w:sz w:val="20"/>
                <w:szCs w:val="20"/>
              </w:rPr>
              <w:t xml:space="preserve">o Waitangi </w:t>
            </w:r>
            <w:r w:rsidRPr="00B27790">
              <w:rPr>
                <w:rFonts w:cstheme="minorHAnsi"/>
                <w:sz w:val="20"/>
                <w:szCs w:val="20"/>
              </w:rPr>
              <w:t>obligations</w:t>
            </w:r>
          </w:p>
          <w:p w14:paraId="6A391A18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01" w:type="dxa"/>
          </w:tcPr>
          <w:p w14:paraId="2BAB09B9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>System performance monitoring and reporting is focused on accountability measures and not on continuous improvement</w:t>
            </w:r>
          </w:p>
          <w:p w14:paraId="5BA0D379" w14:textId="3894B162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27790">
              <w:rPr>
                <w:rFonts w:cstheme="minorHAnsi"/>
                <w:sz w:val="20"/>
                <w:szCs w:val="20"/>
              </w:rPr>
              <w:t xml:space="preserve">Local communities, Māori and </w:t>
            </w:r>
            <w:r w:rsidR="00C66480">
              <w:rPr>
                <w:rFonts w:cstheme="minorHAnsi"/>
                <w:sz w:val="20"/>
                <w:szCs w:val="20"/>
              </w:rPr>
              <w:t>i</w:t>
            </w:r>
            <w:r w:rsidRPr="00B27790">
              <w:rPr>
                <w:rFonts w:cstheme="minorHAnsi"/>
                <w:sz w:val="20"/>
                <w:szCs w:val="20"/>
              </w:rPr>
              <w:t xml:space="preserve">wi are unable to be involved in </w:t>
            </w:r>
            <w:r w:rsidRPr="003E3A5E">
              <w:rPr>
                <w:sz w:val="20"/>
                <w:szCs w:val="20"/>
              </w:rPr>
              <w:t>LST initiatives</w:t>
            </w:r>
          </w:p>
          <w:p w14:paraId="43DDBDEC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2CCBCEF7" w14:textId="77777777" w:rsidR="00107ECE" w:rsidRPr="00B27790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107ECE" w:rsidRPr="00A1217E" w14:paraId="61847E7D" w14:textId="77777777" w:rsidTr="005E56EB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38BE32FD" w14:textId="77777777" w:rsidR="00107ECE" w:rsidRPr="00A1217E" w:rsidRDefault="00107ECE" w:rsidP="00AF62E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Training of health care professionals</w:t>
            </w:r>
          </w:p>
        </w:tc>
        <w:tc>
          <w:tcPr>
            <w:tcW w:w="2977" w:type="dxa"/>
          </w:tcPr>
          <w:p w14:paraId="73B6D6D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Cs/>
                <w:sz w:val="20"/>
                <w:szCs w:val="20"/>
              </w:rPr>
            </w:pPr>
            <w:r w:rsidRPr="00A1217E">
              <w:rPr>
                <w:rFonts w:cstheme="minorHAnsi"/>
                <w:bCs/>
                <w:iCs/>
                <w:sz w:val="20"/>
                <w:szCs w:val="20"/>
              </w:rPr>
              <w:t>Health care professionals understand system dynamics and how to navigate the system</w:t>
            </w:r>
          </w:p>
        </w:tc>
        <w:tc>
          <w:tcPr>
            <w:tcW w:w="3458" w:type="dxa"/>
          </w:tcPr>
          <w:p w14:paraId="485C17FF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Health care professionals are not taught about their role as change agents in the health system</w:t>
            </w:r>
          </w:p>
          <w:p w14:paraId="10116616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change management and leadership skills</w:t>
            </w:r>
          </w:p>
          <w:p w14:paraId="0686024F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 xml:space="preserve">Health care professionals focus on their patients and their speciality </w:t>
            </w:r>
          </w:p>
          <w:p w14:paraId="5E133989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Lack of clinical leadership opportunities</w:t>
            </w:r>
          </w:p>
        </w:tc>
        <w:tc>
          <w:tcPr>
            <w:tcW w:w="3258" w:type="dxa"/>
          </w:tcPr>
          <w:p w14:paraId="22931663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>Health care training curriculum teaches health care professionals about their role as change agents in the health system</w:t>
            </w:r>
          </w:p>
          <w:p w14:paraId="7FCE90BA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>Change management and leadership skills</w:t>
            </w:r>
          </w:p>
          <w:p w14:paraId="32933BB0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 xml:space="preserve">Clinical leadership opportunities </w:t>
            </w:r>
          </w:p>
          <w:p w14:paraId="55659C30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t>Peer support and mentoring programmes</w:t>
            </w:r>
          </w:p>
        </w:tc>
        <w:tc>
          <w:tcPr>
            <w:tcW w:w="2801" w:type="dxa"/>
          </w:tcPr>
          <w:p w14:paraId="3625C1B1" w14:textId="77777777" w:rsidR="00107ECE" w:rsidRPr="00A1217E" w:rsidRDefault="00107ECE" w:rsidP="00AF62E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217E">
              <w:rPr>
                <w:rFonts w:cstheme="minorHAnsi"/>
                <w:sz w:val="20"/>
                <w:szCs w:val="20"/>
              </w:rPr>
              <w:lastRenderedPageBreak/>
              <w:t xml:space="preserve">Health care professionals are involved and leading </w:t>
            </w:r>
            <w:r>
              <w:rPr>
                <w:rFonts w:cstheme="minorHAnsi"/>
                <w:sz w:val="20"/>
                <w:szCs w:val="20"/>
              </w:rPr>
              <w:t>LST initiatives</w:t>
            </w:r>
          </w:p>
        </w:tc>
      </w:tr>
    </w:tbl>
    <w:p w14:paraId="45A18D08" w14:textId="77777777" w:rsidR="00107ECE" w:rsidRDefault="00107ECE"/>
    <w:sectPr w:rsidR="00107ECE" w:rsidSect="00107ECE">
      <w:footerReference w:type="default" r:id="rId9"/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5C46B" w14:textId="77777777" w:rsidR="009F4352" w:rsidRDefault="009F4352" w:rsidP="009F4352">
      <w:pPr>
        <w:spacing w:after="0" w:line="240" w:lineRule="auto"/>
      </w:pPr>
      <w:r>
        <w:separator/>
      </w:r>
    </w:p>
  </w:endnote>
  <w:endnote w:type="continuationSeparator" w:id="0">
    <w:p w14:paraId="34C4797D" w14:textId="77777777" w:rsidR="009F4352" w:rsidRDefault="009F4352" w:rsidP="009F4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65168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4735A3" w14:textId="6F6BB683" w:rsidR="009F4352" w:rsidRDefault="009F435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27309B" w14:textId="77777777" w:rsidR="009F4352" w:rsidRDefault="009F43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5ACF6" w14:textId="77777777" w:rsidR="009F4352" w:rsidRDefault="009F4352" w:rsidP="009F4352">
      <w:pPr>
        <w:spacing w:after="0" w:line="240" w:lineRule="auto"/>
      </w:pPr>
      <w:r>
        <w:separator/>
      </w:r>
    </w:p>
  </w:footnote>
  <w:footnote w:type="continuationSeparator" w:id="0">
    <w:p w14:paraId="7CA1613C" w14:textId="77777777" w:rsidR="009F4352" w:rsidRDefault="009F4352" w:rsidP="009F43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ECE"/>
    <w:rsid w:val="0001612C"/>
    <w:rsid w:val="00034F53"/>
    <w:rsid w:val="0009463D"/>
    <w:rsid w:val="00107ECE"/>
    <w:rsid w:val="001A08BB"/>
    <w:rsid w:val="0021602D"/>
    <w:rsid w:val="002516F3"/>
    <w:rsid w:val="0027222A"/>
    <w:rsid w:val="002A7888"/>
    <w:rsid w:val="002D361F"/>
    <w:rsid w:val="00320D2D"/>
    <w:rsid w:val="00327401"/>
    <w:rsid w:val="003A19F8"/>
    <w:rsid w:val="003A637D"/>
    <w:rsid w:val="003B3F85"/>
    <w:rsid w:val="004479F0"/>
    <w:rsid w:val="0054513F"/>
    <w:rsid w:val="005D6751"/>
    <w:rsid w:val="005E56EB"/>
    <w:rsid w:val="00630F97"/>
    <w:rsid w:val="00721A43"/>
    <w:rsid w:val="007D5FF7"/>
    <w:rsid w:val="008230E0"/>
    <w:rsid w:val="00823A27"/>
    <w:rsid w:val="00863D23"/>
    <w:rsid w:val="00866813"/>
    <w:rsid w:val="008C66DC"/>
    <w:rsid w:val="009454E6"/>
    <w:rsid w:val="0095719F"/>
    <w:rsid w:val="009808F7"/>
    <w:rsid w:val="009F3044"/>
    <w:rsid w:val="009F3557"/>
    <w:rsid w:val="009F4352"/>
    <w:rsid w:val="00B53F69"/>
    <w:rsid w:val="00BA3095"/>
    <w:rsid w:val="00BA3865"/>
    <w:rsid w:val="00C1069C"/>
    <w:rsid w:val="00C10E06"/>
    <w:rsid w:val="00C223D2"/>
    <w:rsid w:val="00C66480"/>
    <w:rsid w:val="00CD00EC"/>
    <w:rsid w:val="00CD3827"/>
    <w:rsid w:val="00D14D48"/>
    <w:rsid w:val="00D26233"/>
    <w:rsid w:val="00D720AE"/>
    <w:rsid w:val="00E246C5"/>
    <w:rsid w:val="00EF02EE"/>
    <w:rsid w:val="00F51C81"/>
    <w:rsid w:val="00F8300C"/>
    <w:rsid w:val="00F94C60"/>
    <w:rsid w:val="00FD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3CDFC"/>
  <w15:chartTrackingRefBased/>
  <w15:docId w15:val="{F716C4D2-334E-411F-A638-E40562843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4-Accent51">
    <w:name w:val="Grid Table 4 - Accent 51"/>
    <w:basedOn w:val="TableNormal"/>
    <w:uiPriority w:val="49"/>
    <w:rsid w:val="00107ECE"/>
    <w:pPr>
      <w:spacing w:after="0" w:line="240" w:lineRule="auto"/>
    </w:pPr>
    <w:rPr>
      <w:rFonts w:ascii="Calibri" w:hAnsi="Calibri" w:cs="Calibri"/>
      <w:sz w:val="24"/>
      <w:szCs w:val="24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1Light">
    <w:name w:val="Grid Table 1 Light"/>
    <w:basedOn w:val="TableNormal"/>
    <w:uiPriority w:val="46"/>
    <w:rsid w:val="005E56E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9F43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4352"/>
  </w:style>
  <w:style w:type="paragraph" w:styleId="Footer">
    <w:name w:val="footer"/>
    <w:basedOn w:val="Normal"/>
    <w:link w:val="FooterChar"/>
    <w:uiPriority w:val="99"/>
    <w:unhideWhenUsed/>
    <w:rsid w:val="009F43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4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BA77D7CF804044887C9E6FB5E413B1" ma:contentTypeVersion="13" ma:contentTypeDescription="Create a new document." ma:contentTypeScope="" ma:versionID="260ee2fa0c523665ea778f5e0b1c5fa7">
  <xsd:schema xmlns:xsd="http://www.w3.org/2001/XMLSchema" xmlns:xs="http://www.w3.org/2001/XMLSchema" xmlns:p="http://schemas.microsoft.com/office/2006/metadata/properties" xmlns:ns3="912cedb3-7f04-47c0-a283-ea387d34e08f" xmlns:ns4="0f0bb6d3-c6e2-424a-aae7-13be560512f7" targetNamespace="http://schemas.microsoft.com/office/2006/metadata/properties" ma:root="true" ma:fieldsID="3f832fada8d7501b778742fa6f42fee2" ns3:_="" ns4:_="">
    <xsd:import namespace="912cedb3-7f04-47c0-a283-ea387d34e08f"/>
    <xsd:import namespace="0f0bb6d3-c6e2-424a-aae7-13be560512f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cedb3-7f04-47c0-a283-ea387d34e0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0bb6d3-c6e2-424a-aae7-13be560512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858D35-23B1-4226-9B20-76F8D0BECA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2cedb3-7f04-47c0-a283-ea387d34e08f"/>
    <ds:schemaRef ds:uri="0f0bb6d3-c6e2-424a-aae7-13be56051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DB391E-3AB6-42EA-9C28-AB3889CA98D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5DD8471-B62F-4C2D-BC41-CD3946681C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1781</Words>
  <Characters>10152</Characters>
  <Application>Microsoft Office Word</Application>
  <DocSecurity>0</DocSecurity>
  <Lines>84</Lines>
  <Paragraphs>23</Paragraphs>
  <ScaleCrop>false</ScaleCrop>
  <Company>Ministry of Health</Company>
  <LinksUpToDate>false</LinksUpToDate>
  <CharactersWithSpaces>11910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Kanchan Sharma</dc:creator>
  <cp:keywords/>
  <dc:description/>
  <cp:lastModifiedBy>Kanchan Sharma</cp:lastModifiedBy>
  <cp:revision>11</cp:revision>
  <dcterms:created xsi:type="dcterms:W3CDTF">2023-04-05T00:26:00Z</dcterms:created>
  <dcterms:modified xsi:type="dcterms:W3CDTF">2023-07-21T04:00:00Z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0x0101003ABA77D7CF804044887C9E6FB5E413B1</vt:lpwstr>
  </property>
</Properties>
</file>