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7EBB53" w14:textId="77777777" w:rsidR="00994DE2" w:rsidRPr="00C60B50" w:rsidRDefault="00994DE2" w:rsidP="00994DE2">
      <w:pPr>
        <w:rPr>
          <w:rFonts w:ascii="Times New Roman" w:hAnsi="Times New Roman" w:cs="Times New Roman"/>
          <w:szCs w:val="21"/>
        </w:rPr>
      </w:pPr>
      <w:r w:rsidRPr="00C60B50">
        <w:rPr>
          <w:rFonts w:ascii="Times New Roman" w:hAnsi="Times New Roman" w:cs="Times New Roman"/>
          <w:szCs w:val="21"/>
        </w:rPr>
        <w:t xml:space="preserve">Table </w:t>
      </w:r>
      <w:r w:rsidRPr="00C60B50">
        <w:rPr>
          <w:rFonts w:ascii="Times New Roman" w:hAnsi="Times New Roman" w:cs="Times New Roman" w:hint="eastAsia"/>
          <w:szCs w:val="21"/>
        </w:rPr>
        <w:t>E</w:t>
      </w:r>
      <w:r w:rsidRPr="00C60B50">
        <w:rPr>
          <w:rFonts w:ascii="Times New Roman" w:hAnsi="Times New Roman" w:cs="Times New Roman"/>
          <w:szCs w:val="21"/>
        </w:rPr>
        <w:t>1. Reproducibility analysis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2551"/>
        <w:gridCol w:w="2489"/>
      </w:tblGrid>
      <w:tr w:rsidR="00994DE2" w:rsidRPr="00C60B50" w14:paraId="175A3BA0" w14:textId="77777777" w:rsidTr="00B635BB">
        <w:tc>
          <w:tcPr>
            <w:tcW w:w="3256" w:type="dxa"/>
          </w:tcPr>
          <w:p w14:paraId="07E5285C" w14:textId="77777777" w:rsidR="00994DE2" w:rsidRPr="00C60B50" w:rsidRDefault="00994DE2" w:rsidP="00B635B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/>
                <w:szCs w:val="21"/>
              </w:rPr>
              <w:t>Intraclass correlation</w:t>
            </w:r>
            <w:r w:rsidRPr="00C60B50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C60B50">
              <w:rPr>
                <w:rFonts w:ascii="Times New Roman" w:hAnsi="Times New Roman" w:cs="Times New Roman"/>
                <w:szCs w:val="21"/>
              </w:rPr>
              <w:t>coefficients test</w:t>
            </w:r>
          </w:p>
        </w:tc>
        <w:tc>
          <w:tcPr>
            <w:tcW w:w="2551" w:type="dxa"/>
          </w:tcPr>
          <w:p w14:paraId="7D4A16A7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/>
                <w:szCs w:val="21"/>
              </w:rPr>
              <w:t>Intraobserver variation</w:t>
            </w:r>
          </w:p>
        </w:tc>
        <w:tc>
          <w:tcPr>
            <w:tcW w:w="2489" w:type="dxa"/>
          </w:tcPr>
          <w:p w14:paraId="1E53FE94" w14:textId="77777777" w:rsidR="00994DE2" w:rsidRPr="00C60B50" w:rsidRDefault="00994DE2" w:rsidP="00B635B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/>
                <w:szCs w:val="21"/>
              </w:rPr>
              <w:t>Interobserver variation</w:t>
            </w:r>
          </w:p>
        </w:tc>
      </w:tr>
      <w:tr w:rsidR="00994DE2" w:rsidRPr="00C60B50" w14:paraId="585FFE8D" w14:textId="77777777" w:rsidTr="00B635BB">
        <w:tc>
          <w:tcPr>
            <w:tcW w:w="3256" w:type="dxa"/>
          </w:tcPr>
          <w:p w14:paraId="7BAE2404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/>
                <w:szCs w:val="21"/>
              </w:rPr>
              <w:t>Trigone-to-trigone distance</w:t>
            </w:r>
          </w:p>
        </w:tc>
        <w:tc>
          <w:tcPr>
            <w:tcW w:w="2551" w:type="dxa"/>
          </w:tcPr>
          <w:p w14:paraId="62A8A4D0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.95(0.88-0.98)</w:t>
            </w:r>
          </w:p>
        </w:tc>
        <w:tc>
          <w:tcPr>
            <w:tcW w:w="2489" w:type="dxa"/>
          </w:tcPr>
          <w:p w14:paraId="7AC7A709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.89(0.75-0.96)</w:t>
            </w:r>
          </w:p>
        </w:tc>
      </w:tr>
      <w:tr w:rsidR="00994DE2" w:rsidRPr="00C60B50" w14:paraId="0087EE14" w14:textId="77777777" w:rsidTr="00B635BB">
        <w:tc>
          <w:tcPr>
            <w:tcW w:w="3256" w:type="dxa"/>
          </w:tcPr>
          <w:p w14:paraId="75B551D8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/>
                <w:color w:val="000000" w:themeColor="text1"/>
                <w:szCs w:val="21"/>
              </w:rPr>
              <w:t>Anteroposterior distance</w:t>
            </w:r>
          </w:p>
        </w:tc>
        <w:tc>
          <w:tcPr>
            <w:tcW w:w="2551" w:type="dxa"/>
          </w:tcPr>
          <w:p w14:paraId="4811B784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.99(0.96-0.99)</w:t>
            </w:r>
          </w:p>
        </w:tc>
        <w:tc>
          <w:tcPr>
            <w:tcW w:w="2489" w:type="dxa"/>
          </w:tcPr>
          <w:p w14:paraId="6ABA1A18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.98(0.95-0.99)</w:t>
            </w:r>
          </w:p>
        </w:tc>
      </w:tr>
      <w:tr w:rsidR="00994DE2" w:rsidRPr="00C60B50" w14:paraId="4920F464" w14:textId="77777777" w:rsidTr="00B635BB">
        <w:tc>
          <w:tcPr>
            <w:tcW w:w="3256" w:type="dxa"/>
          </w:tcPr>
          <w:p w14:paraId="79C52332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/>
                <w:color w:val="000000" w:themeColor="text1"/>
                <w:szCs w:val="21"/>
              </w:rPr>
              <w:t>Intercommisural distance</w:t>
            </w:r>
          </w:p>
        </w:tc>
        <w:tc>
          <w:tcPr>
            <w:tcW w:w="2551" w:type="dxa"/>
          </w:tcPr>
          <w:p w14:paraId="1AE41C45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.97(0.92-0.99)</w:t>
            </w:r>
          </w:p>
        </w:tc>
        <w:tc>
          <w:tcPr>
            <w:tcW w:w="2489" w:type="dxa"/>
          </w:tcPr>
          <w:p w14:paraId="3C1D3FAF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.93(0.83-0.97)</w:t>
            </w:r>
          </w:p>
        </w:tc>
      </w:tr>
      <w:tr w:rsidR="00994DE2" w:rsidRPr="00C60B50" w14:paraId="56AB6A46" w14:textId="77777777" w:rsidTr="00B635BB">
        <w:tc>
          <w:tcPr>
            <w:tcW w:w="3256" w:type="dxa"/>
          </w:tcPr>
          <w:p w14:paraId="104C75AD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/>
                <w:color w:val="000000" w:themeColor="text1"/>
                <w:szCs w:val="21"/>
              </w:rPr>
              <w:t>Annulus area</w:t>
            </w:r>
          </w:p>
        </w:tc>
        <w:tc>
          <w:tcPr>
            <w:tcW w:w="2551" w:type="dxa"/>
          </w:tcPr>
          <w:p w14:paraId="604B1D0D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.99(0.96-0.99)</w:t>
            </w:r>
          </w:p>
        </w:tc>
        <w:tc>
          <w:tcPr>
            <w:tcW w:w="2489" w:type="dxa"/>
          </w:tcPr>
          <w:p w14:paraId="3CA66632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.95(0.89-0.98)</w:t>
            </w:r>
          </w:p>
        </w:tc>
      </w:tr>
      <w:tr w:rsidR="00994DE2" w:rsidRPr="00C60B50" w14:paraId="2ABCF08C" w14:textId="77777777" w:rsidTr="00B635BB">
        <w:tc>
          <w:tcPr>
            <w:tcW w:w="3256" w:type="dxa"/>
          </w:tcPr>
          <w:p w14:paraId="0918DEAB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/>
                <w:color w:val="000000" w:themeColor="text1"/>
                <w:szCs w:val="21"/>
              </w:rPr>
              <w:t>Annulus perimeter</w:t>
            </w:r>
          </w:p>
        </w:tc>
        <w:tc>
          <w:tcPr>
            <w:tcW w:w="2551" w:type="dxa"/>
          </w:tcPr>
          <w:p w14:paraId="1A22F46E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.99(0.97-0.99)</w:t>
            </w:r>
          </w:p>
        </w:tc>
        <w:tc>
          <w:tcPr>
            <w:tcW w:w="2489" w:type="dxa"/>
          </w:tcPr>
          <w:p w14:paraId="4A07DD2D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.95(0.88-0.98)</w:t>
            </w:r>
          </w:p>
        </w:tc>
      </w:tr>
      <w:tr w:rsidR="00994DE2" w:rsidRPr="00C60B50" w14:paraId="0FEEED88" w14:textId="77777777" w:rsidTr="00B635BB">
        <w:tc>
          <w:tcPr>
            <w:tcW w:w="3256" w:type="dxa"/>
          </w:tcPr>
          <w:p w14:paraId="2D650599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/>
                <w:color w:val="000000" w:themeColor="text1"/>
                <w:szCs w:val="21"/>
              </w:rPr>
              <w:t>Mitral valve tenting height</w:t>
            </w:r>
          </w:p>
        </w:tc>
        <w:tc>
          <w:tcPr>
            <w:tcW w:w="2551" w:type="dxa"/>
          </w:tcPr>
          <w:p w14:paraId="17949726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.91(0.80-0.97)</w:t>
            </w:r>
          </w:p>
        </w:tc>
        <w:tc>
          <w:tcPr>
            <w:tcW w:w="2489" w:type="dxa"/>
          </w:tcPr>
          <w:p w14:paraId="3A775B1B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.86(0.69-0.94)</w:t>
            </w:r>
          </w:p>
        </w:tc>
      </w:tr>
      <w:tr w:rsidR="00994DE2" w:rsidRPr="00C60B50" w14:paraId="48E8E82B" w14:textId="77777777" w:rsidTr="00B635BB">
        <w:tc>
          <w:tcPr>
            <w:tcW w:w="3256" w:type="dxa"/>
          </w:tcPr>
          <w:p w14:paraId="5C1B4243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/>
                <w:color w:val="000000" w:themeColor="text1"/>
                <w:szCs w:val="21"/>
              </w:rPr>
              <w:t>Mitral valve tenting area</w:t>
            </w:r>
          </w:p>
        </w:tc>
        <w:tc>
          <w:tcPr>
            <w:tcW w:w="2551" w:type="dxa"/>
          </w:tcPr>
          <w:p w14:paraId="1CC9E599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.90(0.76-0.96)</w:t>
            </w:r>
          </w:p>
        </w:tc>
        <w:tc>
          <w:tcPr>
            <w:tcW w:w="2489" w:type="dxa"/>
          </w:tcPr>
          <w:p w14:paraId="0879EF95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.88(0.72-0.95)</w:t>
            </w:r>
          </w:p>
        </w:tc>
      </w:tr>
      <w:tr w:rsidR="00994DE2" w:rsidRPr="00C60B50" w14:paraId="2EFB6A08" w14:textId="77777777" w:rsidTr="00B635BB">
        <w:tc>
          <w:tcPr>
            <w:tcW w:w="3256" w:type="dxa"/>
          </w:tcPr>
          <w:p w14:paraId="2A1F8693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ALPM-MA </w:t>
            </w:r>
            <w:r w:rsidRPr="00C60B50">
              <w:rPr>
                <w:rFonts w:ascii="Times New Roman" w:hAnsi="Times New Roman" w:cs="Times New Roman"/>
                <w:szCs w:val="21"/>
              </w:rPr>
              <w:t>distance</w:t>
            </w:r>
          </w:p>
        </w:tc>
        <w:tc>
          <w:tcPr>
            <w:tcW w:w="2551" w:type="dxa"/>
          </w:tcPr>
          <w:p w14:paraId="167A7DC9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.96(0.90-0.98)</w:t>
            </w:r>
          </w:p>
        </w:tc>
        <w:tc>
          <w:tcPr>
            <w:tcW w:w="2489" w:type="dxa"/>
          </w:tcPr>
          <w:p w14:paraId="74384D53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.93(0.84-0.97)</w:t>
            </w:r>
          </w:p>
        </w:tc>
      </w:tr>
      <w:tr w:rsidR="00994DE2" w:rsidRPr="00C60B50" w14:paraId="3F86410E" w14:textId="77777777" w:rsidTr="00B635BB">
        <w:tc>
          <w:tcPr>
            <w:tcW w:w="3256" w:type="dxa"/>
          </w:tcPr>
          <w:p w14:paraId="7E1F7890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PMPM-MA </w:t>
            </w:r>
            <w:r w:rsidRPr="00C60B50">
              <w:rPr>
                <w:rFonts w:ascii="Times New Roman" w:hAnsi="Times New Roman" w:cs="Times New Roman"/>
                <w:szCs w:val="21"/>
              </w:rPr>
              <w:t>distance</w:t>
            </w:r>
          </w:p>
        </w:tc>
        <w:tc>
          <w:tcPr>
            <w:tcW w:w="2551" w:type="dxa"/>
          </w:tcPr>
          <w:p w14:paraId="18612D57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.93(0.84-0.97)</w:t>
            </w:r>
          </w:p>
        </w:tc>
        <w:tc>
          <w:tcPr>
            <w:tcW w:w="2489" w:type="dxa"/>
          </w:tcPr>
          <w:p w14:paraId="6315345A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.89(0.73-0.95)</w:t>
            </w:r>
          </w:p>
        </w:tc>
      </w:tr>
      <w:tr w:rsidR="00994DE2" w:rsidRPr="00C60B50" w14:paraId="2CC068A6" w14:textId="77777777" w:rsidTr="00B635BB">
        <w:tc>
          <w:tcPr>
            <w:tcW w:w="3256" w:type="dxa"/>
          </w:tcPr>
          <w:p w14:paraId="1C7A8031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PM</w:t>
            </w:r>
            <w:r w:rsidRPr="00C60B5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-PM </w:t>
            </w:r>
            <w:r w:rsidRPr="00C60B50">
              <w:rPr>
                <w:rFonts w:ascii="Times New Roman" w:hAnsi="Times New Roman" w:cs="Times New Roman"/>
                <w:szCs w:val="21"/>
              </w:rPr>
              <w:t>distance</w:t>
            </w:r>
          </w:p>
        </w:tc>
        <w:tc>
          <w:tcPr>
            <w:tcW w:w="2551" w:type="dxa"/>
          </w:tcPr>
          <w:p w14:paraId="2294A3EE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.95(0.89-0.98)</w:t>
            </w:r>
          </w:p>
        </w:tc>
        <w:tc>
          <w:tcPr>
            <w:tcW w:w="2489" w:type="dxa"/>
          </w:tcPr>
          <w:p w14:paraId="3B61A9EB" w14:textId="77777777" w:rsidR="00994DE2" w:rsidRPr="00C60B5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C60B5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C60B50">
              <w:rPr>
                <w:rFonts w:ascii="Times New Roman" w:hAnsi="Times New Roman" w:cs="Times New Roman"/>
                <w:szCs w:val="21"/>
              </w:rPr>
              <w:t>.91(0.78-0.96)</w:t>
            </w:r>
          </w:p>
        </w:tc>
      </w:tr>
    </w:tbl>
    <w:p w14:paraId="6C7B7EB2" w14:textId="77777777" w:rsidR="00994DE2" w:rsidRPr="00C60B50" w:rsidRDefault="00994DE2" w:rsidP="00994DE2">
      <w:pPr>
        <w:rPr>
          <w:rFonts w:ascii="Times New Roman" w:hAnsi="Times New Roman" w:cs="Times New Roman"/>
          <w:szCs w:val="21"/>
        </w:rPr>
      </w:pPr>
      <w:r w:rsidRPr="00C60B50">
        <w:rPr>
          <w:rFonts w:ascii="Times New Roman" w:hAnsi="Times New Roman" w:cs="Times New Roman"/>
          <w:color w:val="000000" w:themeColor="text1"/>
          <w:szCs w:val="21"/>
        </w:rPr>
        <w:t>ALPM-MA: anterolateral papillary muscle to mitral annulus; PMPM-MA: posteromedial papillary muscle to mitral annulus;</w:t>
      </w:r>
      <w:r w:rsidRPr="00C60B50">
        <w:rPr>
          <w:rFonts w:ascii="Times New Roman" w:hAnsi="Times New Roman" w:cs="Times New Roman" w:hint="eastAsia"/>
          <w:color w:val="000000" w:themeColor="text1"/>
          <w:szCs w:val="21"/>
        </w:rPr>
        <w:t xml:space="preserve"> PM</w:t>
      </w:r>
      <w:r w:rsidRPr="00C60B50">
        <w:rPr>
          <w:rFonts w:ascii="Times New Roman" w:hAnsi="Times New Roman" w:cs="Times New Roman"/>
          <w:color w:val="000000" w:themeColor="text1"/>
          <w:szCs w:val="21"/>
        </w:rPr>
        <w:t>-PM:</w:t>
      </w:r>
      <w:r w:rsidRPr="00C60B50">
        <w:rPr>
          <w:szCs w:val="21"/>
        </w:rPr>
        <w:t xml:space="preserve"> </w:t>
      </w:r>
      <w:r w:rsidRPr="00C60B50">
        <w:rPr>
          <w:rFonts w:ascii="Times New Roman" w:hAnsi="Times New Roman" w:cs="Times New Roman"/>
          <w:color w:val="000000" w:themeColor="text1"/>
          <w:szCs w:val="21"/>
        </w:rPr>
        <w:t xml:space="preserve">papillary muscle </w:t>
      </w:r>
      <w:r w:rsidRPr="00C60B50">
        <w:rPr>
          <w:rFonts w:ascii="Times New Roman" w:hAnsi="Times New Roman" w:cs="Times New Roman" w:hint="eastAsia"/>
          <w:color w:val="000000" w:themeColor="text1"/>
          <w:szCs w:val="21"/>
        </w:rPr>
        <w:t>h</w:t>
      </w:r>
      <w:r w:rsidRPr="00C60B50">
        <w:rPr>
          <w:rFonts w:ascii="Times New Roman" w:hAnsi="Times New Roman" w:cs="Times New Roman"/>
          <w:color w:val="000000" w:themeColor="text1"/>
          <w:szCs w:val="21"/>
        </w:rPr>
        <w:t xml:space="preserve">ead to papillary muscle </w:t>
      </w:r>
      <w:r w:rsidRPr="00C60B50">
        <w:rPr>
          <w:rFonts w:ascii="Times New Roman" w:hAnsi="Times New Roman" w:cs="Times New Roman" w:hint="eastAsia"/>
          <w:color w:val="000000" w:themeColor="text1"/>
          <w:szCs w:val="21"/>
        </w:rPr>
        <w:t>h</w:t>
      </w:r>
      <w:r w:rsidRPr="00C60B50">
        <w:rPr>
          <w:rFonts w:ascii="Times New Roman" w:hAnsi="Times New Roman" w:cs="Times New Roman"/>
          <w:color w:val="000000" w:themeColor="text1"/>
          <w:szCs w:val="21"/>
        </w:rPr>
        <w:t>ead.</w:t>
      </w:r>
    </w:p>
    <w:p w14:paraId="6DD2D7FF" w14:textId="26AB758C" w:rsidR="00994DE2" w:rsidRDefault="00994DE2" w:rsidP="00994DE2">
      <w:pPr>
        <w:rPr>
          <w:rFonts w:ascii="Times New Roman" w:hAnsi="Times New Roman" w:cs="Times New Roman"/>
          <w:sz w:val="24"/>
          <w:szCs w:val="24"/>
        </w:rPr>
      </w:pPr>
    </w:p>
    <w:p w14:paraId="1AC93269" w14:textId="339FA29D" w:rsidR="00115AFB" w:rsidRDefault="00115AFB" w:rsidP="00994DE2">
      <w:pPr>
        <w:rPr>
          <w:rFonts w:ascii="Times New Roman" w:hAnsi="Times New Roman" w:cs="Times New Roman"/>
          <w:sz w:val="24"/>
          <w:szCs w:val="24"/>
        </w:rPr>
      </w:pPr>
    </w:p>
    <w:p w14:paraId="0E2E2AEB" w14:textId="77777777" w:rsidR="00115AFB" w:rsidRDefault="00115AFB" w:rsidP="00994DE2">
      <w:pPr>
        <w:rPr>
          <w:rFonts w:ascii="Times New Roman" w:hAnsi="Times New Roman" w:cs="Times New Roman" w:hint="eastAsia"/>
          <w:sz w:val="24"/>
          <w:szCs w:val="24"/>
        </w:rPr>
      </w:pPr>
    </w:p>
    <w:p w14:paraId="2A4290A2" w14:textId="77777777" w:rsidR="00994DE2" w:rsidRPr="001459D0" w:rsidRDefault="00994DE2" w:rsidP="00994DE2">
      <w:pPr>
        <w:rPr>
          <w:rFonts w:ascii="Times New Roman" w:hAnsi="Times New Roman" w:cs="Times New Roman"/>
          <w:szCs w:val="21"/>
        </w:rPr>
      </w:pPr>
      <w:r w:rsidRPr="001459D0">
        <w:rPr>
          <w:rFonts w:ascii="Times New Roman" w:hAnsi="Times New Roman" w:cs="Times New Roman"/>
          <w:szCs w:val="21"/>
        </w:rPr>
        <w:t xml:space="preserve">Table </w:t>
      </w:r>
      <w:r w:rsidRPr="001459D0">
        <w:rPr>
          <w:rFonts w:ascii="Times New Roman" w:hAnsi="Times New Roman" w:cs="Times New Roman" w:hint="eastAsia"/>
          <w:szCs w:val="21"/>
        </w:rPr>
        <w:t>E</w:t>
      </w:r>
      <w:r w:rsidRPr="001459D0">
        <w:rPr>
          <w:rFonts w:ascii="Times New Roman" w:hAnsi="Times New Roman" w:cs="Times New Roman"/>
          <w:szCs w:val="21"/>
        </w:rPr>
        <w:t>2. Univariable logistic regression to predict persistent mitral regurgitation after transcatheter aortic valve replacement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3828"/>
        <w:gridCol w:w="1071"/>
      </w:tblGrid>
      <w:tr w:rsidR="00994DE2" w:rsidRPr="001459D0" w14:paraId="5820AFAA" w14:textId="77777777" w:rsidTr="00B635BB">
        <w:tc>
          <w:tcPr>
            <w:tcW w:w="3397" w:type="dxa"/>
          </w:tcPr>
          <w:p w14:paraId="56B35065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/>
                <w:szCs w:val="21"/>
              </w:rPr>
              <w:t>Variables</w:t>
            </w:r>
          </w:p>
        </w:tc>
        <w:tc>
          <w:tcPr>
            <w:tcW w:w="3828" w:type="dxa"/>
          </w:tcPr>
          <w:p w14:paraId="38201FB6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O</w:t>
            </w:r>
            <w:r w:rsidRPr="001459D0">
              <w:rPr>
                <w:rFonts w:ascii="Times New Roman" w:hAnsi="Times New Roman" w:cs="Times New Roman"/>
                <w:szCs w:val="21"/>
              </w:rPr>
              <w:t>dds ratio (95% confidence interval)</w:t>
            </w:r>
          </w:p>
        </w:tc>
        <w:tc>
          <w:tcPr>
            <w:tcW w:w="1071" w:type="dxa"/>
          </w:tcPr>
          <w:p w14:paraId="436D6DF9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1459D0">
              <w:rPr>
                <w:rFonts w:ascii="Times New Roman" w:hAnsi="Times New Roman" w:cs="Times New Roman" w:hint="eastAsia"/>
                <w:i/>
                <w:iCs/>
                <w:szCs w:val="21"/>
              </w:rPr>
              <w:t xml:space="preserve"> </w:t>
            </w:r>
            <w:r w:rsidRPr="001459D0">
              <w:rPr>
                <w:rFonts w:ascii="Times New Roman" w:hAnsi="Times New Roman" w:cs="Times New Roman"/>
                <w:szCs w:val="21"/>
              </w:rPr>
              <w:t>valve</w:t>
            </w:r>
          </w:p>
        </w:tc>
      </w:tr>
      <w:tr w:rsidR="00994DE2" w:rsidRPr="001459D0" w14:paraId="288DC8F1" w14:textId="77777777" w:rsidTr="00B635BB">
        <w:tc>
          <w:tcPr>
            <w:tcW w:w="3397" w:type="dxa"/>
          </w:tcPr>
          <w:p w14:paraId="78FFEE29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Age (years)</w:t>
            </w:r>
          </w:p>
        </w:tc>
        <w:tc>
          <w:tcPr>
            <w:tcW w:w="3828" w:type="dxa"/>
          </w:tcPr>
          <w:p w14:paraId="0D60A032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>.99 (0.92, 1.06)</w:t>
            </w:r>
          </w:p>
        </w:tc>
        <w:tc>
          <w:tcPr>
            <w:tcW w:w="1071" w:type="dxa"/>
          </w:tcPr>
          <w:p w14:paraId="4EEE5709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>.76</w:t>
            </w:r>
          </w:p>
        </w:tc>
      </w:tr>
      <w:tr w:rsidR="00994DE2" w:rsidRPr="001459D0" w14:paraId="722CCB2B" w14:textId="77777777" w:rsidTr="00B635BB">
        <w:tc>
          <w:tcPr>
            <w:tcW w:w="3397" w:type="dxa"/>
          </w:tcPr>
          <w:p w14:paraId="626282C4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Female</w:t>
            </w:r>
          </w:p>
        </w:tc>
        <w:tc>
          <w:tcPr>
            <w:tcW w:w="3828" w:type="dxa"/>
          </w:tcPr>
          <w:p w14:paraId="783F8266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459D0">
              <w:rPr>
                <w:rFonts w:ascii="Times New Roman" w:hAnsi="Times New Roman" w:cs="Times New Roman"/>
                <w:szCs w:val="21"/>
              </w:rPr>
              <w:t>.20 (0.44, 3.30)</w:t>
            </w:r>
          </w:p>
        </w:tc>
        <w:tc>
          <w:tcPr>
            <w:tcW w:w="1071" w:type="dxa"/>
          </w:tcPr>
          <w:p w14:paraId="377A8428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>.72</w:t>
            </w:r>
          </w:p>
        </w:tc>
      </w:tr>
      <w:tr w:rsidR="00994DE2" w:rsidRPr="001459D0" w14:paraId="7300BF48" w14:textId="77777777" w:rsidTr="00B635BB">
        <w:tc>
          <w:tcPr>
            <w:tcW w:w="3397" w:type="dxa"/>
          </w:tcPr>
          <w:p w14:paraId="3B7B2C41" w14:textId="77777777" w:rsidR="00994DE2" w:rsidRPr="001459D0" w:rsidRDefault="00994DE2" w:rsidP="00B635BB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Hypertension</w:t>
            </w:r>
          </w:p>
        </w:tc>
        <w:tc>
          <w:tcPr>
            <w:tcW w:w="3828" w:type="dxa"/>
          </w:tcPr>
          <w:p w14:paraId="7F5D885C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 xml:space="preserve">.45 </w:t>
            </w:r>
            <w:r w:rsidRPr="001459D0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1459D0">
              <w:rPr>
                <w:rFonts w:ascii="Times New Roman" w:hAnsi="Times New Roman" w:cs="Times New Roman"/>
                <w:szCs w:val="21"/>
              </w:rPr>
              <w:t>0.14, 1.40)</w:t>
            </w:r>
          </w:p>
        </w:tc>
        <w:tc>
          <w:tcPr>
            <w:tcW w:w="1071" w:type="dxa"/>
          </w:tcPr>
          <w:p w14:paraId="42452DF4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>.17</w:t>
            </w:r>
          </w:p>
        </w:tc>
      </w:tr>
      <w:tr w:rsidR="00994DE2" w:rsidRPr="001459D0" w14:paraId="70DAFA1A" w14:textId="77777777" w:rsidTr="00B635BB">
        <w:tc>
          <w:tcPr>
            <w:tcW w:w="3397" w:type="dxa"/>
          </w:tcPr>
          <w:p w14:paraId="7EB71E98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Pr="001459D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OPD</w:t>
            </w:r>
          </w:p>
        </w:tc>
        <w:tc>
          <w:tcPr>
            <w:tcW w:w="3828" w:type="dxa"/>
          </w:tcPr>
          <w:p w14:paraId="521DADB8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1459D0">
              <w:rPr>
                <w:rFonts w:ascii="Times New Roman" w:hAnsi="Times New Roman" w:cs="Times New Roman"/>
                <w:szCs w:val="21"/>
              </w:rPr>
              <w:t xml:space="preserve">.07 </w:t>
            </w:r>
            <w:r w:rsidRPr="001459D0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1459D0">
              <w:rPr>
                <w:rFonts w:ascii="Times New Roman" w:hAnsi="Times New Roman" w:cs="Times New Roman"/>
                <w:szCs w:val="21"/>
              </w:rPr>
              <w:t>0.79, 11.87)</w:t>
            </w:r>
          </w:p>
        </w:tc>
        <w:tc>
          <w:tcPr>
            <w:tcW w:w="1071" w:type="dxa"/>
          </w:tcPr>
          <w:p w14:paraId="579E5976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>.11</w:t>
            </w:r>
          </w:p>
        </w:tc>
      </w:tr>
      <w:tr w:rsidR="00994DE2" w:rsidRPr="001459D0" w14:paraId="19BC6536" w14:textId="77777777" w:rsidTr="00B635BB">
        <w:tc>
          <w:tcPr>
            <w:tcW w:w="3397" w:type="dxa"/>
          </w:tcPr>
          <w:p w14:paraId="1BB9A96A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Coronary artery disease</w:t>
            </w:r>
          </w:p>
        </w:tc>
        <w:tc>
          <w:tcPr>
            <w:tcW w:w="3828" w:type="dxa"/>
          </w:tcPr>
          <w:p w14:paraId="3CA505A0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459D0">
              <w:rPr>
                <w:rFonts w:ascii="Times New Roman" w:hAnsi="Times New Roman" w:cs="Times New Roman"/>
                <w:szCs w:val="21"/>
              </w:rPr>
              <w:t>.22 (0.36, 4.20)</w:t>
            </w:r>
          </w:p>
        </w:tc>
        <w:tc>
          <w:tcPr>
            <w:tcW w:w="1071" w:type="dxa"/>
          </w:tcPr>
          <w:p w14:paraId="21D594DB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>.75</w:t>
            </w:r>
          </w:p>
        </w:tc>
      </w:tr>
      <w:tr w:rsidR="00994DE2" w:rsidRPr="001459D0" w14:paraId="1E4DC0A9" w14:textId="77777777" w:rsidTr="00B635BB">
        <w:tc>
          <w:tcPr>
            <w:tcW w:w="3397" w:type="dxa"/>
          </w:tcPr>
          <w:p w14:paraId="6B837F50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Atrial fibrillation</w:t>
            </w:r>
          </w:p>
        </w:tc>
        <w:tc>
          <w:tcPr>
            <w:tcW w:w="3828" w:type="dxa"/>
          </w:tcPr>
          <w:p w14:paraId="2EB810D5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1459D0">
              <w:rPr>
                <w:rFonts w:ascii="Times New Roman" w:hAnsi="Times New Roman" w:cs="Times New Roman"/>
                <w:szCs w:val="21"/>
              </w:rPr>
              <w:t>.18 (1.02, 9.90)</w:t>
            </w:r>
          </w:p>
        </w:tc>
        <w:tc>
          <w:tcPr>
            <w:tcW w:w="1071" w:type="dxa"/>
          </w:tcPr>
          <w:p w14:paraId="666A7D17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>.046</w:t>
            </w:r>
          </w:p>
        </w:tc>
      </w:tr>
      <w:tr w:rsidR="00994DE2" w:rsidRPr="001459D0" w14:paraId="070D11FA" w14:textId="77777777" w:rsidTr="00B635BB">
        <w:tc>
          <w:tcPr>
            <w:tcW w:w="3397" w:type="dxa"/>
          </w:tcPr>
          <w:p w14:paraId="27E4DD0D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QRS duration&gt;</w:t>
            </w:r>
            <w:r w:rsidRPr="001459D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20ms</w:t>
            </w:r>
          </w:p>
        </w:tc>
        <w:tc>
          <w:tcPr>
            <w:tcW w:w="3828" w:type="dxa"/>
          </w:tcPr>
          <w:p w14:paraId="12010468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1459D0">
              <w:rPr>
                <w:rFonts w:ascii="Times New Roman" w:hAnsi="Times New Roman" w:cs="Times New Roman"/>
                <w:szCs w:val="21"/>
              </w:rPr>
              <w:t>.20 (1.07, 9.57)</w:t>
            </w:r>
          </w:p>
        </w:tc>
        <w:tc>
          <w:tcPr>
            <w:tcW w:w="1071" w:type="dxa"/>
          </w:tcPr>
          <w:p w14:paraId="4C12C499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>.04</w:t>
            </w:r>
          </w:p>
        </w:tc>
      </w:tr>
      <w:tr w:rsidR="00994DE2" w:rsidRPr="001459D0" w14:paraId="29B33FF0" w14:textId="77777777" w:rsidTr="00B635BB">
        <w:tc>
          <w:tcPr>
            <w:tcW w:w="3397" w:type="dxa"/>
          </w:tcPr>
          <w:p w14:paraId="1B7768FB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LA </w:t>
            </w:r>
            <w:r w:rsidRPr="001459D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(</w:t>
            </w: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mm)</w:t>
            </w:r>
          </w:p>
        </w:tc>
        <w:tc>
          <w:tcPr>
            <w:tcW w:w="3828" w:type="dxa"/>
          </w:tcPr>
          <w:p w14:paraId="4F0331C2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459D0">
              <w:rPr>
                <w:rFonts w:ascii="Times New Roman" w:hAnsi="Times New Roman" w:cs="Times New Roman"/>
                <w:szCs w:val="21"/>
              </w:rPr>
              <w:t>.08 (1.00, 1.16)</w:t>
            </w:r>
          </w:p>
        </w:tc>
        <w:tc>
          <w:tcPr>
            <w:tcW w:w="1071" w:type="dxa"/>
          </w:tcPr>
          <w:p w14:paraId="4898D1BE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>.06</w:t>
            </w:r>
          </w:p>
        </w:tc>
      </w:tr>
      <w:tr w:rsidR="00994DE2" w:rsidRPr="001459D0" w14:paraId="731E347D" w14:textId="77777777" w:rsidTr="00B635BB">
        <w:tc>
          <w:tcPr>
            <w:tcW w:w="3397" w:type="dxa"/>
          </w:tcPr>
          <w:p w14:paraId="5CA8B2D4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L</w:t>
            </w: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VESD (mm)</w:t>
            </w:r>
          </w:p>
        </w:tc>
        <w:tc>
          <w:tcPr>
            <w:tcW w:w="3828" w:type="dxa"/>
          </w:tcPr>
          <w:p w14:paraId="4EE14449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459D0">
              <w:rPr>
                <w:rFonts w:ascii="Times New Roman" w:hAnsi="Times New Roman" w:cs="Times New Roman"/>
                <w:szCs w:val="21"/>
              </w:rPr>
              <w:t>.05 (1.00, 1.11)</w:t>
            </w:r>
          </w:p>
        </w:tc>
        <w:tc>
          <w:tcPr>
            <w:tcW w:w="1071" w:type="dxa"/>
          </w:tcPr>
          <w:p w14:paraId="3305731F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>.054</w:t>
            </w:r>
          </w:p>
        </w:tc>
      </w:tr>
      <w:tr w:rsidR="00994DE2" w:rsidRPr="001459D0" w14:paraId="6320B619" w14:textId="77777777" w:rsidTr="00B635BB">
        <w:tc>
          <w:tcPr>
            <w:tcW w:w="3397" w:type="dxa"/>
          </w:tcPr>
          <w:p w14:paraId="68D0A382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L</w:t>
            </w: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VEF (%)</w:t>
            </w:r>
          </w:p>
        </w:tc>
        <w:tc>
          <w:tcPr>
            <w:tcW w:w="3828" w:type="dxa"/>
          </w:tcPr>
          <w:p w14:paraId="271D950F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>.97 (0.93, 1.01)</w:t>
            </w:r>
          </w:p>
        </w:tc>
        <w:tc>
          <w:tcPr>
            <w:tcW w:w="1071" w:type="dxa"/>
          </w:tcPr>
          <w:p w14:paraId="34EC2A54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>.09</w:t>
            </w:r>
          </w:p>
        </w:tc>
      </w:tr>
      <w:tr w:rsidR="00994DE2" w:rsidRPr="001459D0" w14:paraId="02157851" w14:textId="77777777" w:rsidTr="00B635BB">
        <w:tc>
          <w:tcPr>
            <w:tcW w:w="3397" w:type="dxa"/>
          </w:tcPr>
          <w:p w14:paraId="78F6D843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Anteroposterior distance</w:t>
            </w:r>
            <w:r w:rsidRPr="001459D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(</w:t>
            </w: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mm)</w:t>
            </w:r>
          </w:p>
        </w:tc>
        <w:tc>
          <w:tcPr>
            <w:tcW w:w="3828" w:type="dxa"/>
          </w:tcPr>
          <w:p w14:paraId="30D373DC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459D0">
              <w:rPr>
                <w:rFonts w:ascii="Times New Roman" w:hAnsi="Times New Roman" w:cs="Times New Roman"/>
                <w:szCs w:val="21"/>
              </w:rPr>
              <w:t>.25 (1.07, 1.46)</w:t>
            </w:r>
          </w:p>
        </w:tc>
        <w:tc>
          <w:tcPr>
            <w:tcW w:w="1071" w:type="dxa"/>
          </w:tcPr>
          <w:p w14:paraId="3B107997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>.005</w:t>
            </w:r>
          </w:p>
        </w:tc>
      </w:tr>
      <w:tr w:rsidR="00994DE2" w:rsidRPr="001459D0" w14:paraId="70B7F8C6" w14:textId="77777777" w:rsidTr="00B635BB">
        <w:tc>
          <w:tcPr>
            <w:tcW w:w="3397" w:type="dxa"/>
          </w:tcPr>
          <w:p w14:paraId="0CB56278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Intercommisural distance</w:t>
            </w:r>
            <w:r w:rsidRPr="001459D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(</w:t>
            </w: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mm)</w:t>
            </w:r>
          </w:p>
        </w:tc>
        <w:tc>
          <w:tcPr>
            <w:tcW w:w="3828" w:type="dxa"/>
          </w:tcPr>
          <w:p w14:paraId="258F3B10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459D0">
              <w:rPr>
                <w:rFonts w:ascii="Times New Roman" w:hAnsi="Times New Roman" w:cs="Times New Roman"/>
                <w:szCs w:val="21"/>
              </w:rPr>
              <w:t>.16 (1.03, 1.32)</w:t>
            </w:r>
          </w:p>
        </w:tc>
        <w:tc>
          <w:tcPr>
            <w:tcW w:w="1071" w:type="dxa"/>
          </w:tcPr>
          <w:p w14:paraId="02D99864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>.02</w:t>
            </w:r>
          </w:p>
        </w:tc>
      </w:tr>
      <w:tr w:rsidR="00994DE2" w:rsidRPr="001459D0" w14:paraId="285F2E56" w14:textId="77777777" w:rsidTr="00B635BB">
        <w:tc>
          <w:tcPr>
            <w:tcW w:w="3397" w:type="dxa"/>
          </w:tcPr>
          <w:p w14:paraId="5CCFAE37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Annulus area</w:t>
            </w:r>
            <w:r w:rsidRPr="001459D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(</w:t>
            </w: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cm</w:t>
            </w: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2</w:t>
            </w: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828" w:type="dxa"/>
          </w:tcPr>
          <w:p w14:paraId="265B6AE5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459D0">
              <w:rPr>
                <w:rFonts w:ascii="Times New Roman" w:hAnsi="Times New Roman" w:cs="Times New Roman"/>
                <w:szCs w:val="21"/>
              </w:rPr>
              <w:t>.47 (1.13, 1.92)</w:t>
            </w:r>
          </w:p>
        </w:tc>
        <w:tc>
          <w:tcPr>
            <w:tcW w:w="1071" w:type="dxa"/>
          </w:tcPr>
          <w:p w14:paraId="1C2090C9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>.004</w:t>
            </w:r>
          </w:p>
        </w:tc>
      </w:tr>
      <w:tr w:rsidR="00994DE2" w:rsidRPr="001459D0" w14:paraId="6B857DAE" w14:textId="77777777" w:rsidTr="00B635BB">
        <w:tc>
          <w:tcPr>
            <w:tcW w:w="3397" w:type="dxa"/>
          </w:tcPr>
          <w:p w14:paraId="66815F5F" w14:textId="77777777" w:rsidR="00994DE2" w:rsidRPr="001459D0" w:rsidRDefault="00994DE2" w:rsidP="00B635BB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Annulus perimeter(mm)</w:t>
            </w:r>
          </w:p>
        </w:tc>
        <w:tc>
          <w:tcPr>
            <w:tcW w:w="3828" w:type="dxa"/>
          </w:tcPr>
          <w:p w14:paraId="0C34C051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459D0">
              <w:rPr>
                <w:rFonts w:ascii="Times New Roman" w:hAnsi="Times New Roman" w:cs="Times New Roman"/>
                <w:szCs w:val="21"/>
              </w:rPr>
              <w:t>.07 (1.02, 1.12)</w:t>
            </w:r>
          </w:p>
        </w:tc>
        <w:tc>
          <w:tcPr>
            <w:tcW w:w="1071" w:type="dxa"/>
          </w:tcPr>
          <w:p w14:paraId="5EC2A01E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>.005</w:t>
            </w:r>
          </w:p>
        </w:tc>
      </w:tr>
      <w:tr w:rsidR="00994DE2" w:rsidRPr="001459D0" w14:paraId="7F7A524B" w14:textId="77777777" w:rsidTr="00B635BB">
        <w:tc>
          <w:tcPr>
            <w:tcW w:w="3397" w:type="dxa"/>
          </w:tcPr>
          <w:p w14:paraId="7B3373CB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Mitral valve tenting height</w:t>
            </w:r>
            <w:r w:rsidRPr="001459D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459D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(</w:t>
            </w: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mm)</w:t>
            </w:r>
          </w:p>
        </w:tc>
        <w:tc>
          <w:tcPr>
            <w:tcW w:w="3828" w:type="dxa"/>
          </w:tcPr>
          <w:p w14:paraId="7FEE2F0C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459D0">
              <w:rPr>
                <w:rFonts w:ascii="Times New Roman" w:hAnsi="Times New Roman" w:cs="Times New Roman"/>
                <w:szCs w:val="21"/>
              </w:rPr>
              <w:t>.66 (1.23, 2.24)</w:t>
            </w:r>
          </w:p>
        </w:tc>
        <w:tc>
          <w:tcPr>
            <w:tcW w:w="1071" w:type="dxa"/>
          </w:tcPr>
          <w:p w14:paraId="6F8FECBF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>.001</w:t>
            </w:r>
          </w:p>
        </w:tc>
      </w:tr>
      <w:tr w:rsidR="00994DE2" w:rsidRPr="001459D0" w14:paraId="101D3E51" w14:textId="77777777" w:rsidTr="00B635BB">
        <w:tc>
          <w:tcPr>
            <w:tcW w:w="3397" w:type="dxa"/>
          </w:tcPr>
          <w:p w14:paraId="12B411A4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/>
                <w:szCs w:val="21"/>
              </w:rPr>
              <w:t>Mitral valve tenting area</w:t>
            </w:r>
            <w:r w:rsidRPr="001459D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(</w:t>
            </w: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cm</w:t>
            </w: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2</w:t>
            </w: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828" w:type="dxa"/>
          </w:tcPr>
          <w:p w14:paraId="211586F0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1459D0">
              <w:rPr>
                <w:rFonts w:ascii="Times New Roman" w:hAnsi="Times New Roman" w:cs="Times New Roman"/>
                <w:szCs w:val="21"/>
              </w:rPr>
              <w:t>.71 (2.25, 33.79)</w:t>
            </w:r>
          </w:p>
        </w:tc>
        <w:tc>
          <w:tcPr>
            <w:tcW w:w="1071" w:type="dxa"/>
          </w:tcPr>
          <w:p w14:paraId="51E66E2B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>.002</w:t>
            </w:r>
          </w:p>
        </w:tc>
      </w:tr>
      <w:tr w:rsidR="00994DE2" w:rsidRPr="001459D0" w14:paraId="70E9E489" w14:textId="77777777" w:rsidTr="00B635BB">
        <w:tc>
          <w:tcPr>
            <w:tcW w:w="3397" w:type="dxa"/>
          </w:tcPr>
          <w:p w14:paraId="4CEC62F8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PM</w:t>
            </w:r>
            <w:r w:rsidRPr="001459D0">
              <w:rPr>
                <w:rFonts w:ascii="Times New Roman" w:hAnsi="Times New Roman" w:cs="Times New Roman"/>
                <w:color w:val="000000" w:themeColor="text1"/>
                <w:szCs w:val="21"/>
              </w:rPr>
              <w:t>-PM distance (mm)</w:t>
            </w:r>
          </w:p>
        </w:tc>
        <w:tc>
          <w:tcPr>
            <w:tcW w:w="3828" w:type="dxa"/>
          </w:tcPr>
          <w:p w14:paraId="239DB11E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459D0">
              <w:rPr>
                <w:rFonts w:ascii="Times New Roman" w:hAnsi="Times New Roman" w:cs="Times New Roman"/>
                <w:szCs w:val="21"/>
              </w:rPr>
              <w:t>.10 (1.00, 1.21)</w:t>
            </w:r>
          </w:p>
        </w:tc>
        <w:tc>
          <w:tcPr>
            <w:tcW w:w="1071" w:type="dxa"/>
          </w:tcPr>
          <w:p w14:paraId="73A08A63" w14:textId="77777777" w:rsidR="00994DE2" w:rsidRPr="001459D0" w:rsidRDefault="00994DE2" w:rsidP="00B635BB">
            <w:pPr>
              <w:rPr>
                <w:rFonts w:ascii="Times New Roman" w:hAnsi="Times New Roman" w:cs="Times New Roman"/>
                <w:szCs w:val="21"/>
              </w:rPr>
            </w:pPr>
            <w:r w:rsidRPr="001459D0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459D0">
              <w:rPr>
                <w:rFonts w:ascii="Times New Roman" w:hAnsi="Times New Roman" w:cs="Times New Roman"/>
                <w:szCs w:val="21"/>
              </w:rPr>
              <w:t>.06</w:t>
            </w:r>
          </w:p>
        </w:tc>
      </w:tr>
    </w:tbl>
    <w:p w14:paraId="12D19719" w14:textId="69B338DE" w:rsidR="008B25A0" w:rsidRPr="001459D0" w:rsidRDefault="00994DE2">
      <w:pPr>
        <w:rPr>
          <w:rFonts w:ascii="Times New Roman" w:hAnsi="Times New Roman" w:cs="Times New Roman"/>
          <w:color w:val="000000" w:themeColor="text1"/>
          <w:szCs w:val="21"/>
        </w:rPr>
      </w:pPr>
      <w:r w:rsidRPr="001459D0">
        <w:rPr>
          <w:rFonts w:ascii="Times New Roman" w:hAnsi="Times New Roman" w:cs="Times New Roman"/>
          <w:snapToGrid w:val="0"/>
          <w:szCs w:val="21"/>
        </w:rPr>
        <w:t>Values are</w:t>
      </w:r>
      <w:r w:rsidRPr="001459D0">
        <w:rPr>
          <w:rFonts w:ascii="Times New Roman" w:hAnsi="Times New Roman" w:cs="Times New Roman"/>
          <w:szCs w:val="21"/>
        </w:rPr>
        <w:t xml:space="preserve"> odds ratio (95% confidence interval).</w:t>
      </w:r>
      <w:r w:rsidRPr="001459D0">
        <w:rPr>
          <w:rFonts w:ascii="Times New Roman" w:hAnsi="Times New Roman" w:cs="Times New Roman" w:hint="eastAsia"/>
          <w:szCs w:val="21"/>
        </w:rPr>
        <w:t xml:space="preserve"> </w:t>
      </w:r>
      <w:r w:rsidRPr="001459D0">
        <w:rPr>
          <w:rFonts w:ascii="Times New Roman" w:hAnsi="Times New Roman" w:cs="Times New Roman"/>
          <w:snapToGrid w:val="0"/>
          <w:szCs w:val="21"/>
        </w:rPr>
        <w:t xml:space="preserve">COPD: chronic obstructive pulmonary disease; LA: left atrial dimension; LVESD: left ventricular end-systolic dimension; LVEF: left ventricular ejection fraction; </w:t>
      </w:r>
      <w:r w:rsidRPr="001459D0">
        <w:rPr>
          <w:rFonts w:ascii="Times New Roman" w:hAnsi="Times New Roman" w:cs="Times New Roman" w:hint="eastAsia"/>
          <w:color w:val="000000" w:themeColor="text1"/>
          <w:szCs w:val="21"/>
        </w:rPr>
        <w:t>PM</w:t>
      </w:r>
      <w:r w:rsidRPr="001459D0">
        <w:rPr>
          <w:rFonts w:ascii="Times New Roman" w:hAnsi="Times New Roman" w:cs="Times New Roman"/>
          <w:color w:val="000000" w:themeColor="text1"/>
          <w:szCs w:val="21"/>
        </w:rPr>
        <w:t>-PM:</w:t>
      </w:r>
      <w:r w:rsidRPr="001459D0">
        <w:rPr>
          <w:szCs w:val="21"/>
        </w:rPr>
        <w:t xml:space="preserve"> </w:t>
      </w:r>
      <w:r w:rsidRPr="001459D0">
        <w:rPr>
          <w:rFonts w:ascii="Times New Roman" w:hAnsi="Times New Roman" w:cs="Times New Roman"/>
          <w:color w:val="000000" w:themeColor="text1"/>
          <w:szCs w:val="21"/>
        </w:rPr>
        <w:t xml:space="preserve">papillary muscle </w:t>
      </w:r>
      <w:r w:rsidRPr="001459D0">
        <w:rPr>
          <w:rFonts w:ascii="Times New Roman" w:hAnsi="Times New Roman" w:cs="Times New Roman" w:hint="eastAsia"/>
          <w:color w:val="000000" w:themeColor="text1"/>
          <w:szCs w:val="21"/>
        </w:rPr>
        <w:t>h</w:t>
      </w:r>
      <w:r w:rsidRPr="001459D0">
        <w:rPr>
          <w:rFonts w:ascii="Times New Roman" w:hAnsi="Times New Roman" w:cs="Times New Roman"/>
          <w:color w:val="000000" w:themeColor="text1"/>
          <w:szCs w:val="21"/>
        </w:rPr>
        <w:t xml:space="preserve">ead to papillary muscle </w:t>
      </w:r>
      <w:r w:rsidRPr="001459D0">
        <w:rPr>
          <w:rFonts w:ascii="Times New Roman" w:hAnsi="Times New Roman" w:cs="Times New Roman" w:hint="eastAsia"/>
          <w:color w:val="000000" w:themeColor="text1"/>
          <w:szCs w:val="21"/>
        </w:rPr>
        <w:t>h</w:t>
      </w:r>
      <w:r w:rsidRPr="001459D0">
        <w:rPr>
          <w:rFonts w:ascii="Times New Roman" w:hAnsi="Times New Roman" w:cs="Times New Roman"/>
          <w:color w:val="000000" w:themeColor="text1"/>
          <w:szCs w:val="21"/>
        </w:rPr>
        <w:t>ead.</w:t>
      </w:r>
    </w:p>
    <w:sectPr w:rsidR="008B25A0" w:rsidRPr="001459D0" w:rsidSect="00FA0437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2496D" w14:textId="77777777" w:rsidR="008F4C48" w:rsidRDefault="008F4C48" w:rsidP="00BF4CD6">
      <w:r>
        <w:separator/>
      </w:r>
    </w:p>
  </w:endnote>
  <w:endnote w:type="continuationSeparator" w:id="0">
    <w:p w14:paraId="74DD8E65" w14:textId="77777777" w:rsidR="008F4C48" w:rsidRDefault="008F4C48" w:rsidP="00BF4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-1239857619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28ED4109" w14:textId="77777777" w:rsidR="001B53E9" w:rsidRDefault="000A0DC7" w:rsidP="00054614">
        <w:pPr>
          <w:pStyle w:val="a6"/>
          <w:framePr w:wrap="none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1</w:t>
        </w:r>
        <w:r>
          <w:rPr>
            <w:rStyle w:val="a8"/>
          </w:rPr>
          <w:fldChar w:fldCharType="end"/>
        </w:r>
      </w:p>
    </w:sdtContent>
  </w:sdt>
  <w:p w14:paraId="30E4ADB8" w14:textId="77777777" w:rsidR="001B53E9" w:rsidRDefault="008F4C48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1831487534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3FC4C30B" w14:textId="77777777" w:rsidR="001B53E9" w:rsidRDefault="000A0DC7" w:rsidP="00054614">
        <w:pPr>
          <w:pStyle w:val="a6"/>
          <w:framePr w:wrap="none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1</w:t>
        </w:r>
        <w:r>
          <w:rPr>
            <w:rStyle w:val="a8"/>
          </w:rPr>
          <w:fldChar w:fldCharType="end"/>
        </w:r>
      </w:p>
    </w:sdtContent>
  </w:sdt>
  <w:p w14:paraId="7A7B5F13" w14:textId="77777777" w:rsidR="001B53E9" w:rsidRDefault="008F4C4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4DB975" w14:textId="77777777" w:rsidR="008F4C48" w:rsidRDefault="008F4C48" w:rsidP="00BF4CD6">
      <w:r>
        <w:separator/>
      </w:r>
    </w:p>
  </w:footnote>
  <w:footnote w:type="continuationSeparator" w:id="0">
    <w:p w14:paraId="3BE9210A" w14:textId="77777777" w:rsidR="008F4C48" w:rsidRDefault="008F4C48" w:rsidP="00BF4C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5A0"/>
    <w:rsid w:val="00083D12"/>
    <w:rsid w:val="000A0DC7"/>
    <w:rsid w:val="00115AFB"/>
    <w:rsid w:val="001459D0"/>
    <w:rsid w:val="005F1275"/>
    <w:rsid w:val="00610C80"/>
    <w:rsid w:val="008B25A0"/>
    <w:rsid w:val="008F4C48"/>
    <w:rsid w:val="00994DE2"/>
    <w:rsid w:val="00B35FBA"/>
    <w:rsid w:val="00BF4CD6"/>
    <w:rsid w:val="00C60B50"/>
    <w:rsid w:val="00C76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BF5260"/>
  <w15:chartTrackingRefBased/>
  <w15:docId w15:val="{E53AF789-3D82-D147-BD0C-D8B5D24B4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5A0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25A0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F4C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F4C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F4C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F4CD6"/>
    <w:rPr>
      <w:sz w:val="18"/>
      <w:szCs w:val="18"/>
    </w:rPr>
  </w:style>
  <w:style w:type="character" w:styleId="a8">
    <w:name w:val="page number"/>
    <w:basedOn w:val="a0"/>
    <w:uiPriority w:val="99"/>
    <w:semiHidden/>
    <w:unhideWhenUsed/>
    <w:rsid w:val="00994D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301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354000815@qq.com</dc:creator>
  <cp:keywords/>
  <dc:description/>
  <cp:lastModifiedBy>354000815@qq.com</cp:lastModifiedBy>
  <cp:revision>9</cp:revision>
  <dcterms:created xsi:type="dcterms:W3CDTF">2023-04-13T14:23:00Z</dcterms:created>
  <dcterms:modified xsi:type="dcterms:W3CDTF">2023-08-07T02:22:00Z</dcterms:modified>
</cp:coreProperties>
</file>