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642FE" w14:textId="7CA4F0EC" w:rsidR="000D171B" w:rsidRPr="000D171B" w:rsidRDefault="000D171B">
      <w:pPr>
        <w:rPr>
          <w:rFonts w:ascii="Times New Roman" w:hAnsi="Times New Roman" w:cs="Times New Roman"/>
          <w:lang w:val="en-US"/>
        </w:rPr>
      </w:pPr>
    </w:p>
    <w:p w14:paraId="656CF976" w14:textId="7CD76543" w:rsidR="008D233C" w:rsidRPr="008D233C" w:rsidRDefault="000D171B">
      <w:pPr>
        <w:rPr>
          <w:rFonts w:ascii="Times New Roman" w:hAnsi="Times New Roman" w:cs="Times New Roman"/>
          <w:lang w:val="en-US"/>
        </w:rPr>
      </w:pPr>
      <w:r w:rsidRPr="000D171B">
        <w:rPr>
          <w:rFonts w:ascii="Times New Roman" w:hAnsi="Times New Roman" w:cs="Times New Roman"/>
          <w:lang w:val="en-US"/>
        </w:rPr>
        <w:t>Supplementary material:</w:t>
      </w:r>
    </w:p>
    <w:p w14:paraId="5F8E03FA" w14:textId="77777777" w:rsidR="008D233C" w:rsidRDefault="008D233C"/>
    <w:p w14:paraId="03A31EDA" w14:textId="3152DBD8" w:rsidR="00CB140F" w:rsidRDefault="009269BB">
      <w:r w:rsidRPr="009269B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09321E" wp14:editId="1EA1DA10">
                <wp:simplePos x="0" y="0"/>
                <wp:positionH relativeFrom="column">
                  <wp:posOffset>3491547</wp:posOffset>
                </wp:positionH>
                <wp:positionV relativeFrom="paragraph">
                  <wp:posOffset>1141730</wp:posOffset>
                </wp:positionV>
                <wp:extent cx="0" cy="900112"/>
                <wp:effectExtent l="12700" t="0" r="12700" b="14605"/>
                <wp:wrapNone/>
                <wp:docPr id="13" name="Connettore 1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EB60624-67B5-D343-A48B-328C48BF058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900112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324CE3" id="Connettore 1 1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4.9pt,89.9pt" to="274.9pt,160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H64T7QEAAC8EAAAOAAAAZHJzL2Uyb0RvYy54bWysU02P0zAQvSPxHyzfaZIiEBs13UNXhcMK&#13;&#10;VuzyA1xn3FrYHss2TfrvGTvZ7C6IA4gcrMzXm3nP4831aA07Q4gaXcebVc0ZOIm9dseOf3vYv/nA&#13;&#10;WUzC9cKgg45fIPLr7etXm8G3sMYTmh4CIxAX28F3/JSSb6sqyhNYEVfowVFQYbAikRmOVR/EQOjW&#13;&#10;VOu6fl8NGHofUEKM5L2Zgnxb8JUCmb4oFSEx03GaLZUzlPOQz2q7Ee0xCH/Sch5D/MMUVmhHTReo&#13;&#10;G5EE+xH0b1BWy4ARVVpJtBUqpSUUDsSmqX9hc38SHgoXEif6Rab4/2Dl5/NdYLqnu3vLmROW7miH&#13;&#10;zkFKGIA1rFlnjQYfW0rdubuQWcrR3ftblN8jxaoXwWxEP6WNKlimjPafCL7IQ4TZWNS/LOrDmJic&#13;&#10;nJK8V3XdTE0r0WaE3NCHmD4CWpZ/Om60y7qIVpxvY8ozPKVkt3FsoJZX9bu6pEU0ut9rY3IwhuNh&#13;&#10;ZwI7C9qJ/b6mL1MkiGdpZBk3c5voFGLpYmBq8BUUyUZjT8TKwsICK6QEl4p0BYmyc5miEZbCebS8&#13;&#10;6X8qnPNzKZRl/pvipaJ0RpeWYqsdhkmYl93T2MxSqCn/UYGJd5bggP3lLjxeO21lUW5+QXntn9ul&#13;&#10;/Omdb38CAAD//wMAUEsDBBQABgAIAAAAIQBusyGK4wAAABABAAAPAAAAZHJzL2Rvd25yZXYueG1s&#13;&#10;TE9NT8MwDL0j8R8iI3Fj6QbboGs6oSE4IATbKBLHrAlNtcSJmqwr/x5PHOBi2X72+yiWg7Os111s&#13;&#10;PQoYjzJgGmuvWmwEVO+PV7fAYpKopPWoBXzrCMvy/KyQufJH3Oh+mxpGJBhzKcCkFHLOY220k3Hk&#13;&#10;g0bCvnznZKKxa7jq5JHIneWTLJtxJ1skBSODXhld77cHJ+Cp+qjNa9i/fPZhM3vDtV1Vz1aIy4vh&#13;&#10;YUHlfgEs6SH9fcApA/mHkozt/AFVZFbA9OaO/CcC5qeGLn43OwHXk/EUeFnw/0HKHwAAAP//AwBQ&#13;&#10;SwECLQAUAAYACAAAACEAtoM4kv4AAADhAQAAEwAAAAAAAAAAAAAAAAAAAAAAW0NvbnRlbnRfVHlw&#13;&#10;ZXNdLnhtbFBLAQItABQABgAIAAAAIQA4/SH/1gAAAJQBAAALAAAAAAAAAAAAAAAAAC8BAABfcmVs&#13;&#10;cy8ucmVsc1BLAQItABQABgAIAAAAIQAPH64T7QEAAC8EAAAOAAAAAAAAAAAAAAAAAC4CAABkcnMv&#13;&#10;ZTJvRG9jLnhtbFBLAQItABQABgAIAAAAIQBusyGK4wAAABABAAAPAAAAAAAAAAAAAAAAAEcEAABk&#13;&#10;cnMvZG93bnJldi54bWxQSwUGAAAAAAQABADzAAAAVwUAAAAA&#13;&#10;" strokecolor="red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C05D8A" wp14:editId="73CAC19C">
                <wp:simplePos x="0" y="0"/>
                <wp:positionH relativeFrom="column">
                  <wp:posOffset>0</wp:posOffset>
                </wp:positionH>
                <wp:positionV relativeFrom="paragraph">
                  <wp:posOffset>2476500</wp:posOffset>
                </wp:positionV>
                <wp:extent cx="6116320" cy="635"/>
                <wp:effectExtent l="0" t="0" r="5080" b="1206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63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EAFF292" w14:textId="59674F82" w:rsidR="009269BB" w:rsidRPr="009269BB" w:rsidRDefault="009269BB" w:rsidP="009269BB">
                            <w:pPr>
                              <w:pStyle w:val="Didascalia"/>
                              <w:rPr>
                                <w:lang w:val="en-US"/>
                              </w:rPr>
                            </w:pPr>
                            <w:r w:rsidRPr="009269BB">
                              <w:rPr>
                                <w:lang w:val="en-US"/>
                              </w:rPr>
                              <w:t>Table S</w:t>
                            </w:r>
                            <w:r w:rsidRPr="009269BB">
                              <w:rPr>
                                <w:lang w:val="en-US"/>
                              </w:rPr>
                              <w:fldChar w:fldCharType="begin"/>
                            </w:r>
                            <w:r w:rsidRPr="009269BB">
                              <w:rPr>
                                <w:lang w:val="en-US"/>
                              </w:rPr>
                              <w:instrText xml:space="preserve"> SEQ Tabella \* ARABIC </w:instrText>
                            </w:r>
                            <w:r w:rsidRPr="009269BB">
                              <w:rPr>
                                <w:lang w:val="en-US"/>
                              </w:rPr>
                              <w:fldChar w:fldCharType="separate"/>
                            </w:r>
                            <w:r w:rsidR="00B74C33">
                              <w:rPr>
                                <w:noProof/>
                                <w:lang w:val="en-US"/>
                              </w:rPr>
                              <w:t>1</w:t>
                            </w:r>
                            <w:r w:rsidRPr="009269BB">
                              <w:rPr>
                                <w:lang w:val="en-US"/>
                              </w:rPr>
                              <w:fldChar w:fldCharType="end"/>
                            </w:r>
                            <w:r w:rsidRPr="009269BB">
                              <w:rPr>
                                <w:lang w:val="en-US"/>
                              </w:rPr>
                              <w:t>: The CUSUM analysis of post-operative morbidity. After a learning phase of 42 cases, the postoperative morbidity of RLRs (RobSurg1) plateaued.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C05D8A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0;margin-top:195pt;width:481.6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Vy/YLwIAAGUEAAAOAAAAZHJzL2Uyb0RvYy54bWysVMFu2zAMvQ/YPwi6L05SLBiCOEWWIsOA&#13;&#10;oC3QDj0rshwLkERNYmJnXz9KttOt22nYRaZIitJ7j/TqtrOGnVWIGlzJZ5MpZ8pJqLQ7lvzb8+7D&#13;&#10;J84iClcJA06V/KIiv12/f7dq/VLNoQFTqcCoiIvL1pe8QfTLooiyUVbECXjlKFhDsAJpG45FFURL&#13;&#10;1a0p5tPpomghVD6AVDGS964P8nWuX9dK4kNdR4XMlJzehnkNeT2ktVivxPIYhG+0HJ4h/uEVVmhH&#13;&#10;l15L3QkU7BT0H6WslgEi1DiRYAuoay1VxkBoZtM3aJ4a4VXGQuREf6Up/r+y8v78GJiuSDvOnLAk&#13;&#10;0VZEZYxglWaoIgKbJZZaH5eU/OQpHbvP0KUTgz+SM4Hv6mDTl2AxihPflyvHqkMmybmYzRY3cwpJ&#13;&#10;ii1uPqYaxetRHyJ+UWBZMkoeSMDMqzjvI/apY0q6KYLR1U4bkzYpsDWBnQWJ3TYa1VD8tyzjUq6D&#13;&#10;dKovmDxFwtfjSBZ2h24Ad4DqQpgD9L0TvdxpumgvIj6KQM1CWGgA8IGW2kBbchgszhoIP/7mT/mk&#13;&#10;IUU5a6n5Sh6/n0RQnJmvjtRNnToaYTQOo+FOdgsEkRSj12STDgQ0o1kHsC80F5t0C4WEk3RXyXE0&#13;&#10;t9iPAM2VVJtNTqJ+9AL37snLVHok9Ll7EcEPciCpeA9jW4rlG1X63KyL35yQKM6SJUJ7FgeeqZez&#13;&#10;6MPcpWH5dZ+zXv8O658AAAD//wMAUEsDBBQABgAIAAAAIQAmikVc4wAAAA0BAAAPAAAAZHJzL2Rv&#13;&#10;d25yZXYueG1sTI9BT8MwDIXvSPyHyEhc0JZunSrWNZ2mAQe4TJRddsuarCk0TpWkW/n3mF3gYtl+&#13;&#10;8vP7ivVoO3bWPrQOBcymCTCNtVMtNgL2Hy+TR2AhSlSyc6gFfOsA6/L2ppC5chd81+cqNoxMMORS&#13;&#10;gImxzzkPtdFWhqnrNZJ2ct7KSKNvuPLyQua24/MkybiVLdIHI3u9Nbr+qgYrYLc47MzDcHp+2yxS&#13;&#10;/7ofttlnUwlxfzc+rahsVsCiHuPfBfwyUH4oKdjRDagC6wQQTRSQLhNqSF5m6RzY8bqZAS8L/p+i&#13;&#10;/AEAAP//AwBQSwECLQAUAAYACAAAACEAtoM4kv4AAADhAQAAEwAAAAAAAAAAAAAAAAAAAAAAW0Nv&#13;&#10;bnRlbnRfVHlwZXNdLnhtbFBLAQItABQABgAIAAAAIQA4/SH/1gAAAJQBAAALAAAAAAAAAAAAAAAA&#13;&#10;AC8BAABfcmVscy8ucmVsc1BLAQItABQABgAIAAAAIQBJVy/YLwIAAGUEAAAOAAAAAAAAAAAAAAAA&#13;&#10;AC4CAABkcnMvZTJvRG9jLnhtbFBLAQItABQABgAIAAAAIQAmikVc4wAAAA0BAAAPAAAAAAAAAAAA&#13;&#10;AAAAAIkEAABkcnMvZG93bnJldi54bWxQSwUGAAAAAAQABADzAAAAmQUAAAAA&#13;&#10;" stroked="f">
                <v:textbox style="mso-fit-shape-to-text:t" inset="0,0,0,0">
                  <w:txbxContent>
                    <w:p w14:paraId="0EAFF292" w14:textId="59674F82" w:rsidR="009269BB" w:rsidRPr="009269BB" w:rsidRDefault="009269BB" w:rsidP="009269BB">
                      <w:pPr>
                        <w:pStyle w:val="Didascalia"/>
                        <w:rPr>
                          <w:lang w:val="en-US"/>
                        </w:rPr>
                      </w:pPr>
                      <w:r w:rsidRPr="009269BB">
                        <w:rPr>
                          <w:lang w:val="en-US"/>
                        </w:rPr>
                        <w:t>Table S</w:t>
                      </w:r>
                      <w:r w:rsidRPr="009269BB">
                        <w:rPr>
                          <w:lang w:val="en-US"/>
                        </w:rPr>
                        <w:fldChar w:fldCharType="begin"/>
                      </w:r>
                      <w:r w:rsidRPr="009269BB">
                        <w:rPr>
                          <w:lang w:val="en-US"/>
                        </w:rPr>
                        <w:instrText xml:space="preserve"> SEQ Tabella \* ARABIC </w:instrText>
                      </w:r>
                      <w:r w:rsidRPr="009269BB">
                        <w:rPr>
                          <w:lang w:val="en-US"/>
                        </w:rPr>
                        <w:fldChar w:fldCharType="separate"/>
                      </w:r>
                      <w:r w:rsidR="00B74C33">
                        <w:rPr>
                          <w:noProof/>
                          <w:lang w:val="en-US"/>
                        </w:rPr>
                        <w:t>1</w:t>
                      </w:r>
                      <w:r w:rsidRPr="009269BB">
                        <w:rPr>
                          <w:lang w:val="en-US"/>
                        </w:rPr>
                        <w:fldChar w:fldCharType="end"/>
                      </w:r>
                      <w:r w:rsidRPr="009269BB">
                        <w:rPr>
                          <w:lang w:val="en-US"/>
                        </w:rPr>
                        <w:t>: The CUSUM analysis of post-operative morbidity. After a learning phase of 42 cases, the postoperative morbidity of RLRs (RobSurg1) plateaued.</w:t>
                      </w:r>
                    </w:p>
                  </w:txbxContent>
                </v:textbox>
              </v:shape>
            </w:pict>
          </mc:Fallback>
        </mc:AlternateContent>
      </w:r>
      <w:r w:rsidR="008118E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288B8E" wp14:editId="6A18792B">
                <wp:simplePos x="0" y="0"/>
                <wp:positionH relativeFrom="column">
                  <wp:posOffset>0</wp:posOffset>
                </wp:positionH>
                <wp:positionV relativeFrom="paragraph">
                  <wp:posOffset>2476500</wp:posOffset>
                </wp:positionV>
                <wp:extent cx="6116320" cy="635"/>
                <wp:effectExtent l="0" t="0" r="5080" b="12065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63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C3C0A9" w14:textId="3638CEEF" w:rsidR="008118E3" w:rsidRPr="00E15136" w:rsidRDefault="008118E3" w:rsidP="008118E3">
                            <w:pPr>
                              <w:pStyle w:val="Didascalia"/>
                              <w:rPr>
                                <w:noProof/>
                              </w:rPr>
                            </w:pPr>
                            <w:r>
                              <w:t>Figure S</w:t>
                            </w:r>
                            <w:r w:rsidR="00F97111">
                              <w:fldChar w:fldCharType="begin"/>
                            </w:r>
                            <w:r w:rsidR="00F97111">
                              <w:instrText xml:space="preserve"> SEQ Figura \* ARABIC </w:instrText>
                            </w:r>
                            <w:r w:rsidR="00F97111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 w:rsidR="00F97111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Pr="009269BB">
                              <w:rPr>
                                <w:lang w:val="en-US"/>
                              </w:rPr>
                              <w:t>The CUSUM analysis of post-operative morbidity. After a learning phase of 42 cases, the postoperative morbidity of RLRs (RobSurg1) plateaued.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88B8E" id="Casella di testo 5" o:spid="_x0000_s1027" type="#_x0000_t202" style="position:absolute;margin-left:0;margin-top:195pt;width:481.6pt;height: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4EPNAIAAGwEAAAOAAAAZHJzL2Uyb0RvYy54bWysVMFu2zAMvQ/YPwi6L05SNBiCOEWWIsOA&#13;&#10;oC2QFj0rshwLkERNYmJnXz9KjtOt22nYRaZIitJ7j/TirrOGnVSIGlzJJ6MxZ8pJqLQ7lPzlefPp&#13;&#10;M2cRhauEAadKflaR3y0/fli0fq6m0ICpVGBUxMV560veIPp5UUTZKCviCLxyFKwhWIG0DYeiCqKl&#13;&#10;6tYU0/F4VrQQKh9AqhjJe98H+TLXr2sl8bGuo0JmSk5vw7yGvO7TWiwXYn4IwjdaXp4h/uEVVmhH&#13;&#10;l15L3QsU7Bj0H6WslgEi1DiSYAuoay1VxkBoJuN3aHaN8CpjIXKiv9IU/19Z+XB6CkxXJb/lzAlL&#13;&#10;Eq1FVMYIVmmGKiKw28RS6+Ocknee0rH7Ah2pPfgjORP4rg42fQkWozjxfb5yrDpkkpyzyWR2M6WQ&#13;&#10;pNjsJtcu3o76EPGrAsuSUfJAAmZexWkbkZ5BqUNKuimC0dVGG5M2KbA2gZ0Eid02GlV6IJ34Lcu4&#13;&#10;lOsgnerDyVMkfD2OZGG37zIrV4x7qM4EPUDfQtHLjab7tiLikwjUMwSJ5gAfaakNtCWHi8VZA+HH&#13;&#10;3/wpn6SkKGct9WDJ4/ejCIoz882RyKlhByMMxn4w3NGugZBOaMK8zCYdCGgGsw5gX2k8VukWCgkn&#13;&#10;6a6S42CusZ8EGi+pVqucRG3pBW7dzstUeuD1uXsVwV9UQRLzAYbuFPN34vS5WR6/OiIxnZVLvPYs&#13;&#10;Xuimls7yXMYvzcyv+5z19pNY/gQAAP//AwBQSwMEFAAGAAgAAAAhACaKRVzjAAAADQEAAA8AAABk&#13;&#10;cnMvZG93bnJldi54bWxMj0FPwzAMhe9I/IfISFzQlm6dKtY1naYBB7hMlF12y5qsKTROlaRb+feY&#13;&#10;XeBi2X7y8/uK9Wg7dtY+tA4FzKYJMI21Uy02AvYfL5NHYCFKVLJzqAV86wDr8vamkLlyF3zX5yo2&#13;&#10;jEww5FKAibHPOQ+10VaGqes1knZy3spIo2+48vJC5rbj8yTJuJUt0gcje701uv6qBitgtzjszMNw&#13;&#10;en7bLFL/uh+22WdTCXF/Nz6tqGxWwKIe498F/DJQfigp2NENqALrBBBNFJAuE2pIXmbpHNjxupkB&#13;&#10;Lwv+n6L8AQAA//8DAFBLAQItABQABgAIAAAAIQC2gziS/gAAAOEBAAATAAAAAAAAAAAAAAAAAAAA&#13;&#10;AABbQ29udGVudF9UeXBlc10ueG1sUEsBAi0AFAAGAAgAAAAhADj9If/WAAAAlAEAAAsAAAAAAAAA&#13;&#10;AAAAAAAALwEAAF9yZWxzLy5yZWxzUEsBAi0AFAAGAAgAAAAhAA1HgQ80AgAAbAQAAA4AAAAAAAAA&#13;&#10;AAAAAAAALgIAAGRycy9lMm9Eb2MueG1sUEsBAi0AFAAGAAgAAAAhACaKRVzjAAAADQEAAA8AAAAA&#13;&#10;AAAAAAAAAAAAjgQAAGRycy9kb3ducmV2LnhtbFBLBQYAAAAABAAEAPMAAACeBQAAAAA=&#13;&#10;" stroked="f">
                <v:textbox style="mso-fit-shape-to-text:t" inset="0,0,0,0">
                  <w:txbxContent>
                    <w:p w14:paraId="47C3C0A9" w14:textId="3638CEEF" w:rsidR="008118E3" w:rsidRPr="00E15136" w:rsidRDefault="008118E3" w:rsidP="008118E3">
                      <w:pPr>
                        <w:pStyle w:val="Didascalia"/>
                        <w:rPr>
                          <w:noProof/>
                        </w:rPr>
                      </w:pPr>
                      <w:r>
                        <w:t>Figure S</w:t>
                      </w:r>
                      <w:fldSimple w:instr=" SEQ Figura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: </w:t>
                      </w:r>
                      <w:r w:rsidRPr="009269BB">
                        <w:rPr>
                          <w:lang w:val="en-US"/>
                        </w:rPr>
                        <w:t>The CUSUM analysis of post-operative morbidity. After a learning phase of 42 cases, the postoperative morbidity of RLRs (RobSurg1) plateaued.</w:t>
                      </w:r>
                    </w:p>
                  </w:txbxContent>
                </v:textbox>
              </v:shape>
            </w:pict>
          </mc:Fallback>
        </mc:AlternateContent>
      </w:r>
      <w:r w:rsidRPr="009269BB">
        <w:rPr>
          <w:noProof/>
        </w:rPr>
        <w:drawing>
          <wp:anchor distT="0" distB="0" distL="114300" distR="114300" simplePos="0" relativeHeight="251659264" behindDoc="0" locked="0" layoutInCell="1" allowOverlap="1" wp14:anchorId="62664DBE" wp14:editId="42033C9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16320" cy="2419350"/>
            <wp:effectExtent l="0" t="0" r="5080" b="6350"/>
            <wp:wrapNone/>
            <wp:docPr id="15" name="Immagine 14">
              <a:extLst xmlns:a="http://schemas.openxmlformats.org/drawingml/2006/main">
                <a:ext uri="{FF2B5EF4-FFF2-40B4-BE49-F238E27FC236}">
                  <a16:creationId xmlns:a16="http://schemas.microsoft.com/office/drawing/2014/main" id="{7FB0F9F6-08CC-B141-A067-7A4DDD6FC2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magine 14">
                      <a:extLst>
                        <a:ext uri="{FF2B5EF4-FFF2-40B4-BE49-F238E27FC236}">
                          <a16:creationId xmlns:a16="http://schemas.microsoft.com/office/drawing/2014/main" id="{7FB0F9F6-08CC-B141-A067-7A4DDD6FC2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3B456F" w14:textId="17E555E0" w:rsidR="00947745" w:rsidRPr="00947745" w:rsidRDefault="00947745" w:rsidP="00947745"/>
    <w:p w14:paraId="541C39DB" w14:textId="59E46B56" w:rsidR="00947745" w:rsidRPr="00947745" w:rsidRDefault="00947745" w:rsidP="00947745"/>
    <w:p w14:paraId="2AF6A7D9" w14:textId="5391EEFF" w:rsidR="00947745" w:rsidRPr="00947745" w:rsidRDefault="00947745" w:rsidP="00947745"/>
    <w:p w14:paraId="208A8B33" w14:textId="7E0ADFD7" w:rsidR="00947745" w:rsidRPr="00947745" w:rsidRDefault="00947745" w:rsidP="00947745"/>
    <w:p w14:paraId="023A43C7" w14:textId="1046E8C3" w:rsidR="00947745" w:rsidRPr="00947745" w:rsidRDefault="00947745" w:rsidP="00947745"/>
    <w:p w14:paraId="0B5C2E8D" w14:textId="6A729A0E" w:rsidR="00947745" w:rsidRPr="00947745" w:rsidRDefault="00947745" w:rsidP="00947745"/>
    <w:p w14:paraId="498D0C30" w14:textId="43196601" w:rsidR="00947745" w:rsidRPr="00947745" w:rsidRDefault="00947745" w:rsidP="00947745"/>
    <w:p w14:paraId="406B02AA" w14:textId="6452067A" w:rsidR="00947745" w:rsidRPr="00947745" w:rsidRDefault="00947745" w:rsidP="00947745"/>
    <w:p w14:paraId="39CF648A" w14:textId="6450E363" w:rsidR="00947745" w:rsidRPr="00947745" w:rsidRDefault="00947745" w:rsidP="00947745"/>
    <w:p w14:paraId="0E304454" w14:textId="6CBA0B8D" w:rsidR="00947745" w:rsidRPr="00947745" w:rsidRDefault="00947745" w:rsidP="00947745"/>
    <w:p w14:paraId="385A138A" w14:textId="72AC5D96" w:rsidR="00947745" w:rsidRPr="00947745" w:rsidRDefault="00947745" w:rsidP="00947745"/>
    <w:p w14:paraId="598F3622" w14:textId="661C8CE4" w:rsidR="00947745" w:rsidRPr="00947745" w:rsidRDefault="00947745" w:rsidP="00947745"/>
    <w:p w14:paraId="7055FF29" w14:textId="2E2ABD29" w:rsidR="00947745" w:rsidRPr="00947745" w:rsidRDefault="00947745" w:rsidP="00947745"/>
    <w:p w14:paraId="38A78BB6" w14:textId="0EA79957" w:rsidR="00947745" w:rsidRPr="00947745" w:rsidRDefault="00947745" w:rsidP="00947745"/>
    <w:p w14:paraId="4EB25860" w14:textId="2AF53670" w:rsidR="00947745" w:rsidRPr="00947745" w:rsidRDefault="00947745" w:rsidP="00947745"/>
    <w:p w14:paraId="10D66FD7" w14:textId="21A11E94" w:rsidR="00947745" w:rsidRPr="00947745" w:rsidRDefault="00947745" w:rsidP="00947745"/>
    <w:sectPr w:rsidR="00947745" w:rsidRPr="00947745" w:rsidSect="00063E4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9BB"/>
    <w:rsid w:val="000204F5"/>
    <w:rsid w:val="00063E4C"/>
    <w:rsid w:val="000859A6"/>
    <w:rsid w:val="000934DD"/>
    <w:rsid w:val="000948AD"/>
    <w:rsid w:val="000D171B"/>
    <w:rsid w:val="000D2C2C"/>
    <w:rsid w:val="000D4092"/>
    <w:rsid w:val="000E0B8E"/>
    <w:rsid w:val="000E237B"/>
    <w:rsid w:val="00112AAD"/>
    <w:rsid w:val="001216F6"/>
    <w:rsid w:val="00124752"/>
    <w:rsid w:val="0012764F"/>
    <w:rsid w:val="00164445"/>
    <w:rsid w:val="001740CD"/>
    <w:rsid w:val="00192DB7"/>
    <w:rsid w:val="00193164"/>
    <w:rsid w:val="001B4E28"/>
    <w:rsid w:val="001C16A1"/>
    <w:rsid w:val="001D1CEA"/>
    <w:rsid w:val="001E36F2"/>
    <w:rsid w:val="001F587B"/>
    <w:rsid w:val="001F64DD"/>
    <w:rsid w:val="00202EAE"/>
    <w:rsid w:val="00205501"/>
    <w:rsid w:val="00205E6F"/>
    <w:rsid w:val="00206125"/>
    <w:rsid w:val="00251B1E"/>
    <w:rsid w:val="00252213"/>
    <w:rsid w:val="002573DA"/>
    <w:rsid w:val="00284755"/>
    <w:rsid w:val="002C7323"/>
    <w:rsid w:val="002D0455"/>
    <w:rsid w:val="002D610E"/>
    <w:rsid w:val="00317F57"/>
    <w:rsid w:val="00340A3B"/>
    <w:rsid w:val="00344B39"/>
    <w:rsid w:val="00350DB8"/>
    <w:rsid w:val="00352111"/>
    <w:rsid w:val="00365E49"/>
    <w:rsid w:val="003834A7"/>
    <w:rsid w:val="00383EF9"/>
    <w:rsid w:val="00394178"/>
    <w:rsid w:val="003B2CA4"/>
    <w:rsid w:val="003C357F"/>
    <w:rsid w:val="003E267B"/>
    <w:rsid w:val="003E46F8"/>
    <w:rsid w:val="003E4FB9"/>
    <w:rsid w:val="004222E4"/>
    <w:rsid w:val="004226E1"/>
    <w:rsid w:val="00437BCF"/>
    <w:rsid w:val="0044437C"/>
    <w:rsid w:val="00471022"/>
    <w:rsid w:val="0048618B"/>
    <w:rsid w:val="00491CD3"/>
    <w:rsid w:val="004B0059"/>
    <w:rsid w:val="004B18E2"/>
    <w:rsid w:val="004B3112"/>
    <w:rsid w:val="004C6269"/>
    <w:rsid w:val="004C7F0F"/>
    <w:rsid w:val="004D1457"/>
    <w:rsid w:val="00567B5E"/>
    <w:rsid w:val="005966C7"/>
    <w:rsid w:val="005B0486"/>
    <w:rsid w:val="00604A39"/>
    <w:rsid w:val="00610EEF"/>
    <w:rsid w:val="00617575"/>
    <w:rsid w:val="00643F2F"/>
    <w:rsid w:val="00651121"/>
    <w:rsid w:val="00671D71"/>
    <w:rsid w:val="00681CE6"/>
    <w:rsid w:val="00695CE3"/>
    <w:rsid w:val="0069648E"/>
    <w:rsid w:val="006A4110"/>
    <w:rsid w:val="006C069C"/>
    <w:rsid w:val="006D4AF8"/>
    <w:rsid w:val="007411E2"/>
    <w:rsid w:val="0075356F"/>
    <w:rsid w:val="00754C51"/>
    <w:rsid w:val="00770AAB"/>
    <w:rsid w:val="00777742"/>
    <w:rsid w:val="00790AAA"/>
    <w:rsid w:val="007C5F03"/>
    <w:rsid w:val="007E186F"/>
    <w:rsid w:val="007E4C6D"/>
    <w:rsid w:val="007F28F3"/>
    <w:rsid w:val="007F641E"/>
    <w:rsid w:val="008118E3"/>
    <w:rsid w:val="00841455"/>
    <w:rsid w:val="008559D2"/>
    <w:rsid w:val="008771D4"/>
    <w:rsid w:val="00890B97"/>
    <w:rsid w:val="008A0FFF"/>
    <w:rsid w:val="008C4CDA"/>
    <w:rsid w:val="008D233C"/>
    <w:rsid w:val="009043CF"/>
    <w:rsid w:val="009269BB"/>
    <w:rsid w:val="009442E1"/>
    <w:rsid w:val="00945717"/>
    <w:rsid w:val="00945F1B"/>
    <w:rsid w:val="00947745"/>
    <w:rsid w:val="00952DC3"/>
    <w:rsid w:val="009603B4"/>
    <w:rsid w:val="00983CF0"/>
    <w:rsid w:val="009859DE"/>
    <w:rsid w:val="0099341F"/>
    <w:rsid w:val="009A530D"/>
    <w:rsid w:val="009E2109"/>
    <w:rsid w:val="00A2079D"/>
    <w:rsid w:val="00A312A4"/>
    <w:rsid w:val="00A31CD3"/>
    <w:rsid w:val="00A36AEC"/>
    <w:rsid w:val="00A44F4E"/>
    <w:rsid w:val="00A469AF"/>
    <w:rsid w:val="00A665C3"/>
    <w:rsid w:val="00A92BD3"/>
    <w:rsid w:val="00AB0FDE"/>
    <w:rsid w:val="00AD5F0E"/>
    <w:rsid w:val="00AF770B"/>
    <w:rsid w:val="00B105A8"/>
    <w:rsid w:val="00B74C33"/>
    <w:rsid w:val="00BD5B1D"/>
    <w:rsid w:val="00BF46E6"/>
    <w:rsid w:val="00C55E70"/>
    <w:rsid w:val="00C62837"/>
    <w:rsid w:val="00C975F1"/>
    <w:rsid w:val="00CB1214"/>
    <w:rsid w:val="00CB140F"/>
    <w:rsid w:val="00CB6CF8"/>
    <w:rsid w:val="00CB74CF"/>
    <w:rsid w:val="00D845E3"/>
    <w:rsid w:val="00DA1323"/>
    <w:rsid w:val="00DC1C12"/>
    <w:rsid w:val="00DC2680"/>
    <w:rsid w:val="00DD58F1"/>
    <w:rsid w:val="00DE6BDA"/>
    <w:rsid w:val="00E212AB"/>
    <w:rsid w:val="00E242AC"/>
    <w:rsid w:val="00E277DF"/>
    <w:rsid w:val="00E3041E"/>
    <w:rsid w:val="00E93355"/>
    <w:rsid w:val="00EA6CFD"/>
    <w:rsid w:val="00EC56FF"/>
    <w:rsid w:val="00EF4755"/>
    <w:rsid w:val="00F1580F"/>
    <w:rsid w:val="00F24476"/>
    <w:rsid w:val="00F45EEF"/>
    <w:rsid w:val="00F569F2"/>
    <w:rsid w:val="00F672CA"/>
    <w:rsid w:val="00F743FB"/>
    <w:rsid w:val="00F75020"/>
    <w:rsid w:val="00F82122"/>
    <w:rsid w:val="00F858FD"/>
    <w:rsid w:val="00F951EF"/>
    <w:rsid w:val="00F97111"/>
    <w:rsid w:val="00FA70F5"/>
    <w:rsid w:val="00FB0DF1"/>
    <w:rsid w:val="00FB14AB"/>
    <w:rsid w:val="00FB332E"/>
    <w:rsid w:val="00FB7A39"/>
    <w:rsid w:val="00FD0A1C"/>
    <w:rsid w:val="00FD2662"/>
    <w:rsid w:val="00FF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13C94"/>
  <w15:chartTrackingRefBased/>
  <w15:docId w15:val="{6A6FC214-7DDE-E240-B1D4-491D6E106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9269BB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Bernardi</dc:creator>
  <cp:keywords/>
  <dc:description/>
  <cp:lastModifiedBy>Federico Bernardi</cp:lastModifiedBy>
  <cp:revision>12</cp:revision>
  <dcterms:created xsi:type="dcterms:W3CDTF">2022-12-14T21:16:00Z</dcterms:created>
  <dcterms:modified xsi:type="dcterms:W3CDTF">2023-08-09T13:26:00Z</dcterms:modified>
</cp:coreProperties>
</file>