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475B8" w:rsidRPr="001E3FEE" w:rsidRDefault="00000000" w:rsidP="0091209A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Cs w:val="24"/>
        </w:rPr>
      </w:pPr>
      <w:r w:rsidRPr="001E3FEE">
        <w:rPr>
          <w:rFonts w:ascii="Arial" w:hAnsi="Arial" w:cs="Arial"/>
          <w:b/>
          <w:bCs/>
          <w:noProof/>
          <w:color w:val="000000"/>
          <w:szCs w:val="24"/>
          <w:lang w:val="en-IN" w:eastAsia="en-IN" w:bidi="ar-SA"/>
        </w:rPr>
        <w:drawing>
          <wp:inline distT="0" distB="0" distL="0" distR="0">
            <wp:extent cx="5089585" cy="3565405"/>
            <wp:effectExtent l="0" t="0" r="3175" b="381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G_0909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9585" cy="3565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5B8" w:rsidRPr="001E3FEE" w:rsidRDefault="00000000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eastAsia="PingFang TC" w:hAnsi="Arial" w:cs="Arial"/>
          <w:color w:val="000000"/>
          <w:szCs w:val="24"/>
        </w:rPr>
      </w:pPr>
      <w:r w:rsidRPr="001E3FEE">
        <w:rPr>
          <w:rFonts w:ascii="Arial" w:hAnsi="Arial" w:cs="Arial"/>
          <w:b/>
          <w:bCs/>
          <w:color w:val="000000"/>
          <w:szCs w:val="24"/>
        </w:rPr>
        <w:t>Supplementary Fig</w:t>
      </w:r>
      <w:r w:rsidR="00C30061" w:rsidRPr="001E3FEE">
        <w:rPr>
          <w:rFonts w:ascii="Arial" w:hAnsi="Arial" w:cs="Arial"/>
          <w:b/>
          <w:bCs/>
          <w:color w:val="000000"/>
          <w:szCs w:val="24"/>
        </w:rPr>
        <w:t>.</w:t>
      </w:r>
      <w:r w:rsidRPr="001E3FEE">
        <w:rPr>
          <w:rFonts w:ascii="Arial" w:hAnsi="Arial" w:cs="Arial"/>
          <w:b/>
          <w:bCs/>
          <w:color w:val="000000"/>
          <w:szCs w:val="24"/>
        </w:rPr>
        <w:t xml:space="preserve"> 1</w:t>
      </w:r>
      <w:r w:rsidR="00483CC8" w:rsidRPr="001E3FEE">
        <w:rPr>
          <w:rFonts w:ascii="Arial" w:hAnsi="Arial" w:cs="Arial"/>
          <w:b/>
          <w:bCs/>
          <w:color w:val="000000" w:themeColor="text1"/>
          <w:lang w:eastAsia="en-US"/>
        </w:rPr>
        <w:t xml:space="preserve">| </w:t>
      </w:r>
      <w:r w:rsidRPr="001E3FEE">
        <w:rPr>
          <w:rFonts w:ascii="Arial" w:hAnsi="Arial" w:cs="Arial"/>
          <w:b/>
          <w:bCs/>
          <w:szCs w:val="24"/>
        </w:rPr>
        <w:t xml:space="preserve">Gas chromatography chromatogram of ginger essential oil (GEO) </w:t>
      </w:r>
      <w:r w:rsidR="00A504AB" w:rsidRPr="001E3FEE">
        <w:rPr>
          <w:rFonts w:ascii="Arial" w:hAnsi="Arial" w:cs="Arial"/>
          <w:b/>
          <w:bCs/>
          <w:szCs w:val="24"/>
        </w:rPr>
        <w:t xml:space="preserve">shows </w:t>
      </w:r>
      <w:proofErr w:type="spellStart"/>
      <w:r w:rsidRPr="001E3FEE">
        <w:rPr>
          <w:rFonts w:ascii="Arial" w:hAnsi="Arial" w:cs="Arial"/>
          <w:b/>
          <w:bCs/>
          <w:szCs w:val="24"/>
        </w:rPr>
        <w:t>citral</w:t>
      </w:r>
      <w:proofErr w:type="spellEnd"/>
      <w:r w:rsidRPr="001E3FEE">
        <w:rPr>
          <w:rFonts w:ascii="Arial" w:hAnsi="Arial" w:cs="Arial"/>
          <w:b/>
          <w:bCs/>
          <w:szCs w:val="24"/>
        </w:rPr>
        <w:t xml:space="preserve"> </w:t>
      </w:r>
      <w:r w:rsidR="00A504AB" w:rsidRPr="001E3FEE">
        <w:rPr>
          <w:rFonts w:ascii="Arial" w:hAnsi="Arial" w:cs="Arial"/>
          <w:b/>
          <w:bCs/>
          <w:szCs w:val="24"/>
        </w:rPr>
        <w:t xml:space="preserve">as </w:t>
      </w:r>
      <w:r w:rsidRPr="001E3FEE">
        <w:rPr>
          <w:rFonts w:ascii="Arial" w:hAnsi="Arial" w:cs="Arial"/>
          <w:b/>
          <w:bCs/>
          <w:szCs w:val="24"/>
        </w:rPr>
        <w:t xml:space="preserve">the major compound. </w:t>
      </w:r>
      <w:r w:rsidRPr="001E3FEE">
        <w:rPr>
          <w:rFonts w:ascii="Arial" w:hAnsi="Arial" w:cs="Arial"/>
          <w:szCs w:val="24"/>
        </w:rPr>
        <w:t>The</w:t>
      </w:r>
      <w:r w:rsidRPr="001E3FEE">
        <w:rPr>
          <w:rFonts w:ascii="Arial" w:hAnsi="Arial" w:cs="Arial"/>
          <w:b/>
          <w:bCs/>
          <w:szCs w:val="24"/>
        </w:rPr>
        <w:t xml:space="preserve"> </w:t>
      </w:r>
      <w:r w:rsidRPr="001E3FEE">
        <w:rPr>
          <w:rFonts w:ascii="Arial" w:eastAsia="PingFang TC" w:hAnsi="Arial" w:cs="Arial"/>
          <w:color w:val="000000"/>
          <w:szCs w:val="24"/>
        </w:rPr>
        <w:t xml:space="preserve">GC </w:t>
      </w:r>
      <w:r w:rsidR="00A504AB" w:rsidRPr="001E3FEE">
        <w:rPr>
          <w:rFonts w:ascii="Arial" w:eastAsia="PingFang TC" w:hAnsi="Arial" w:cs="Arial"/>
          <w:color w:val="000000"/>
          <w:szCs w:val="24"/>
        </w:rPr>
        <w:t xml:space="preserve">demonstrates </w:t>
      </w:r>
      <w:r w:rsidRPr="001E3FEE">
        <w:rPr>
          <w:rFonts w:ascii="Arial" w:eastAsia="PingFang TC" w:hAnsi="Arial" w:cs="Arial"/>
          <w:color w:val="000000"/>
          <w:szCs w:val="24"/>
        </w:rPr>
        <w:t xml:space="preserve">that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citral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 </w:t>
      </w:r>
      <w:r w:rsidR="00A504AB" w:rsidRPr="001E3FEE">
        <w:rPr>
          <w:rFonts w:ascii="Arial" w:eastAsia="PingFang TC" w:hAnsi="Arial" w:cs="Arial"/>
          <w:color w:val="000000"/>
          <w:szCs w:val="24"/>
        </w:rPr>
        <w:t xml:space="preserve">comprises </w:t>
      </w:r>
      <w:r w:rsidRPr="001E3FEE">
        <w:rPr>
          <w:rFonts w:ascii="Arial" w:eastAsia="PingFang TC" w:hAnsi="Arial" w:cs="Arial"/>
          <w:color w:val="000000"/>
          <w:szCs w:val="24"/>
        </w:rPr>
        <w:t xml:space="preserve">a mixture of the two geometric isomers geranial and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neral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.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Citral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 was the main component of GEO</w:t>
      </w:r>
      <w:r w:rsidR="009070CE" w:rsidRPr="001E3FEE">
        <w:rPr>
          <w:rFonts w:ascii="Arial" w:eastAsia="PingFang TC" w:hAnsi="Arial" w:cs="Arial"/>
          <w:color w:val="000000"/>
          <w:szCs w:val="24"/>
        </w:rPr>
        <w:t xml:space="preserve">; </w:t>
      </w:r>
      <w:r w:rsidRPr="001E3FEE">
        <w:rPr>
          <w:rFonts w:ascii="Arial" w:eastAsia="PingFang TC" w:hAnsi="Arial" w:cs="Arial"/>
          <w:color w:val="000000"/>
          <w:szCs w:val="24"/>
        </w:rPr>
        <w:t xml:space="preserve">approximately 31% of it comprised 18.8%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neral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 and 12.2% geranial isomers.</w:t>
      </w:r>
    </w:p>
    <w:p w:rsidR="000475B8" w:rsidRPr="001E3FEE" w:rsidRDefault="00000000" w:rsidP="0091209A">
      <w:pPr>
        <w:spacing w:line="360" w:lineRule="auto"/>
        <w:rPr>
          <w:rFonts w:ascii="Arial" w:eastAsia="PingFang TC" w:hAnsi="Arial" w:cs="Arial"/>
          <w:color w:val="000000"/>
          <w:szCs w:val="24"/>
        </w:rPr>
      </w:pPr>
      <w:r w:rsidRPr="001E3FEE">
        <w:rPr>
          <w:rFonts w:ascii="Arial" w:eastAsia="PingFang TC" w:hAnsi="Arial" w:cs="Arial"/>
          <w:color w:val="000000"/>
          <w:szCs w:val="24"/>
        </w:rPr>
        <w:br w:type="page"/>
      </w:r>
    </w:p>
    <w:p w:rsidR="000475B8" w:rsidRPr="001E3FEE" w:rsidRDefault="00000000" w:rsidP="0091209A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color w:val="000000" w:themeColor="text1"/>
          <w:szCs w:val="24"/>
          <w:lang w:eastAsia="en-US"/>
        </w:rPr>
      </w:pPr>
      <w:r w:rsidRPr="001E3FEE">
        <w:rPr>
          <w:rFonts w:ascii="Arial" w:hAnsi="Arial" w:cs="Arial"/>
          <w:noProof/>
          <w:color w:val="000000" w:themeColor="text1"/>
          <w:szCs w:val="24"/>
          <w:lang w:val="en-IN" w:eastAsia="en-IN" w:bidi="ar-SA"/>
        </w:rPr>
        <w:lastRenderedPageBreak/>
        <w:drawing>
          <wp:inline distT="0" distB="0" distL="0" distR="0">
            <wp:extent cx="6155632" cy="7020000"/>
            <wp:effectExtent l="0" t="0" r="4445" b="31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G_091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55632" cy="70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75B8" w:rsidRPr="001E3FEE" w:rsidRDefault="00000000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eastAsia="PingFang TC" w:hAnsi="Arial" w:cs="Arial"/>
          <w:color w:val="000000"/>
          <w:szCs w:val="24"/>
        </w:rPr>
      </w:pPr>
      <w:r w:rsidRPr="001E3FEE">
        <w:rPr>
          <w:rFonts w:ascii="Arial" w:hAnsi="Arial" w:cs="Arial"/>
          <w:b/>
          <w:bCs/>
          <w:color w:val="000000"/>
          <w:szCs w:val="24"/>
        </w:rPr>
        <w:t>Supplementary Fig</w:t>
      </w:r>
      <w:r w:rsidR="00C30061" w:rsidRPr="001E3FEE">
        <w:rPr>
          <w:rFonts w:ascii="Arial" w:hAnsi="Arial" w:cs="Arial"/>
          <w:b/>
          <w:bCs/>
          <w:color w:val="000000"/>
          <w:szCs w:val="24"/>
        </w:rPr>
        <w:t>.</w:t>
      </w:r>
      <w:r w:rsidRPr="001E3FEE">
        <w:rPr>
          <w:rFonts w:ascii="Arial" w:hAnsi="Arial" w:cs="Arial"/>
          <w:b/>
          <w:bCs/>
          <w:color w:val="000000"/>
          <w:szCs w:val="24"/>
        </w:rPr>
        <w:t xml:space="preserve"> 2</w:t>
      </w:r>
      <w:r w:rsidR="00483CC8" w:rsidRPr="001E3FEE">
        <w:rPr>
          <w:rFonts w:ascii="Arial" w:hAnsi="Arial" w:cs="Arial"/>
          <w:b/>
          <w:bCs/>
          <w:color w:val="000000" w:themeColor="text1"/>
          <w:lang w:eastAsia="en-US"/>
        </w:rPr>
        <w:t xml:space="preserve">| </w:t>
      </w:r>
      <w:r w:rsidRPr="001E3FEE">
        <w:rPr>
          <w:rFonts w:ascii="Arial" w:eastAsia="PingFang TC" w:hAnsi="Arial" w:cs="Arial"/>
          <w:b/>
          <w:bCs/>
          <w:color w:val="000000"/>
          <w:szCs w:val="24"/>
        </w:rPr>
        <w:t>Effect of PL and supplementation with GEO on relative fat mass.</w:t>
      </w:r>
      <w:r w:rsidRPr="001E3FEE">
        <w:rPr>
          <w:rFonts w:ascii="Arial" w:eastAsia="PingFang TC" w:hAnsi="Arial" w:cs="Arial"/>
          <w:color w:val="000000"/>
          <w:szCs w:val="24"/>
        </w:rPr>
        <w:t> Relative (a) visceral, (b) subcutaneous, (c) epididymal white adipose tissue (WAT) (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eWAT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), (d) inguinal WAT (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iWAT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), (e) perirenal WAT (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pWAT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), (f) mesenteric WAT (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mWAT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), and (g) inguinal subcutaneous white adipose tissue (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isWAT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 and interscapular brown adipose tissue (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iBAT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) in C57BL/6 mice, which were treated with either control or a palm oil-containing HFD with LPS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i.p.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 (PL) with or without ginger essential oil (GEO) (12.5 (GL), 62.5 (GM), and 125 (GH) mg/kg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bw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 supplementation by daily oral gavage for 12 weeks. Each value was expressed as the mean ± SD (n = 7–8). Statistical analyses were performed by a one-way ANOVA with Dunnett's multiple comparison test for comparing group means against the PL group.</w:t>
      </w:r>
      <w:r w:rsidRPr="001E3FEE">
        <w:rPr>
          <w:rFonts w:ascii="Arial" w:eastAsia="PingFang TC" w:hAnsi="Arial" w:cs="Arial"/>
          <w:color w:val="000000"/>
          <w:szCs w:val="24"/>
        </w:rPr>
        <w:br w:type="page"/>
      </w:r>
    </w:p>
    <w:p w:rsidR="000475B8" w:rsidRPr="001E3FEE" w:rsidRDefault="00000000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 w:rsidRPr="001E3FEE">
        <w:rPr>
          <w:rFonts w:ascii="Arial" w:hAnsi="Arial" w:cs="Arial"/>
          <w:noProof/>
          <w:color w:val="000000" w:themeColor="text1"/>
          <w:szCs w:val="24"/>
          <w:lang w:val="en-IN" w:eastAsia="en-IN" w:bidi="ar-SA"/>
        </w:rPr>
        <w:lastRenderedPageBreak/>
        <w:drawing>
          <wp:inline distT="0" distB="0" distL="0" distR="0">
            <wp:extent cx="6475730" cy="2787650"/>
            <wp:effectExtent l="0" t="0" r="1270" b="635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091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2787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13C" w:rsidRDefault="00000000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eastAsia="PingFang TC" w:hAnsi="Arial" w:cs="Arial"/>
          <w:color w:val="000000"/>
          <w:szCs w:val="24"/>
        </w:rPr>
      </w:pPr>
      <w:r w:rsidRPr="001E3FEE">
        <w:rPr>
          <w:rFonts w:ascii="Arial" w:hAnsi="Arial" w:cs="Arial"/>
          <w:b/>
          <w:bCs/>
          <w:color w:val="000000"/>
          <w:szCs w:val="24"/>
        </w:rPr>
        <w:t>Supplementary Fig</w:t>
      </w:r>
      <w:r w:rsidR="00C30061" w:rsidRPr="001E3FEE">
        <w:rPr>
          <w:rFonts w:ascii="Arial" w:hAnsi="Arial" w:cs="Arial"/>
          <w:b/>
          <w:bCs/>
          <w:color w:val="000000"/>
          <w:szCs w:val="24"/>
        </w:rPr>
        <w:t>.</w:t>
      </w:r>
      <w:r w:rsidRPr="001E3FEE">
        <w:rPr>
          <w:rFonts w:ascii="Arial" w:hAnsi="Arial" w:cs="Arial"/>
          <w:b/>
          <w:bCs/>
          <w:color w:val="000000"/>
          <w:szCs w:val="24"/>
        </w:rPr>
        <w:t xml:space="preserve"> 3</w:t>
      </w:r>
      <w:r w:rsidR="00483CC8" w:rsidRPr="001E3FEE">
        <w:rPr>
          <w:rFonts w:ascii="Arial" w:hAnsi="Arial" w:cs="Arial"/>
          <w:b/>
          <w:bCs/>
          <w:color w:val="000000" w:themeColor="text1"/>
          <w:lang w:eastAsia="en-US"/>
        </w:rPr>
        <w:t xml:space="preserve">| </w:t>
      </w:r>
      <w:r w:rsidRPr="001E3FEE">
        <w:rPr>
          <w:rFonts w:ascii="Arial" w:eastAsia="PingFang TC" w:hAnsi="Arial" w:cs="Arial"/>
          <w:b/>
          <w:bCs/>
          <w:color w:val="000000"/>
          <w:szCs w:val="24"/>
        </w:rPr>
        <w:t xml:space="preserve">GEO </w:t>
      </w:r>
      <w:r w:rsidR="00A202FA" w:rsidRPr="001E3FEE">
        <w:rPr>
          <w:rFonts w:ascii="Arial" w:eastAsia="PingFang TC" w:hAnsi="Arial" w:cs="Arial"/>
          <w:b/>
          <w:bCs/>
          <w:color w:val="000000"/>
          <w:szCs w:val="24"/>
        </w:rPr>
        <w:t xml:space="preserve">tends </w:t>
      </w:r>
      <w:r w:rsidRPr="001E3FEE">
        <w:rPr>
          <w:rFonts w:ascii="Arial" w:eastAsia="PingFang TC" w:hAnsi="Arial" w:cs="Arial"/>
          <w:b/>
          <w:bCs/>
          <w:color w:val="000000"/>
          <w:szCs w:val="24"/>
        </w:rPr>
        <w:t>to modulate fatty acid synthesis and β-oxidation related proteins.</w:t>
      </w:r>
      <w:r w:rsidRPr="001E3FEE">
        <w:rPr>
          <w:rFonts w:ascii="Arial" w:eastAsia="PingFang TC" w:hAnsi="Arial" w:cs="Arial"/>
          <w:color w:val="000000"/>
          <w:szCs w:val="24"/>
        </w:rPr>
        <w:t xml:space="preserve"> (a) SREBP1, (b) PPAR-ɑ, and (c) HMGCR protein expression in the livers of C57BL/6 mice, which were treated with either control or a palm oil-containing HFD with LPS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i.p.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 (PL) with or without ginger essential oil (GEO) (12.5 (GL), 62.5 (GM), and 125 (GH) mg/kg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bw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 supplementation by daily oral gavage for 12 weeks. Each value was expressed as the mean ± SD (n = 3). Statistical analyses were performed by a one-way ANOVA with Dunnett's multiple comparison test for comparing group means against the PL group.</w:t>
      </w:r>
      <w:r w:rsidR="00C6513C" w:rsidRPr="001E3FEE">
        <w:rPr>
          <w:rFonts w:ascii="Arial" w:eastAsia="PingFang TC" w:hAnsi="Arial" w:cs="Arial"/>
          <w:color w:val="000000"/>
          <w:szCs w:val="24"/>
        </w:rPr>
        <w:br w:type="page"/>
      </w:r>
    </w:p>
    <w:p w:rsidR="00EA3BF3" w:rsidRDefault="00EA3BF3" w:rsidP="00EA3BF3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>
        <w:rPr>
          <w:rFonts w:ascii="Arial" w:hAnsi="Arial" w:cs="Arial"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 wp14:anchorId="452790AB" wp14:editId="19E5D906">
            <wp:extent cx="6475730" cy="4577715"/>
            <wp:effectExtent l="0" t="0" r="127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457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BF3" w:rsidRDefault="00EA3BF3" w:rsidP="00EA3BF3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 xml:space="preserve">Supplementary Fig. </w:t>
      </w:r>
      <w:r>
        <w:rPr>
          <w:rFonts w:ascii="Arial" w:hAnsi="Arial" w:cs="Arial"/>
          <w:b/>
          <w:bCs/>
          <w:color w:val="000000" w:themeColor="text1"/>
          <w:szCs w:val="24"/>
          <w:lang w:eastAsia="en-US"/>
        </w:rPr>
        <w:t>4</w:t>
      </w: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>|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 w:rsidRPr="00EA3BF3">
        <w:rPr>
          <w:rFonts w:ascii="Arial" w:eastAsia="PingFang TC" w:hAnsi="Arial" w:cs="Arial"/>
          <w:b/>
          <w:bCs/>
          <w:color w:val="000000" w:themeColor="text1"/>
          <w:lang w:eastAsia="en-US"/>
        </w:rPr>
        <w:t>PL and GEO shape the NASH-associated and beneficial fecal microbiota at genus level.</w:t>
      </w:r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 Relative abundance of (a) </w:t>
      </w:r>
      <w:proofErr w:type="spellStart"/>
      <w:r w:rsidRPr="00EA3BF3">
        <w:rPr>
          <w:rFonts w:ascii="Arial" w:eastAsia="PingFang TC" w:hAnsi="Arial" w:cs="Arial"/>
          <w:i/>
          <w:color w:val="000000" w:themeColor="text1"/>
        </w:rPr>
        <w:t>Blautia</w:t>
      </w:r>
      <w:proofErr w:type="spellEnd"/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, (b) </w:t>
      </w:r>
      <w:proofErr w:type="spellStart"/>
      <w:r w:rsidRPr="00EA3BF3">
        <w:rPr>
          <w:rFonts w:ascii="Arial" w:eastAsia="PingFang TC" w:hAnsi="Arial" w:cs="Arial"/>
          <w:i/>
          <w:color w:val="000000" w:themeColor="text1"/>
        </w:rPr>
        <w:t>Tyzzerella</w:t>
      </w:r>
      <w:proofErr w:type="spellEnd"/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, (c) </w:t>
      </w:r>
      <w:proofErr w:type="spellStart"/>
      <w:r w:rsidRPr="00EA3BF3">
        <w:rPr>
          <w:rFonts w:ascii="Arial" w:eastAsia="PingFang TC" w:hAnsi="Arial" w:cs="Arial"/>
          <w:i/>
          <w:color w:val="000000" w:themeColor="text1"/>
        </w:rPr>
        <w:t>Alistipes</w:t>
      </w:r>
      <w:proofErr w:type="spellEnd"/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, (d) </w:t>
      </w:r>
      <w:r w:rsidRPr="00EA3BF3">
        <w:rPr>
          <w:rFonts w:ascii="Arial" w:eastAsia="PingFang TC" w:hAnsi="Arial" w:cs="Arial"/>
          <w:i/>
          <w:color w:val="000000" w:themeColor="text1"/>
        </w:rPr>
        <w:t>Bifidobacterium</w:t>
      </w:r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, (e) </w:t>
      </w:r>
      <w:r w:rsidRPr="00EA3BF3">
        <w:rPr>
          <w:rFonts w:ascii="Arial" w:eastAsia="PingFang TC" w:hAnsi="Arial" w:cs="Arial"/>
          <w:i/>
          <w:color w:val="000000" w:themeColor="text1"/>
        </w:rPr>
        <w:t>Lactobacillus</w:t>
      </w:r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, and (f) </w:t>
      </w:r>
      <w:proofErr w:type="spellStart"/>
      <w:r w:rsidRPr="00EA3BF3">
        <w:rPr>
          <w:rFonts w:ascii="Arial" w:eastAsia="PingFang TC" w:hAnsi="Arial" w:cs="Arial"/>
          <w:i/>
          <w:color w:val="000000" w:themeColor="text1"/>
        </w:rPr>
        <w:t>Olsenella</w:t>
      </w:r>
      <w:proofErr w:type="spellEnd"/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 in C57BL/6 mice, which were treated with either control or a palm oil-containing HFD with LPS </w:t>
      </w:r>
      <w:proofErr w:type="spellStart"/>
      <w:r w:rsidRPr="00EA3BF3">
        <w:rPr>
          <w:rFonts w:ascii="Arial" w:eastAsia="PingFang TC" w:hAnsi="Arial" w:cs="Arial"/>
          <w:color w:val="000000" w:themeColor="text1"/>
          <w:lang w:eastAsia="en-US"/>
        </w:rPr>
        <w:t>i.p.</w:t>
      </w:r>
      <w:proofErr w:type="spellEnd"/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 (PL) with or without ginger essential oil (GEO) (12.5 (GL), 62.5 (GM), and 125 (GH) mg/kg </w:t>
      </w:r>
      <w:proofErr w:type="spellStart"/>
      <w:r w:rsidRPr="00EA3BF3">
        <w:rPr>
          <w:rFonts w:ascii="Arial" w:eastAsia="PingFang TC" w:hAnsi="Arial" w:cs="Arial"/>
          <w:color w:val="000000" w:themeColor="text1"/>
          <w:lang w:eastAsia="en-US"/>
        </w:rPr>
        <w:t>bw</w:t>
      </w:r>
      <w:proofErr w:type="spellEnd"/>
      <w:r w:rsidRPr="00EA3BF3">
        <w:rPr>
          <w:rFonts w:ascii="Arial" w:eastAsia="PingFang TC" w:hAnsi="Arial" w:cs="Arial"/>
          <w:color w:val="000000" w:themeColor="text1"/>
          <w:lang w:eastAsia="en-US"/>
        </w:rPr>
        <w:t xml:space="preserve">) supplementation by daily oral </w:t>
      </w:r>
      <w:r w:rsidRPr="00EA3BF3">
        <w:rPr>
          <w:rFonts w:ascii="Arial" w:hAnsi="Arial" w:cs="Arial"/>
          <w:color w:val="000000" w:themeColor="text1"/>
          <w:szCs w:val="24"/>
          <w:lang w:eastAsia="en-US"/>
        </w:rPr>
        <w:t>gavage for 12 weeks. Box plots display median, mean (+), quartiles (boxes), and range (whiskers) (n = 7). Statistical analyses were performed by a one-way ANOVA with Dunnett's multiple comparison test for comparing group means against the PL group.</w:t>
      </w:r>
    </w:p>
    <w:p w:rsidR="00EA3BF3" w:rsidRDefault="00EA3BF3" w:rsidP="00EA3BF3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>
        <w:rPr>
          <w:rFonts w:ascii="Arial" w:hAnsi="Arial" w:cs="Arial"/>
          <w:color w:val="000000" w:themeColor="text1"/>
          <w:szCs w:val="24"/>
          <w:lang w:eastAsia="en-US"/>
        </w:rPr>
        <w:br w:type="page"/>
      </w:r>
    </w:p>
    <w:p w:rsidR="00C6513C" w:rsidRPr="001E3FEE" w:rsidRDefault="00C2746E" w:rsidP="0091209A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  <w:szCs w:val="24"/>
        </w:rPr>
      </w:pPr>
      <w:r w:rsidRPr="001E3FEE">
        <w:rPr>
          <w:rFonts w:ascii="Arial" w:hAnsi="Arial" w:cs="Arial"/>
          <w:noProof/>
          <w:color w:val="000000" w:themeColor="text1"/>
        </w:rPr>
        <w:lastRenderedPageBreak/>
        <w:drawing>
          <wp:inline distT="0" distB="0" distL="0" distR="0" wp14:anchorId="00DB053A" wp14:editId="6D64279B">
            <wp:extent cx="6116320" cy="2933065"/>
            <wp:effectExtent l="0" t="0" r="5080" b="63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16320" cy="2933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FEE" w:rsidRPr="001E3FEE" w:rsidRDefault="00C6513C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eastAsia="PingFang TC" w:hAnsi="Arial" w:cs="Arial"/>
          <w:b/>
          <w:bCs/>
          <w:color w:val="000000"/>
          <w:szCs w:val="24"/>
        </w:rPr>
      </w:pPr>
      <w:r w:rsidRPr="001E3FEE">
        <w:rPr>
          <w:rFonts w:ascii="Arial" w:hAnsi="Arial" w:cs="Arial"/>
          <w:b/>
          <w:bCs/>
          <w:color w:val="000000"/>
          <w:szCs w:val="24"/>
        </w:rPr>
        <w:t xml:space="preserve">Supplementary Fig. </w:t>
      </w:r>
      <w:r w:rsidR="00EA3BF3">
        <w:rPr>
          <w:rFonts w:ascii="Arial" w:hAnsi="Arial" w:cs="Arial"/>
          <w:b/>
          <w:bCs/>
          <w:color w:val="000000"/>
          <w:szCs w:val="24"/>
        </w:rPr>
        <w:t>5</w:t>
      </w:r>
      <w:r w:rsidRPr="001E3FEE">
        <w:rPr>
          <w:rFonts w:ascii="Arial" w:hAnsi="Arial" w:cs="Arial"/>
          <w:b/>
          <w:bCs/>
          <w:color w:val="000000" w:themeColor="text1"/>
          <w:lang w:eastAsia="en-US"/>
        </w:rPr>
        <w:t xml:space="preserve">| </w:t>
      </w:r>
      <w:r w:rsidRPr="001E3FEE">
        <w:rPr>
          <w:rFonts w:ascii="Arial" w:eastAsia="PingFang TC" w:hAnsi="Arial" w:cs="Arial"/>
          <w:b/>
          <w:bCs/>
          <w:color w:val="000000"/>
          <w:szCs w:val="24"/>
        </w:rPr>
        <w:t>Mouse to human equivalent dose translation of ginger essential oil and ginger.</w:t>
      </w:r>
    </w:p>
    <w:p w:rsidR="001E3FEE" w:rsidRPr="001E3FEE" w:rsidRDefault="001E3FEE" w:rsidP="0091209A">
      <w:pPr>
        <w:spacing w:line="360" w:lineRule="auto"/>
        <w:rPr>
          <w:rFonts w:ascii="Arial" w:eastAsia="PingFang TC" w:hAnsi="Arial" w:cs="Arial"/>
          <w:b/>
          <w:bCs/>
          <w:color w:val="000000"/>
          <w:szCs w:val="24"/>
        </w:rPr>
      </w:pPr>
      <w:r w:rsidRPr="001E3FEE">
        <w:rPr>
          <w:rFonts w:ascii="Arial" w:eastAsia="PingFang TC" w:hAnsi="Arial" w:cs="Arial"/>
          <w:b/>
          <w:bCs/>
          <w:color w:val="000000"/>
          <w:szCs w:val="24"/>
        </w:rPr>
        <w:br w:type="page"/>
      </w:r>
    </w:p>
    <w:p w:rsidR="001E3FEE" w:rsidRPr="001E3FEE" w:rsidRDefault="001E3FEE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b/>
          <w:bCs/>
          <w:color w:val="000000"/>
          <w:szCs w:val="24"/>
        </w:rPr>
      </w:pPr>
      <w:r w:rsidRPr="001E3FEE">
        <w:rPr>
          <w:rFonts w:ascii="Arial" w:hAnsi="Arial" w:cs="Arial"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 wp14:anchorId="4A830A09" wp14:editId="2024E585">
            <wp:extent cx="6475730" cy="3352800"/>
            <wp:effectExtent l="0" t="0" r="127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335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E3FEE" w:rsidRPr="001E3FEE" w:rsidRDefault="001E3FEE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 w:rsidRPr="001E3FEE">
        <w:rPr>
          <w:rFonts w:ascii="Arial" w:hAnsi="Arial" w:cs="Arial"/>
          <w:b/>
          <w:bCs/>
          <w:color w:val="000000"/>
          <w:szCs w:val="24"/>
        </w:rPr>
        <w:t xml:space="preserve">Supplementary Fig. </w:t>
      </w:r>
      <w:r w:rsidR="00EA3BF3">
        <w:rPr>
          <w:rFonts w:ascii="Arial" w:hAnsi="Arial" w:cs="Arial"/>
          <w:b/>
          <w:bCs/>
          <w:color w:val="000000"/>
          <w:szCs w:val="24"/>
        </w:rPr>
        <w:t>6</w:t>
      </w:r>
      <w:r w:rsidRPr="001E3FEE">
        <w:rPr>
          <w:rFonts w:ascii="Arial" w:hAnsi="Arial" w:cs="Arial"/>
          <w:b/>
          <w:bCs/>
          <w:color w:val="000000" w:themeColor="text1"/>
          <w:lang w:eastAsia="en-US"/>
        </w:rPr>
        <w:t xml:space="preserve">| </w:t>
      </w:r>
      <w:r w:rsidRPr="001E3FEE">
        <w:rPr>
          <w:rFonts w:ascii="Arial" w:eastAsia="PingFang TC" w:hAnsi="Arial" w:cs="Arial"/>
          <w:b/>
          <w:bCs/>
          <w:color w:val="000000"/>
          <w:szCs w:val="24"/>
        </w:rPr>
        <w:t xml:space="preserve">Representative histological features of hematoxylin and eosin-stained kidney, spleen, and ileum section (400X magnification; scale bar: 100 µm) with no significant change. </w:t>
      </w:r>
      <w:r w:rsidRPr="001E3FEE">
        <w:rPr>
          <w:rFonts w:ascii="Arial" w:eastAsia="PingFang TC" w:hAnsi="Arial" w:cs="Arial"/>
          <w:color w:val="000000"/>
          <w:szCs w:val="24"/>
        </w:rPr>
        <w:t xml:space="preserve">C57BL/6 mice were treated with either control or a palm oil-containing HFD with LPS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i.p.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 xml:space="preserve"> (PL) with or without ginger essential oil (GEO) (12.5 (GL), 62.5 (GM), and 125 (GH) mg/kg </w:t>
      </w:r>
      <w:proofErr w:type="spellStart"/>
      <w:r w:rsidRPr="001E3FEE">
        <w:rPr>
          <w:rFonts w:ascii="Arial" w:eastAsia="PingFang TC" w:hAnsi="Arial" w:cs="Arial"/>
          <w:color w:val="000000"/>
          <w:szCs w:val="24"/>
        </w:rPr>
        <w:t>bw</w:t>
      </w:r>
      <w:proofErr w:type="spellEnd"/>
      <w:r w:rsidRPr="001E3FEE">
        <w:rPr>
          <w:rFonts w:ascii="Arial" w:eastAsia="PingFang TC" w:hAnsi="Arial" w:cs="Arial"/>
          <w:color w:val="000000"/>
          <w:szCs w:val="24"/>
        </w:rPr>
        <w:t>) supplementation by daily oral gavage for 12 weeks.</w:t>
      </w:r>
    </w:p>
    <w:p w:rsidR="00094B52" w:rsidRPr="001E3FEE" w:rsidRDefault="00094B52" w:rsidP="0091209A">
      <w:pPr>
        <w:spacing w:line="360" w:lineRule="auto"/>
        <w:rPr>
          <w:rFonts w:ascii="Arial" w:eastAsia="PingFang TC" w:hAnsi="Arial" w:cs="Arial"/>
          <w:b/>
          <w:bCs/>
          <w:color w:val="000000"/>
          <w:szCs w:val="24"/>
        </w:rPr>
      </w:pPr>
      <w:r w:rsidRPr="001E3FEE">
        <w:rPr>
          <w:rFonts w:ascii="Arial" w:eastAsia="PingFang TC" w:hAnsi="Arial" w:cs="Arial"/>
          <w:b/>
          <w:bCs/>
          <w:color w:val="000000"/>
          <w:szCs w:val="24"/>
        </w:rPr>
        <w:br w:type="page"/>
      </w:r>
    </w:p>
    <w:p w:rsidR="00434AF6" w:rsidRDefault="00094B52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>
        <w:rPr>
          <w:rFonts w:ascii="Arial" w:hAnsi="Arial" w:cs="Arial"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>
            <wp:extent cx="6475730" cy="31496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314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B52" w:rsidRDefault="00094B52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 xml:space="preserve">Supplementary Fig. </w:t>
      </w:r>
      <w:r w:rsidR="00EA3BF3">
        <w:rPr>
          <w:rFonts w:ascii="Arial" w:hAnsi="Arial" w:cs="Arial"/>
          <w:b/>
          <w:bCs/>
          <w:color w:val="000000" w:themeColor="text1"/>
          <w:szCs w:val="24"/>
          <w:lang w:eastAsia="en-US"/>
        </w:rPr>
        <w:t>7</w:t>
      </w: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>|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The original western blot images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of CYP2E1 and GAPDH as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 xml:space="preserve"> presented in </w:t>
      </w:r>
      <w:r>
        <w:rPr>
          <w:rFonts w:ascii="Arial" w:hAnsi="Arial" w:cs="Arial"/>
          <w:color w:val="000000" w:themeColor="text1"/>
          <w:szCs w:val="24"/>
          <w:lang w:eastAsia="en-US"/>
        </w:rPr>
        <w:t>F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igure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3a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.</w:t>
      </w:r>
    </w:p>
    <w:p w:rsidR="00094B52" w:rsidRDefault="00094B52" w:rsidP="0091209A">
      <w:pPr>
        <w:spacing w:line="360" w:lineRule="auto"/>
        <w:rPr>
          <w:rFonts w:ascii="Arial" w:hAnsi="Arial" w:cs="Arial"/>
          <w:color w:val="000000" w:themeColor="text1"/>
          <w:szCs w:val="24"/>
          <w:lang w:eastAsia="en-US"/>
        </w:rPr>
      </w:pPr>
      <w:r>
        <w:rPr>
          <w:rFonts w:ascii="Arial" w:hAnsi="Arial" w:cs="Arial"/>
          <w:color w:val="000000" w:themeColor="text1"/>
          <w:szCs w:val="24"/>
          <w:lang w:eastAsia="en-US"/>
        </w:rPr>
        <w:br w:type="page"/>
      </w:r>
    </w:p>
    <w:p w:rsidR="00094B52" w:rsidRDefault="004D1D28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b/>
          <w:bCs/>
          <w:color w:val="000000" w:themeColor="text1"/>
          <w:szCs w:val="24"/>
          <w:lang w:eastAsia="en-US"/>
        </w:rPr>
      </w:pPr>
      <w:r>
        <w:rPr>
          <w:rFonts w:ascii="Arial" w:hAnsi="Arial" w:cs="Arial"/>
          <w:b/>
          <w:bCs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>
            <wp:extent cx="6475730" cy="4909185"/>
            <wp:effectExtent l="0" t="0" r="1270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4909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B52" w:rsidRDefault="00094B52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 xml:space="preserve">Supplementary Fig. </w:t>
      </w:r>
      <w:r w:rsidR="00EA3BF3">
        <w:rPr>
          <w:rFonts w:ascii="Arial" w:hAnsi="Arial" w:cs="Arial"/>
          <w:b/>
          <w:bCs/>
          <w:color w:val="000000" w:themeColor="text1"/>
          <w:szCs w:val="24"/>
          <w:lang w:eastAsia="en-US"/>
        </w:rPr>
        <w:t>8</w:t>
      </w: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>|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The original western blot images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of NLRP3, ASC, Caspase-1,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>
        <w:rPr>
          <w:rFonts w:ascii="Arial" w:hAnsi="Arial" w:cs="Arial"/>
          <w:color w:val="000000" w:themeColor="text1"/>
          <w:szCs w:val="24"/>
          <w:lang w:eastAsia="en-US"/>
        </w:rPr>
        <w:t>and GAPDH as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 xml:space="preserve"> presented in </w:t>
      </w:r>
      <w:r>
        <w:rPr>
          <w:rFonts w:ascii="Arial" w:hAnsi="Arial" w:cs="Arial"/>
          <w:color w:val="000000" w:themeColor="text1"/>
          <w:szCs w:val="24"/>
          <w:lang w:eastAsia="en-US"/>
        </w:rPr>
        <w:t>F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igure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4d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.</w:t>
      </w:r>
    </w:p>
    <w:p w:rsidR="00094B52" w:rsidRDefault="00094B52" w:rsidP="0091209A">
      <w:pPr>
        <w:spacing w:line="360" w:lineRule="auto"/>
        <w:rPr>
          <w:rFonts w:ascii="Arial" w:hAnsi="Arial" w:cs="Arial"/>
          <w:color w:val="000000" w:themeColor="text1"/>
          <w:szCs w:val="24"/>
          <w:lang w:eastAsia="en-US"/>
        </w:rPr>
      </w:pPr>
      <w:r>
        <w:rPr>
          <w:rFonts w:ascii="Arial" w:hAnsi="Arial" w:cs="Arial"/>
          <w:color w:val="000000" w:themeColor="text1"/>
          <w:szCs w:val="24"/>
          <w:lang w:eastAsia="en-US"/>
        </w:rPr>
        <w:br w:type="page"/>
      </w:r>
    </w:p>
    <w:p w:rsidR="00094B52" w:rsidRDefault="00094B52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b/>
          <w:bCs/>
          <w:color w:val="000000" w:themeColor="text1"/>
          <w:szCs w:val="24"/>
          <w:lang w:eastAsia="en-US"/>
        </w:rPr>
      </w:pPr>
      <w:r>
        <w:rPr>
          <w:rFonts w:ascii="Arial" w:hAnsi="Arial" w:cs="Arial"/>
          <w:b/>
          <w:bCs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>
            <wp:extent cx="6475730" cy="5455285"/>
            <wp:effectExtent l="0" t="0" r="1270" b="571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5455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94B52" w:rsidRDefault="00094B52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 xml:space="preserve">Supplementary Fig. </w:t>
      </w:r>
      <w:r w:rsidR="00EA3BF3">
        <w:rPr>
          <w:rFonts w:ascii="Arial" w:hAnsi="Arial" w:cs="Arial"/>
          <w:b/>
          <w:bCs/>
          <w:color w:val="000000" w:themeColor="text1"/>
          <w:szCs w:val="24"/>
          <w:lang w:eastAsia="en-US"/>
        </w:rPr>
        <w:t>9</w:t>
      </w: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>|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The original western blot images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of TLR4, NF-</w:t>
      </w:r>
      <w:proofErr w:type="spellStart"/>
      <w:r>
        <w:rPr>
          <w:rFonts w:ascii="Arial" w:hAnsi="Arial" w:cs="Arial"/>
          <w:color w:val="000000" w:themeColor="text1"/>
          <w:szCs w:val="24"/>
          <w:lang w:eastAsia="en-US"/>
        </w:rPr>
        <w:t>κB</w:t>
      </w:r>
      <w:proofErr w:type="spellEnd"/>
      <w:r>
        <w:rPr>
          <w:rFonts w:ascii="Arial" w:hAnsi="Arial" w:cs="Arial"/>
          <w:color w:val="000000" w:themeColor="text1"/>
          <w:szCs w:val="24"/>
          <w:lang w:eastAsia="en-US"/>
        </w:rPr>
        <w:t>,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>
        <w:rPr>
          <w:rFonts w:ascii="Arial" w:hAnsi="Arial" w:cs="Arial"/>
          <w:color w:val="000000" w:themeColor="text1"/>
          <w:szCs w:val="24"/>
          <w:lang w:eastAsia="en-US"/>
        </w:rPr>
        <w:t>and GAPDH as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 xml:space="preserve"> presented in </w:t>
      </w:r>
      <w:r>
        <w:rPr>
          <w:rFonts w:ascii="Arial" w:hAnsi="Arial" w:cs="Arial"/>
          <w:color w:val="000000" w:themeColor="text1"/>
          <w:szCs w:val="24"/>
          <w:lang w:eastAsia="en-US"/>
        </w:rPr>
        <w:t>F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igure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7d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.</w:t>
      </w:r>
    </w:p>
    <w:p w:rsidR="00094B52" w:rsidRDefault="00094B52" w:rsidP="0091209A">
      <w:pPr>
        <w:spacing w:line="360" w:lineRule="auto"/>
        <w:rPr>
          <w:rFonts w:ascii="Arial" w:hAnsi="Arial" w:cs="Arial"/>
          <w:color w:val="000000" w:themeColor="text1"/>
          <w:szCs w:val="24"/>
          <w:lang w:eastAsia="en-US"/>
        </w:rPr>
      </w:pPr>
      <w:r>
        <w:rPr>
          <w:rFonts w:ascii="Arial" w:hAnsi="Arial" w:cs="Arial"/>
          <w:color w:val="000000" w:themeColor="text1"/>
          <w:szCs w:val="24"/>
          <w:lang w:eastAsia="en-US"/>
        </w:rPr>
        <w:br w:type="page"/>
      </w:r>
    </w:p>
    <w:p w:rsidR="00094B52" w:rsidRDefault="00094B52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b/>
          <w:bCs/>
          <w:color w:val="000000" w:themeColor="text1"/>
          <w:szCs w:val="24"/>
          <w:lang w:eastAsia="en-US"/>
        </w:rPr>
      </w:pPr>
      <w:r>
        <w:rPr>
          <w:rFonts w:ascii="Arial" w:hAnsi="Arial" w:cs="Arial"/>
          <w:b/>
          <w:bCs/>
          <w:noProof/>
          <w:color w:val="000000" w:themeColor="text1"/>
          <w:szCs w:val="24"/>
          <w:lang w:eastAsia="en-US"/>
        </w:rPr>
        <w:lastRenderedPageBreak/>
        <w:drawing>
          <wp:inline distT="0" distB="0" distL="0" distR="0">
            <wp:extent cx="6475730" cy="4434205"/>
            <wp:effectExtent l="0" t="0" r="127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475730" cy="4434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3BF3" w:rsidRDefault="00094B52" w:rsidP="0091209A">
      <w:pPr>
        <w:autoSpaceDE w:val="0"/>
        <w:autoSpaceDN w:val="0"/>
        <w:adjustRightInd w:val="0"/>
        <w:spacing w:line="360" w:lineRule="auto"/>
        <w:jc w:val="thaiDistribute"/>
        <w:rPr>
          <w:rFonts w:ascii="Arial" w:hAnsi="Arial" w:cs="Arial"/>
          <w:color w:val="000000" w:themeColor="text1"/>
          <w:szCs w:val="24"/>
          <w:lang w:eastAsia="en-US"/>
        </w:rPr>
      </w:pP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 xml:space="preserve">Supplementary Fig. </w:t>
      </w:r>
      <w:r w:rsidR="00EA3BF3">
        <w:rPr>
          <w:rFonts w:ascii="Arial" w:hAnsi="Arial" w:cs="Arial"/>
          <w:b/>
          <w:bCs/>
          <w:color w:val="000000" w:themeColor="text1"/>
          <w:szCs w:val="24"/>
          <w:lang w:eastAsia="en-US"/>
        </w:rPr>
        <w:t>10</w:t>
      </w:r>
      <w:r w:rsidRPr="00094B52">
        <w:rPr>
          <w:rFonts w:ascii="Arial" w:hAnsi="Arial" w:cs="Arial"/>
          <w:b/>
          <w:bCs/>
          <w:color w:val="000000" w:themeColor="text1"/>
          <w:szCs w:val="24"/>
          <w:lang w:eastAsia="en-US"/>
        </w:rPr>
        <w:t>|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The original western blot images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of SREBP1, PPAR-ɑ, HMGCR,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 xml:space="preserve"> 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and GAPDH as 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 xml:space="preserve">presented in </w:t>
      </w:r>
      <w:r>
        <w:rPr>
          <w:rFonts w:ascii="Arial" w:hAnsi="Arial" w:cs="Arial"/>
          <w:color w:val="000000" w:themeColor="text1"/>
          <w:szCs w:val="24"/>
          <w:lang w:eastAsia="en-US"/>
        </w:rPr>
        <w:t>Supplementary F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igure</w:t>
      </w:r>
      <w:r>
        <w:rPr>
          <w:rFonts w:ascii="Arial" w:hAnsi="Arial" w:cs="Arial"/>
          <w:color w:val="000000" w:themeColor="text1"/>
          <w:szCs w:val="24"/>
          <w:lang w:eastAsia="en-US"/>
        </w:rPr>
        <w:t xml:space="preserve"> 3a-c</w:t>
      </w:r>
      <w:r w:rsidRPr="00094B52">
        <w:rPr>
          <w:rFonts w:ascii="Arial" w:hAnsi="Arial" w:cs="Arial"/>
          <w:color w:val="000000" w:themeColor="text1"/>
          <w:szCs w:val="24"/>
          <w:lang w:eastAsia="en-US"/>
        </w:rPr>
        <w:t>.</w:t>
      </w:r>
    </w:p>
    <w:p w:rsidR="00EA3BF3" w:rsidRDefault="00EA3BF3">
      <w:pPr>
        <w:rPr>
          <w:rFonts w:ascii="Arial" w:hAnsi="Arial" w:cs="Arial"/>
          <w:color w:val="000000" w:themeColor="text1"/>
          <w:szCs w:val="24"/>
          <w:lang w:eastAsia="en-US"/>
        </w:rPr>
      </w:pPr>
    </w:p>
    <w:sectPr w:rsidR="00EA3BF3" w:rsidSect="002179D7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1900" w:h="16840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60490" w:rsidRDefault="00960490">
      <w:r>
        <w:separator/>
      </w:r>
    </w:p>
  </w:endnote>
  <w:endnote w:type="continuationSeparator" w:id="0">
    <w:p w:rsidR="00960490" w:rsidRDefault="009604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Times New Roman Bold">
    <w:altName w:val="Times New Roman"/>
    <w:panose1 w:val="020208030705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PingFang TC">
    <w:panose1 w:val="020B0400000000000000"/>
    <w:charset w:val="88"/>
    <w:family w:val="swiss"/>
    <w:pitch w:val="variable"/>
    <w:sig w:usb0="A00002FF" w:usb1="7ACFFDFB" w:usb2="00000017" w:usb3="00000000" w:csb0="001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83278" w:rsidRDefault="0098327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83278" w:rsidRPr="00983278" w:rsidRDefault="0098327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83278" w:rsidRPr="00983278" w:rsidRDefault="0098327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60490" w:rsidRDefault="00960490">
      <w:r>
        <w:separator/>
      </w:r>
    </w:p>
  </w:footnote>
  <w:footnote w:type="continuationSeparator" w:id="0">
    <w:p w:rsidR="00960490" w:rsidRDefault="009604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83278" w:rsidRDefault="0098327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83278" w:rsidRPr="00983278" w:rsidRDefault="0098327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83278" w:rsidRPr="00983278" w:rsidRDefault="0098327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removeDateAndTim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2D7A"/>
    <w:rsid w:val="000216B8"/>
    <w:rsid w:val="00026931"/>
    <w:rsid w:val="00036282"/>
    <w:rsid w:val="000475B8"/>
    <w:rsid w:val="00083DCA"/>
    <w:rsid w:val="00094B52"/>
    <w:rsid w:val="000B3381"/>
    <w:rsid w:val="000B33A0"/>
    <w:rsid w:val="000B6E39"/>
    <w:rsid w:val="000C2D15"/>
    <w:rsid w:val="000D4797"/>
    <w:rsid w:val="000D7020"/>
    <w:rsid w:val="000F2095"/>
    <w:rsid w:val="000F307F"/>
    <w:rsid w:val="000F579B"/>
    <w:rsid w:val="0010434F"/>
    <w:rsid w:val="00154A66"/>
    <w:rsid w:val="001706E1"/>
    <w:rsid w:val="00174E87"/>
    <w:rsid w:val="00187979"/>
    <w:rsid w:val="001A7D40"/>
    <w:rsid w:val="001D1786"/>
    <w:rsid w:val="001D1B1C"/>
    <w:rsid w:val="001D1C29"/>
    <w:rsid w:val="001D25C1"/>
    <w:rsid w:val="001D7486"/>
    <w:rsid w:val="001E3FEE"/>
    <w:rsid w:val="00207778"/>
    <w:rsid w:val="002145D0"/>
    <w:rsid w:val="002179D7"/>
    <w:rsid w:val="002239FE"/>
    <w:rsid w:val="00230E1F"/>
    <w:rsid w:val="00237E5E"/>
    <w:rsid w:val="0024473F"/>
    <w:rsid w:val="00254AE1"/>
    <w:rsid w:val="002561EE"/>
    <w:rsid w:val="00264AEA"/>
    <w:rsid w:val="0029194C"/>
    <w:rsid w:val="002B174B"/>
    <w:rsid w:val="002C1418"/>
    <w:rsid w:val="002C5E90"/>
    <w:rsid w:val="002F199C"/>
    <w:rsid w:val="00301033"/>
    <w:rsid w:val="00315919"/>
    <w:rsid w:val="003324B9"/>
    <w:rsid w:val="0033523F"/>
    <w:rsid w:val="00342828"/>
    <w:rsid w:val="0037566B"/>
    <w:rsid w:val="00382EC2"/>
    <w:rsid w:val="00385F91"/>
    <w:rsid w:val="0038639F"/>
    <w:rsid w:val="00386F66"/>
    <w:rsid w:val="00406FA6"/>
    <w:rsid w:val="004179FF"/>
    <w:rsid w:val="00434AF6"/>
    <w:rsid w:val="00443D32"/>
    <w:rsid w:val="004441B6"/>
    <w:rsid w:val="00460B36"/>
    <w:rsid w:val="00477D71"/>
    <w:rsid w:val="00483CC8"/>
    <w:rsid w:val="00494B57"/>
    <w:rsid w:val="00497916"/>
    <w:rsid w:val="004A4A71"/>
    <w:rsid w:val="004A6F43"/>
    <w:rsid w:val="004B767D"/>
    <w:rsid w:val="004C0F04"/>
    <w:rsid w:val="004D1D28"/>
    <w:rsid w:val="004E55DB"/>
    <w:rsid w:val="004F7A54"/>
    <w:rsid w:val="00512134"/>
    <w:rsid w:val="00532A66"/>
    <w:rsid w:val="00536363"/>
    <w:rsid w:val="00536377"/>
    <w:rsid w:val="0056211F"/>
    <w:rsid w:val="00562C9E"/>
    <w:rsid w:val="00587C93"/>
    <w:rsid w:val="005B0B8D"/>
    <w:rsid w:val="005C157F"/>
    <w:rsid w:val="005C4FA9"/>
    <w:rsid w:val="00602C8D"/>
    <w:rsid w:val="00626DB6"/>
    <w:rsid w:val="00633819"/>
    <w:rsid w:val="00635BE9"/>
    <w:rsid w:val="00635E98"/>
    <w:rsid w:val="006362B8"/>
    <w:rsid w:val="0066463B"/>
    <w:rsid w:val="00682E53"/>
    <w:rsid w:val="006924D1"/>
    <w:rsid w:val="00696244"/>
    <w:rsid w:val="006A1D08"/>
    <w:rsid w:val="006E5E2F"/>
    <w:rsid w:val="007019DE"/>
    <w:rsid w:val="007174EF"/>
    <w:rsid w:val="00734125"/>
    <w:rsid w:val="007479BA"/>
    <w:rsid w:val="0077294C"/>
    <w:rsid w:val="00782ED2"/>
    <w:rsid w:val="00792BCC"/>
    <w:rsid w:val="00793D3D"/>
    <w:rsid w:val="00795E21"/>
    <w:rsid w:val="007A7BBC"/>
    <w:rsid w:val="007E17CE"/>
    <w:rsid w:val="007E7ABD"/>
    <w:rsid w:val="007F1EB0"/>
    <w:rsid w:val="007F27E8"/>
    <w:rsid w:val="00817A27"/>
    <w:rsid w:val="00827BE7"/>
    <w:rsid w:val="0083567F"/>
    <w:rsid w:val="008431C4"/>
    <w:rsid w:val="008834C9"/>
    <w:rsid w:val="00892F7E"/>
    <w:rsid w:val="008A0C12"/>
    <w:rsid w:val="008A3C52"/>
    <w:rsid w:val="009070CE"/>
    <w:rsid w:val="0091209A"/>
    <w:rsid w:val="0091500B"/>
    <w:rsid w:val="00922439"/>
    <w:rsid w:val="009344F0"/>
    <w:rsid w:val="00960490"/>
    <w:rsid w:val="009663BF"/>
    <w:rsid w:val="0096790F"/>
    <w:rsid w:val="00976C27"/>
    <w:rsid w:val="00977131"/>
    <w:rsid w:val="00983278"/>
    <w:rsid w:val="00983327"/>
    <w:rsid w:val="00984662"/>
    <w:rsid w:val="00996770"/>
    <w:rsid w:val="009B45D9"/>
    <w:rsid w:val="009B5DE3"/>
    <w:rsid w:val="009D1395"/>
    <w:rsid w:val="009D47DF"/>
    <w:rsid w:val="009D7274"/>
    <w:rsid w:val="009E2D7A"/>
    <w:rsid w:val="009F1A9C"/>
    <w:rsid w:val="00A101DF"/>
    <w:rsid w:val="00A202FA"/>
    <w:rsid w:val="00A30078"/>
    <w:rsid w:val="00A35C7D"/>
    <w:rsid w:val="00A46626"/>
    <w:rsid w:val="00A47CFA"/>
    <w:rsid w:val="00A504AB"/>
    <w:rsid w:val="00A50DF3"/>
    <w:rsid w:val="00A71875"/>
    <w:rsid w:val="00A929D3"/>
    <w:rsid w:val="00AB0FA5"/>
    <w:rsid w:val="00AC7BAF"/>
    <w:rsid w:val="00AD0A01"/>
    <w:rsid w:val="00AD4E50"/>
    <w:rsid w:val="00AE4207"/>
    <w:rsid w:val="00AE6D50"/>
    <w:rsid w:val="00AF28FF"/>
    <w:rsid w:val="00AF606A"/>
    <w:rsid w:val="00B21FAD"/>
    <w:rsid w:val="00B27D28"/>
    <w:rsid w:val="00B53AC9"/>
    <w:rsid w:val="00B552F5"/>
    <w:rsid w:val="00B756B6"/>
    <w:rsid w:val="00B75A0F"/>
    <w:rsid w:val="00B76922"/>
    <w:rsid w:val="00B815BA"/>
    <w:rsid w:val="00B932AF"/>
    <w:rsid w:val="00BA5740"/>
    <w:rsid w:val="00BA7EED"/>
    <w:rsid w:val="00BB0BE3"/>
    <w:rsid w:val="00BC057F"/>
    <w:rsid w:val="00BC73AA"/>
    <w:rsid w:val="00BD06B8"/>
    <w:rsid w:val="00C14435"/>
    <w:rsid w:val="00C2746E"/>
    <w:rsid w:val="00C30061"/>
    <w:rsid w:val="00C6513C"/>
    <w:rsid w:val="00C65FA9"/>
    <w:rsid w:val="00C76AA5"/>
    <w:rsid w:val="00CA38FC"/>
    <w:rsid w:val="00CD0FF6"/>
    <w:rsid w:val="00CD2E29"/>
    <w:rsid w:val="00CD4077"/>
    <w:rsid w:val="00CD5E16"/>
    <w:rsid w:val="00CF1F72"/>
    <w:rsid w:val="00D23484"/>
    <w:rsid w:val="00D45C21"/>
    <w:rsid w:val="00D579FE"/>
    <w:rsid w:val="00D63ABE"/>
    <w:rsid w:val="00DB40C0"/>
    <w:rsid w:val="00DB76F0"/>
    <w:rsid w:val="00DE5796"/>
    <w:rsid w:val="00DF0296"/>
    <w:rsid w:val="00E01AA4"/>
    <w:rsid w:val="00E110E2"/>
    <w:rsid w:val="00E207B4"/>
    <w:rsid w:val="00E2170C"/>
    <w:rsid w:val="00E331FC"/>
    <w:rsid w:val="00E37C1B"/>
    <w:rsid w:val="00E46EDF"/>
    <w:rsid w:val="00E60B7C"/>
    <w:rsid w:val="00EA32AA"/>
    <w:rsid w:val="00EA3BF3"/>
    <w:rsid w:val="00EB5119"/>
    <w:rsid w:val="00EB5A17"/>
    <w:rsid w:val="00EE7D8D"/>
    <w:rsid w:val="00F00AAA"/>
    <w:rsid w:val="00F0278B"/>
    <w:rsid w:val="00F137D9"/>
    <w:rsid w:val="00F41ED9"/>
    <w:rsid w:val="00F7269A"/>
    <w:rsid w:val="00F81965"/>
    <w:rsid w:val="00F8539A"/>
    <w:rsid w:val="00F877E5"/>
    <w:rsid w:val="00F92387"/>
    <w:rsid w:val="00F9518F"/>
    <w:rsid w:val="00FC077F"/>
    <w:rsid w:val="00FD2E33"/>
    <w:rsid w:val="00FE1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A92181"/>
  <w15:chartTrackingRefBased/>
  <w15:docId w15:val="{CE0BBC36-FFE5-CE41-99E5-F1C9298E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30"/>
        <w:lang w:val="en-US" w:eastAsia="zh-TW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479BA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0F579B"/>
    <w:pPr>
      <w:spacing w:before="100" w:beforeAutospacing="1" w:after="100" w:afterAutospacing="1"/>
    </w:pPr>
    <w:rPr>
      <w:rFonts w:ascii="Times New Roman" w:eastAsia="Times New Roman" w:hAnsi="Times New Roman" w:cs="Times New Roman"/>
      <w:szCs w:val="24"/>
    </w:rPr>
  </w:style>
  <w:style w:type="paragraph" w:styleId="Header">
    <w:name w:val="header"/>
    <w:basedOn w:val="Normal"/>
    <w:link w:val="Head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431C4"/>
  </w:style>
  <w:style w:type="paragraph" w:styleId="Footer">
    <w:name w:val="footer"/>
    <w:basedOn w:val="Normal"/>
    <w:link w:val="FooterChar"/>
    <w:uiPriority w:val="99"/>
    <w:unhideWhenUsed/>
    <w:rsid w:val="008431C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431C4"/>
  </w:style>
  <w:style w:type="character" w:styleId="CommentReference">
    <w:name w:val="annotation reference"/>
    <w:basedOn w:val="DefaultParagraphFont"/>
    <w:uiPriority w:val="99"/>
    <w:semiHidden/>
    <w:unhideWhenUsed/>
    <w:rsid w:val="0030103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01033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0103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0103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01033"/>
    <w:rPr>
      <w:b/>
      <w:bCs/>
      <w:sz w:val="20"/>
      <w:szCs w:val="25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095"/>
    <w:rPr>
      <w:rFonts w:ascii="Times New Roman" w:hAnsi="Times New Roman" w:cs="Angsana New"/>
      <w:sz w:val="18"/>
      <w:szCs w:val="22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095"/>
    <w:rPr>
      <w:rFonts w:ascii="Times New Roman" w:hAnsi="Times New Roman" w:cs="Angsana New"/>
      <w:sz w:val="18"/>
      <w:szCs w:val="22"/>
    </w:rPr>
  </w:style>
  <w:style w:type="paragraph" w:customStyle="1" w:styleId="ThesisHeading">
    <w:name w:val="Thesis Heading"/>
    <w:rsid w:val="001A7D40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153"/>
        <w:tab w:val="right" w:pos="8306"/>
      </w:tabs>
      <w:spacing w:line="360" w:lineRule="auto"/>
      <w:outlineLvl w:val="0"/>
    </w:pPr>
    <w:rPr>
      <w:rFonts w:ascii="Times New Roman Bold" w:eastAsia="Times New Roman Bold" w:hAnsi="Times New Roman Bold" w:cs="Times New Roman Bold"/>
      <w:color w:val="000000"/>
      <w:szCs w:val="24"/>
      <w:u w:color="000000"/>
      <w:bdr w:val="nil"/>
      <w:lang w:eastAsia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7479B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table" w:styleId="TableGrid">
    <w:name w:val="Table Grid"/>
    <w:basedOn w:val="TableNormal"/>
    <w:uiPriority w:val="59"/>
    <w:rsid w:val="007479BA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PMingLiU" w:hAnsi="Times New Roman" w:cs="Times New Roman"/>
      <w:szCs w:val="24"/>
      <w:bdr w:val="nil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49791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webSettings" Target="webSettings.xml"/><Relationship Id="rId21" Type="http://schemas.openxmlformats.org/officeDocument/2006/relationships/footer" Target="footer3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header" Target="header2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1409</TotalTime>
  <Pages>10</Pages>
  <Words>518</Words>
  <Characters>2955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使用者</cp:lastModifiedBy>
  <cp:revision>80</cp:revision>
  <dcterms:created xsi:type="dcterms:W3CDTF">2021-01-25T10:36:00Z</dcterms:created>
  <dcterms:modified xsi:type="dcterms:W3CDTF">2023-08-09T09:40:00Z</dcterms:modified>
</cp:coreProperties>
</file>