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74EB" w:rsidRDefault="005674EB" w:rsidP="005674EB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Supplementary Table 4 Dual energy measurements in patients with and without heterogeneous kidney enhancement </w:t>
      </w:r>
    </w:p>
    <w:tbl>
      <w:tblPr>
        <w:tblStyle w:val="TabloKlavuzu"/>
        <w:tblW w:w="9351" w:type="dxa"/>
        <w:tblLook w:val="04A0" w:firstRow="1" w:lastRow="0" w:firstColumn="1" w:lastColumn="0" w:noHBand="0" w:noVBand="1"/>
      </w:tblPr>
      <w:tblGrid>
        <w:gridCol w:w="2547"/>
        <w:gridCol w:w="2410"/>
        <w:gridCol w:w="2693"/>
        <w:gridCol w:w="1701"/>
      </w:tblGrid>
      <w:tr w:rsidR="005674EB" w:rsidRPr="002D2A90" w:rsidTr="006E77D4">
        <w:tc>
          <w:tcPr>
            <w:tcW w:w="2547" w:type="dxa"/>
          </w:tcPr>
          <w:p w:rsidR="005674EB" w:rsidRPr="002D2A90" w:rsidRDefault="005674EB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</w:tcPr>
          <w:p w:rsidR="005674EB" w:rsidRPr="002D2A90" w:rsidRDefault="005674EB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2A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Patients with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heterogeneous kidney enhancement</w:t>
            </w:r>
          </w:p>
        </w:tc>
        <w:tc>
          <w:tcPr>
            <w:tcW w:w="2693" w:type="dxa"/>
          </w:tcPr>
          <w:p w:rsidR="005674EB" w:rsidRPr="002D2A90" w:rsidRDefault="005674EB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2A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Patients without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heterogeneous kidney enhancement  </w:t>
            </w:r>
          </w:p>
        </w:tc>
        <w:tc>
          <w:tcPr>
            <w:tcW w:w="1701" w:type="dxa"/>
          </w:tcPr>
          <w:p w:rsidR="005674EB" w:rsidRPr="002D2A90" w:rsidRDefault="005674EB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 value</w:t>
            </w:r>
          </w:p>
        </w:tc>
      </w:tr>
      <w:tr w:rsidR="005674EB" w:rsidRPr="002D2A90" w:rsidTr="006E77D4">
        <w:tc>
          <w:tcPr>
            <w:tcW w:w="2547" w:type="dxa"/>
          </w:tcPr>
          <w:p w:rsidR="005674EB" w:rsidRPr="002D2A90" w:rsidRDefault="005674EB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Right Kidney Iodine Uptake (HU)</w:t>
            </w:r>
          </w:p>
        </w:tc>
        <w:tc>
          <w:tcPr>
            <w:tcW w:w="2410" w:type="dxa"/>
          </w:tcPr>
          <w:p w:rsidR="005674EB" w:rsidRPr="002D2A90" w:rsidRDefault="005674EB" w:rsidP="006E77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78 ± 26.2</w:t>
            </w:r>
          </w:p>
        </w:tc>
        <w:tc>
          <w:tcPr>
            <w:tcW w:w="2693" w:type="dxa"/>
          </w:tcPr>
          <w:p w:rsidR="005674EB" w:rsidRPr="002D2A90" w:rsidRDefault="005674EB" w:rsidP="006E77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136.5 ± 36.5</w:t>
            </w:r>
          </w:p>
        </w:tc>
        <w:tc>
          <w:tcPr>
            <w:tcW w:w="1701" w:type="dxa"/>
          </w:tcPr>
          <w:p w:rsidR="005674EB" w:rsidRPr="00C61BA2" w:rsidRDefault="005674EB" w:rsidP="006E77D4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&lt;0.001*</w:t>
            </w:r>
          </w:p>
        </w:tc>
      </w:tr>
      <w:tr w:rsidR="005674EB" w:rsidRPr="002D2A90" w:rsidTr="006E77D4">
        <w:tc>
          <w:tcPr>
            <w:tcW w:w="2547" w:type="dxa"/>
          </w:tcPr>
          <w:p w:rsidR="005674EB" w:rsidRPr="002D2A90" w:rsidRDefault="005674EB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Right Kidney VNC (HU)</w:t>
            </w:r>
          </w:p>
        </w:tc>
        <w:tc>
          <w:tcPr>
            <w:tcW w:w="2410" w:type="dxa"/>
          </w:tcPr>
          <w:p w:rsidR="005674EB" w:rsidRPr="002D2A90" w:rsidRDefault="005674EB" w:rsidP="006E77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32.4 ± 4.8</w:t>
            </w:r>
          </w:p>
        </w:tc>
        <w:tc>
          <w:tcPr>
            <w:tcW w:w="2693" w:type="dxa"/>
          </w:tcPr>
          <w:p w:rsidR="005674EB" w:rsidRPr="002D2A90" w:rsidRDefault="005674EB" w:rsidP="006E77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32.1 ± 5.6</w:t>
            </w:r>
          </w:p>
        </w:tc>
        <w:tc>
          <w:tcPr>
            <w:tcW w:w="1701" w:type="dxa"/>
          </w:tcPr>
          <w:p w:rsidR="005674EB" w:rsidRPr="00471362" w:rsidRDefault="005674EB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=</w:t>
            </w:r>
            <w:r w:rsidRPr="004713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0.911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</w:tr>
      <w:tr w:rsidR="005674EB" w:rsidRPr="002D2A90" w:rsidTr="006E77D4">
        <w:tc>
          <w:tcPr>
            <w:tcW w:w="2547" w:type="dxa"/>
          </w:tcPr>
          <w:p w:rsidR="005674EB" w:rsidRPr="002D2A90" w:rsidRDefault="005674EB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Right Kidney Iodine Density (mg/ml)</w:t>
            </w:r>
          </w:p>
        </w:tc>
        <w:tc>
          <w:tcPr>
            <w:tcW w:w="2410" w:type="dxa"/>
          </w:tcPr>
          <w:p w:rsidR="005674EB" w:rsidRPr="002D2A90" w:rsidRDefault="005674EB" w:rsidP="006E77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2.8 ± 0.8</w:t>
            </w:r>
          </w:p>
        </w:tc>
        <w:tc>
          <w:tcPr>
            <w:tcW w:w="2693" w:type="dxa"/>
          </w:tcPr>
          <w:p w:rsidR="005674EB" w:rsidRPr="002D2A90" w:rsidRDefault="005674EB" w:rsidP="006E77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 ± 1.4</w:t>
            </w:r>
          </w:p>
        </w:tc>
        <w:tc>
          <w:tcPr>
            <w:tcW w:w="1701" w:type="dxa"/>
          </w:tcPr>
          <w:p w:rsidR="005674EB" w:rsidRPr="00C61BA2" w:rsidRDefault="005674EB" w:rsidP="006E77D4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=0.001*</w:t>
            </w:r>
          </w:p>
        </w:tc>
      </w:tr>
      <w:tr w:rsidR="005674EB" w:rsidRPr="002D2A90" w:rsidTr="006E77D4">
        <w:trPr>
          <w:trHeight w:val="797"/>
        </w:trPr>
        <w:tc>
          <w:tcPr>
            <w:tcW w:w="2547" w:type="dxa"/>
          </w:tcPr>
          <w:p w:rsidR="005674EB" w:rsidRPr="002D2A90" w:rsidRDefault="005674EB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Right Kidney Iodine Ratio (%)</w:t>
            </w:r>
          </w:p>
        </w:tc>
        <w:tc>
          <w:tcPr>
            <w:tcW w:w="2410" w:type="dxa"/>
          </w:tcPr>
          <w:p w:rsidR="005674EB" w:rsidRPr="002D2A90" w:rsidRDefault="005674EB" w:rsidP="006E77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30.3 ± 6.4</w:t>
            </w:r>
          </w:p>
        </w:tc>
        <w:tc>
          <w:tcPr>
            <w:tcW w:w="2693" w:type="dxa"/>
            <w:vAlign w:val="center"/>
          </w:tcPr>
          <w:p w:rsidR="005674EB" w:rsidRPr="00FE39D1" w:rsidRDefault="005674EB" w:rsidP="006E77D4">
            <w:pPr>
              <w:autoSpaceDE w:val="0"/>
              <w:autoSpaceDN w:val="0"/>
              <w:adjustRightInd w:val="0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63.3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36</w:t>
            </w:r>
          </w:p>
        </w:tc>
        <w:tc>
          <w:tcPr>
            <w:tcW w:w="1701" w:type="dxa"/>
          </w:tcPr>
          <w:p w:rsidR="005674EB" w:rsidRPr="002D2A90" w:rsidRDefault="005674EB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&lt;0.001**</w:t>
            </w:r>
          </w:p>
        </w:tc>
      </w:tr>
      <w:tr w:rsidR="005674EB" w:rsidRPr="002D2A90" w:rsidTr="006E77D4">
        <w:tc>
          <w:tcPr>
            <w:tcW w:w="2547" w:type="dxa"/>
          </w:tcPr>
          <w:p w:rsidR="005674EB" w:rsidRPr="002D2A90" w:rsidRDefault="005674EB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Left Kidney Iodine Uptake (HU)</w:t>
            </w:r>
          </w:p>
        </w:tc>
        <w:tc>
          <w:tcPr>
            <w:tcW w:w="2410" w:type="dxa"/>
          </w:tcPr>
          <w:p w:rsidR="005674EB" w:rsidRPr="002D2A90" w:rsidRDefault="005674EB" w:rsidP="006E77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76.9 ± 30.7</w:t>
            </w:r>
          </w:p>
        </w:tc>
        <w:tc>
          <w:tcPr>
            <w:tcW w:w="2693" w:type="dxa"/>
            <w:vAlign w:val="center"/>
          </w:tcPr>
          <w:p w:rsidR="005674EB" w:rsidRPr="00FE39D1" w:rsidRDefault="005674EB" w:rsidP="006E77D4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132.8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43.9</w:t>
            </w:r>
          </w:p>
        </w:tc>
        <w:tc>
          <w:tcPr>
            <w:tcW w:w="1701" w:type="dxa"/>
          </w:tcPr>
          <w:p w:rsidR="005674EB" w:rsidRPr="00C61BA2" w:rsidRDefault="005674EB" w:rsidP="006E77D4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=0.001*</w:t>
            </w:r>
          </w:p>
        </w:tc>
      </w:tr>
      <w:tr w:rsidR="005674EB" w:rsidRPr="002D2A90" w:rsidTr="006E77D4">
        <w:tc>
          <w:tcPr>
            <w:tcW w:w="2547" w:type="dxa"/>
          </w:tcPr>
          <w:p w:rsidR="005674EB" w:rsidRPr="002D2A90" w:rsidRDefault="005674EB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Left Kidney VNC (HU)</w:t>
            </w:r>
          </w:p>
        </w:tc>
        <w:tc>
          <w:tcPr>
            <w:tcW w:w="2410" w:type="dxa"/>
            <w:vAlign w:val="center"/>
          </w:tcPr>
          <w:p w:rsidR="005674EB" w:rsidRPr="009B3F61" w:rsidRDefault="005674EB" w:rsidP="006E77D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3F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.4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8</w:t>
            </w:r>
          </w:p>
        </w:tc>
        <w:tc>
          <w:tcPr>
            <w:tcW w:w="2693" w:type="dxa"/>
            <w:vAlign w:val="center"/>
          </w:tcPr>
          <w:p w:rsidR="005674EB" w:rsidRPr="009B3F61" w:rsidRDefault="005674EB" w:rsidP="006E77D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31.5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6.9</w:t>
            </w:r>
          </w:p>
        </w:tc>
        <w:tc>
          <w:tcPr>
            <w:tcW w:w="1701" w:type="dxa"/>
          </w:tcPr>
          <w:p w:rsidR="005674EB" w:rsidRPr="00447B42" w:rsidRDefault="005674EB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47B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=0.535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</w:tr>
      <w:tr w:rsidR="005674EB" w:rsidRPr="002D2A90" w:rsidTr="006E77D4">
        <w:tc>
          <w:tcPr>
            <w:tcW w:w="2547" w:type="dxa"/>
          </w:tcPr>
          <w:p w:rsidR="005674EB" w:rsidRPr="002D2A90" w:rsidRDefault="005674EB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Left Kidney Iodine Density (mg/ml)</w:t>
            </w:r>
          </w:p>
        </w:tc>
        <w:tc>
          <w:tcPr>
            <w:tcW w:w="2410" w:type="dxa"/>
          </w:tcPr>
          <w:p w:rsidR="005674EB" w:rsidRPr="002D2A90" w:rsidRDefault="005674EB" w:rsidP="006E77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2.7 ± 0.9</w:t>
            </w:r>
          </w:p>
        </w:tc>
        <w:tc>
          <w:tcPr>
            <w:tcW w:w="2693" w:type="dxa"/>
          </w:tcPr>
          <w:p w:rsidR="005674EB" w:rsidRPr="002D2A90" w:rsidRDefault="005674EB" w:rsidP="006E77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 ± 1.7</w:t>
            </w:r>
          </w:p>
        </w:tc>
        <w:tc>
          <w:tcPr>
            <w:tcW w:w="1701" w:type="dxa"/>
          </w:tcPr>
          <w:p w:rsidR="005674EB" w:rsidRPr="00C61BA2" w:rsidRDefault="005674EB" w:rsidP="006E77D4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&lt;0.001*</w:t>
            </w:r>
          </w:p>
        </w:tc>
      </w:tr>
      <w:tr w:rsidR="005674EB" w:rsidRPr="002D2A90" w:rsidTr="006E77D4">
        <w:tc>
          <w:tcPr>
            <w:tcW w:w="2547" w:type="dxa"/>
          </w:tcPr>
          <w:p w:rsidR="005674EB" w:rsidRPr="002D2A90" w:rsidRDefault="005674EB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Left Kidney Iodine Ratio (%)</w:t>
            </w:r>
          </w:p>
        </w:tc>
        <w:tc>
          <w:tcPr>
            <w:tcW w:w="2410" w:type="dxa"/>
          </w:tcPr>
          <w:p w:rsidR="005674EB" w:rsidRPr="002D2A90" w:rsidRDefault="005674EB" w:rsidP="006E77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 ± 6.4</w:t>
            </w:r>
          </w:p>
        </w:tc>
        <w:tc>
          <w:tcPr>
            <w:tcW w:w="2693" w:type="dxa"/>
          </w:tcPr>
          <w:p w:rsidR="005674EB" w:rsidRPr="002D2A90" w:rsidRDefault="005674EB" w:rsidP="006E77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67.1 ± 44.4</w:t>
            </w:r>
          </w:p>
        </w:tc>
        <w:tc>
          <w:tcPr>
            <w:tcW w:w="1701" w:type="dxa"/>
          </w:tcPr>
          <w:p w:rsidR="005674EB" w:rsidRPr="004B4122" w:rsidRDefault="005674EB" w:rsidP="006E77D4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=0.005**</w:t>
            </w:r>
          </w:p>
        </w:tc>
      </w:tr>
    </w:tbl>
    <w:p w:rsidR="005674EB" w:rsidRPr="002D2A90" w:rsidRDefault="005674EB" w:rsidP="005674EB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D2A90">
        <w:rPr>
          <w:rFonts w:ascii="Times New Roman" w:hAnsi="Times New Roman" w:cs="Times New Roman"/>
          <w:sz w:val="24"/>
          <w:szCs w:val="24"/>
          <w:lang w:val="en-US"/>
        </w:rPr>
        <w:t>Mea</w:t>
      </w:r>
      <w:r>
        <w:rPr>
          <w:rFonts w:ascii="Times New Roman" w:hAnsi="Times New Roman" w:cs="Times New Roman"/>
          <w:sz w:val="24"/>
          <w:szCs w:val="24"/>
          <w:lang w:val="en-US"/>
        </w:rPr>
        <w:t>n ± SD were given</w:t>
      </w:r>
      <w:r w:rsidRPr="002D2A90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:rsidR="005674EB" w:rsidRPr="002D2A90" w:rsidRDefault="005674EB" w:rsidP="005674EB">
      <w:pPr>
        <w:pStyle w:val="ListeParagraf"/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D2A90">
        <w:rPr>
          <w:rFonts w:ascii="Times New Roman" w:hAnsi="Times New Roman" w:cs="Times New Roman"/>
          <w:sz w:val="24"/>
          <w:szCs w:val="24"/>
          <w:lang w:val="en-US"/>
        </w:rPr>
        <w:t>*Student t test</w:t>
      </w:r>
    </w:p>
    <w:p w:rsidR="005674EB" w:rsidRPr="002D2A90" w:rsidRDefault="005674EB" w:rsidP="005674EB">
      <w:pPr>
        <w:pStyle w:val="ListeParagraf"/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D2A90">
        <w:rPr>
          <w:rFonts w:ascii="Times New Roman" w:hAnsi="Times New Roman" w:cs="Times New Roman"/>
          <w:sz w:val="24"/>
          <w:szCs w:val="24"/>
          <w:lang w:val="en-US"/>
        </w:rPr>
        <w:t>**Mann Whitney U test</w:t>
      </w:r>
    </w:p>
    <w:p w:rsidR="00D459E4" w:rsidRDefault="00D459E4">
      <w:bookmarkStart w:id="0" w:name="_GoBack"/>
      <w:bookmarkEnd w:id="0"/>
    </w:p>
    <w:sectPr w:rsidR="00D459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7D9"/>
    <w:rsid w:val="005674EB"/>
    <w:rsid w:val="00CD17D9"/>
    <w:rsid w:val="00D45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EA28D9-5059-4AC1-AE04-207A79E9A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74E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5674EB"/>
    <w:pPr>
      <w:ind w:left="720"/>
      <w:contextualSpacing/>
    </w:pPr>
  </w:style>
  <w:style w:type="table" w:styleId="TabloKlavuzu">
    <w:name w:val="Table Grid"/>
    <w:basedOn w:val="NormalTablo"/>
    <w:uiPriority w:val="39"/>
    <w:rsid w:val="005674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646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İLKEY</dc:creator>
  <cp:keywords/>
  <dc:description/>
  <cp:lastModifiedBy>İLKEY</cp:lastModifiedBy>
  <cp:revision>2</cp:revision>
  <dcterms:created xsi:type="dcterms:W3CDTF">2020-05-21T08:38:00Z</dcterms:created>
  <dcterms:modified xsi:type="dcterms:W3CDTF">2020-05-21T08:38:00Z</dcterms:modified>
</cp:coreProperties>
</file>