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337D1" w14:textId="79FDE9A5" w:rsidR="00D04BCF" w:rsidRPr="00B047D4" w:rsidRDefault="00BB2D2A" w:rsidP="00A34BEF">
      <w:pPr>
        <w:spacing w:line="480" w:lineRule="auto"/>
        <w:jc w:val="center"/>
        <w:rPr>
          <w:sz w:val="36"/>
          <w:szCs w:val="36"/>
        </w:rPr>
      </w:pPr>
      <w:r w:rsidRPr="00B047D4">
        <w:rPr>
          <w:sz w:val="36"/>
          <w:szCs w:val="36"/>
        </w:rPr>
        <w:t xml:space="preserve">Supplementary </w:t>
      </w:r>
      <w:r w:rsidR="005726B9" w:rsidRPr="00B047D4">
        <w:rPr>
          <w:sz w:val="36"/>
          <w:szCs w:val="36"/>
        </w:rPr>
        <w:t>Information</w:t>
      </w:r>
    </w:p>
    <w:p w14:paraId="29411C5A" w14:textId="77777777" w:rsidR="005001AC" w:rsidRPr="00B047D4" w:rsidRDefault="005001AC" w:rsidP="00A34BEF">
      <w:pPr>
        <w:spacing w:line="480" w:lineRule="auto"/>
      </w:pPr>
    </w:p>
    <w:p w14:paraId="339B31F7" w14:textId="4E5F5378" w:rsidR="00015F74" w:rsidRPr="00B047D4" w:rsidRDefault="00996964" w:rsidP="00D20DB7">
      <w:pPr>
        <w:tabs>
          <w:tab w:val="left" w:pos="7560"/>
          <w:tab w:val="left" w:pos="7740"/>
        </w:tabs>
        <w:spacing w:line="480" w:lineRule="auto"/>
        <w:ind w:left="1260" w:right="1620"/>
        <w:jc w:val="center"/>
        <w:rPr>
          <w:sz w:val="28"/>
          <w:szCs w:val="28"/>
        </w:rPr>
      </w:pPr>
      <w:r w:rsidRPr="00B047D4">
        <w:rPr>
          <w:b/>
          <w:bCs/>
          <w:sz w:val="28"/>
          <w:szCs w:val="28"/>
        </w:rPr>
        <w:t>Heat Propagation: A Fourth Mechanism Allowing Heat Transfer from Cold to Hot</w:t>
      </w:r>
    </w:p>
    <w:p w14:paraId="2C2B1A6B" w14:textId="77777777" w:rsidR="00B77D73" w:rsidRPr="00B047D4" w:rsidRDefault="00B77D73" w:rsidP="00A34BEF">
      <w:pPr>
        <w:pStyle w:val="Authors"/>
        <w:spacing w:after="120" w:line="480" w:lineRule="auto"/>
        <w:ind w:left="630" w:right="1350"/>
      </w:pPr>
      <w:r w:rsidRPr="00B047D4">
        <w:t>Yanbao Ma</w:t>
      </w:r>
      <w:r w:rsidRPr="00B047D4">
        <w:rPr>
          <w:vertAlign w:val="superscript"/>
        </w:rPr>
        <w:t>1</w:t>
      </w:r>
      <w:r w:rsidRPr="00B047D4">
        <w:t>*, Zhengxian Qu</w:t>
      </w:r>
      <w:r w:rsidRPr="00B047D4">
        <w:rPr>
          <w:vertAlign w:val="superscript"/>
        </w:rPr>
        <w:t>1</w:t>
      </w:r>
      <w:r w:rsidRPr="00B047D4">
        <w:t>, Juhao Wu</w:t>
      </w:r>
      <w:r w:rsidRPr="00B047D4">
        <w:rPr>
          <w:vertAlign w:val="superscript"/>
        </w:rPr>
        <w:t>2</w:t>
      </w:r>
    </w:p>
    <w:p w14:paraId="0CA15337" w14:textId="77777777" w:rsidR="00B77D73" w:rsidRPr="00B047D4" w:rsidRDefault="00B77D73" w:rsidP="00A34BEF">
      <w:pPr>
        <w:spacing w:before="120" w:after="120" w:line="480" w:lineRule="auto"/>
        <w:rPr>
          <w:color w:val="000000"/>
          <w:szCs w:val="24"/>
        </w:rPr>
      </w:pPr>
      <w:r w:rsidRPr="00B047D4">
        <w:rPr>
          <w:szCs w:val="24"/>
          <w:vertAlign w:val="superscript"/>
        </w:rPr>
        <w:t>1</w:t>
      </w:r>
      <w:r w:rsidRPr="00B047D4">
        <w:rPr>
          <w:color w:val="000000"/>
          <w:szCs w:val="24"/>
        </w:rPr>
        <w:t>Department of Mechanical Engineering, University of California Merced, CA 95343, USA</w:t>
      </w:r>
    </w:p>
    <w:p w14:paraId="24021E61" w14:textId="77777777" w:rsidR="00B77D73" w:rsidRPr="00B047D4" w:rsidRDefault="00B77D73" w:rsidP="00A34BEF">
      <w:pPr>
        <w:spacing w:before="120" w:after="120" w:line="480" w:lineRule="auto"/>
        <w:rPr>
          <w:color w:val="000000"/>
          <w:szCs w:val="24"/>
        </w:rPr>
      </w:pPr>
      <w:r w:rsidRPr="00B047D4">
        <w:rPr>
          <w:szCs w:val="24"/>
          <w:vertAlign w:val="superscript"/>
        </w:rPr>
        <w:t>2</w:t>
      </w:r>
      <w:r w:rsidRPr="00B047D4">
        <w:rPr>
          <w:color w:val="000000"/>
          <w:szCs w:val="24"/>
        </w:rPr>
        <w:t>SLAC National Accelerator Laboratory, Stanford University, Stanford, California 94309, USA</w:t>
      </w:r>
    </w:p>
    <w:p w14:paraId="34D67477" w14:textId="5F548FB1" w:rsidR="004779CB" w:rsidRPr="00B047D4" w:rsidRDefault="00B77D73" w:rsidP="00A34BEF">
      <w:pPr>
        <w:spacing w:line="480" w:lineRule="auto"/>
        <w:jc w:val="center"/>
        <w:rPr>
          <w:szCs w:val="24"/>
        </w:rPr>
      </w:pPr>
      <w:r w:rsidRPr="00B047D4">
        <w:t>*</w:t>
      </w:r>
      <w:r w:rsidR="00E4519A" w:rsidRPr="00B047D4">
        <w:rPr>
          <w:szCs w:val="24"/>
        </w:rPr>
        <w:t>Correspond</w:t>
      </w:r>
      <w:r w:rsidR="00F4427B" w:rsidRPr="00B047D4">
        <w:rPr>
          <w:szCs w:val="24"/>
        </w:rPr>
        <w:t>ing author</w:t>
      </w:r>
      <w:r w:rsidR="004779CB" w:rsidRPr="00B047D4">
        <w:rPr>
          <w:szCs w:val="24"/>
        </w:rPr>
        <w:t>:</w:t>
      </w:r>
      <w:r w:rsidR="00BC3E04" w:rsidRPr="00B047D4">
        <w:rPr>
          <w:szCs w:val="24"/>
        </w:rPr>
        <w:t xml:space="preserve"> </w:t>
      </w:r>
      <w:hyperlink r:id="rId7" w:history="1">
        <w:r w:rsidRPr="00B047D4">
          <w:rPr>
            <w:rStyle w:val="Hyperlink"/>
          </w:rPr>
          <w:t>yma5@ucmerced.edu</w:t>
        </w:r>
      </w:hyperlink>
    </w:p>
    <w:p w14:paraId="223EBBEB" w14:textId="77777777" w:rsidR="002C030F" w:rsidRPr="00B047D4" w:rsidRDefault="002C030F" w:rsidP="00A34BEF">
      <w:pPr>
        <w:spacing w:line="480" w:lineRule="auto"/>
      </w:pPr>
    </w:p>
    <w:p w14:paraId="546CBFCA" w14:textId="4D33E031" w:rsidR="002C030F" w:rsidRPr="00B047D4" w:rsidRDefault="00B047D4" w:rsidP="00A34BEF">
      <w:pPr>
        <w:spacing w:line="480" w:lineRule="auto"/>
        <w:rPr>
          <w:b/>
        </w:rPr>
      </w:pPr>
      <w:r w:rsidRPr="00B047D4">
        <w:rPr>
          <w:b/>
        </w:rPr>
        <w:t>Contents</w:t>
      </w:r>
    </w:p>
    <w:p w14:paraId="6B069C4B" w14:textId="77777777" w:rsidR="002C030F" w:rsidRPr="00B047D4" w:rsidRDefault="002C030F" w:rsidP="00A34BEF">
      <w:pPr>
        <w:spacing w:line="480" w:lineRule="auto"/>
      </w:pPr>
    </w:p>
    <w:p w14:paraId="5953D2BA" w14:textId="3E5BFEFE" w:rsidR="002C030F" w:rsidRPr="006F7F64" w:rsidRDefault="00BB2D2A" w:rsidP="00A34BEF">
      <w:pPr>
        <w:pStyle w:val="ListParagraph"/>
        <w:numPr>
          <w:ilvl w:val="0"/>
          <w:numId w:val="11"/>
        </w:numPr>
        <w:spacing w:line="480" w:lineRule="auto"/>
        <w:rPr>
          <w:iCs/>
        </w:rPr>
      </w:pPr>
      <w:r w:rsidRPr="00B047D4">
        <w:t>Supplementary</w:t>
      </w:r>
      <w:r w:rsidR="00AB399E" w:rsidRPr="00B047D4">
        <w:t xml:space="preserve"> </w:t>
      </w:r>
      <w:r w:rsidR="00B047D4" w:rsidRPr="00B047D4">
        <w:t>Note</w:t>
      </w:r>
      <w:r w:rsidR="00B047D4">
        <w:t xml:space="preserve">s I </w:t>
      </w:r>
      <w:r w:rsidR="00B047D4" w:rsidRPr="00B047D4">
        <w:rPr>
          <w:i/>
        </w:rPr>
        <w:t>–</w:t>
      </w:r>
      <w:r w:rsidR="006F7F64" w:rsidRPr="006F7F64">
        <w:rPr>
          <w:iCs/>
        </w:rPr>
        <w:t>I</w:t>
      </w:r>
      <w:r w:rsidR="001519B8" w:rsidRPr="006F7F64">
        <w:rPr>
          <w:iCs/>
        </w:rPr>
        <w:t>V</w:t>
      </w:r>
    </w:p>
    <w:p w14:paraId="5E71B549" w14:textId="279555C0" w:rsidR="00F74F95" w:rsidRPr="00B047D4" w:rsidRDefault="00A212FE" w:rsidP="00A34BEF">
      <w:pPr>
        <w:pStyle w:val="ListParagraph"/>
        <w:numPr>
          <w:ilvl w:val="0"/>
          <w:numId w:val="11"/>
        </w:numPr>
        <w:spacing w:line="480" w:lineRule="auto"/>
      </w:pPr>
      <w:r>
        <w:t xml:space="preserve">Supplementary </w:t>
      </w:r>
      <w:r w:rsidR="00B047D4">
        <w:t>Movie 1</w:t>
      </w:r>
    </w:p>
    <w:p w14:paraId="4B448789" w14:textId="77777777" w:rsidR="002C030F" w:rsidRPr="00B047D4" w:rsidRDefault="002C030F" w:rsidP="00A34BEF">
      <w:pPr>
        <w:spacing w:line="480" w:lineRule="auto"/>
      </w:pPr>
    </w:p>
    <w:p w14:paraId="0A5134F4" w14:textId="1B9144F7" w:rsidR="002C030F" w:rsidRPr="00B047D4" w:rsidRDefault="002C030F" w:rsidP="00A34BEF">
      <w:pPr>
        <w:spacing w:line="480" w:lineRule="auto"/>
        <w:ind w:left="720"/>
      </w:pPr>
    </w:p>
    <w:p w14:paraId="68691C5A" w14:textId="77777777" w:rsidR="00065EBD" w:rsidRPr="00B047D4" w:rsidRDefault="00065EBD" w:rsidP="00A34BEF">
      <w:pPr>
        <w:spacing w:line="480" w:lineRule="auto"/>
        <w:ind w:left="720"/>
      </w:pPr>
    </w:p>
    <w:p w14:paraId="23718CE0" w14:textId="77777777" w:rsidR="00015F74" w:rsidRPr="00B047D4" w:rsidRDefault="00015F74" w:rsidP="00A34BEF">
      <w:pPr>
        <w:spacing w:line="480" w:lineRule="auto"/>
        <w:ind w:left="720"/>
      </w:pPr>
      <w:r w:rsidRPr="00B047D4">
        <w:br/>
      </w:r>
    </w:p>
    <w:p w14:paraId="69F62309" w14:textId="2CC98E5C" w:rsidR="00CF3DB2" w:rsidRPr="00B047D4" w:rsidRDefault="00015F74" w:rsidP="00A34BEF">
      <w:pPr>
        <w:pStyle w:val="SMHeading"/>
        <w:spacing w:line="480" w:lineRule="auto"/>
      </w:pPr>
      <w:r w:rsidRPr="00B047D4">
        <w:br w:type="page"/>
      </w:r>
      <w:bookmarkStart w:id="0" w:name="Tables"/>
      <w:bookmarkStart w:id="1" w:name="MaterialsMethods"/>
      <w:bookmarkStart w:id="2" w:name="_Hlk137485358"/>
      <w:bookmarkEnd w:id="0"/>
      <w:bookmarkEnd w:id="1"/>
    </w:p>
    <w:bookmarkEnd w:id="2"/>
    <w:p w14:paraId="30EA357E" w14:textId="7279DD71" w:rsidR="00D766F1" w:rsidRPr="00B047D4" w:rsidRDefault="00EB0DDD" w:rsidP="00A34BEF">
      <w:pPr>
        <w:pStyle w:val="SMText"/>
        <w:spacing w:line="480" w:lineRule="auto"/>
        <w:ind w:firstLine="0"/>
        <w:rPr>
          <w:u w:val="words"/>
        </w:rPr>
      </w:pPr>
      <w:r w:rsidRPr="00B047D4">
        <w:rPr>
          <w:u w:val="words"/>
        </w:rPr>
        <w:lastRenderedPageBreak/>
        <w:t xml:space="preserve">Supplementary Note </w:t>
      </w:r>
      <w:r w:rsidR="00024D3F">
        <w:rPr>
          <w:u w:val="words"/>
        </w:rPr>
        <w:t>I</w:t>
      </w:r>
      <w:r w:rsidRPr="00B047D4">
        <w:rPr>
          <w:u w:val="words"/>
        </w:rPr>
        <w:t xml:space="preserve">. </w:t>
      </w:r>
      <w:r w:rsidR="00B210D3">
        <w:rPr>
          <w:u w:val="words"/>
        </w:rPr>
        <w:t>Acoustic waves</w:t>
      </w:r>
      <w:r w:rsidRPr="00B047D4">
        <w:rPr>
          <w:u w:val="words"/>
        </w:rPr>
        <w:t xml:space="preserve"> and Zeroth Law of Thermodynamics</w:t>
      </w:r>
    </w:p>
    <w:p w14:paraId="00D98CF2" w14:textId="78088473" w:rsidR="00173BF2" w:rsidRDefault="00894035" w:rsidP="00173BF2">
      <w:pPr>
        <w:pStyle w:val="Teaser"/>
        <w:spacing w:after="120" w:line="480" w:lineRule="auto"/>
        <w:ind w:firstLine="720"/>
        <w:jc w:val="both"/>
        <w:rPr>
          <w:noProof/>
        </w:rPr>
      </w:pPr>
      <w:r w:rsidRPr="00B047D4">
        <w:t>To address the question of whether heat can transfer from a lower temperature region to a higher temperature region, it is important to understand the definition of temperature and the Zeroth Law of Thermodynamics. The Zeroth Law of Thermodynamics states that if two systems are in thermal equilibrium with a third system, they are also in thermal equilibrium with each other, which means they have the same temperature, and no net heat flow occurs between them</w:t>
      </w:r>
      <w:r w:rsidRPr="00B047D4">
        <w:fldChar w:fldCharType="begin"/>
      </w:r>
      <w:r w:rsidR="00024D3F">
        <w:instrText xml:space="preserve"> ADDIN EN.CITE &lt;EndNote&gt;&lt;Cite&gt;&lt;Author&gt;Guggenheim&lt;/Author&gt;&lt;Year&gt;1939&lt;/Year&gt;&lt;RecNum&gt;1215&lt;/RecNum&gt;&lt;DisplayText&gt;&lt;style face="superscript"&gt;1&lt;/style&gt;&lt;/DisplayText&gt;&lt;record&gt;&lt;rec-number&gt;1215&lt;/rec-number&gt;&lt;foreign-keys&gt;&lt;key app="EN" db-id="wxwp5tsv7sea2ce0a9upzexpw0tpszpasvfx" timestamp="1680130552"&gt;1215&lt;/key&gt;&lt;/foreign-keys&gt;&lt;ref-type name="Book"&gt;6&lt;/ref-type&gt;&lt;contributors&gt;&lt;authors&gt;&lt;author&gt;R. H. Fowler and E. A. Guggenheim&lt;/author&gt;&lt;/authors&gt;&lt;/contributors&gt;&lt;titles&gt;&lt;title&gt;Statistical Thermodynamics &lt;/title&gt;&lt;/titles&gt;&lt;pages&gt;viii, 229&lt;/pages&gt;&lt;keywords&gt;&lt;keyword&gt;Quantum theory.&lt;/keyword&gt;&lt;keyword&gt;Solids.&lt;/keyword&gt;&lt;/keywords&gt;&lt;dates&gt;&lt;year&gt;1939&lt;/year&gt;&lt;/dates&gt;&lt;pub-location&gt;Cambridge &lt;/pub-location&gt;&lt;publisher&gt;Cambridge University Press&lt;/publisher&gt;&lt;call-num&gt;MAIN QC174.1&amp;#xD;M 530.1&amp;#xD;MMRD QC174.1&amp;#xD;mt QC174.1&amp;#xD;PSE-GEN QC174.1&amp;#xD;ph QC174.1&amp;#xD;SEL QC174.1&amp;#xD;ek QC174.1&amp;#xD;nbmtu QC174.1&amp;#xD;SEL QC174.1&amp;#xD;SEL QC174.1&amp;#xD;scbook QC174.1&amp;#xD;sr QC174.1&amp;#xD;SEL QC174.1&amp;#xD;scbook QC174.1&amp;#xD;SRLF A0011390952&amp;#xD;UCLA:Biomed QC174.1; .P35q 1956 Biomed Library (Chemistry Book Section)&amp;#xD;LBL:Bldg 50 QC174.1 .P4&amp;#xD;LBL:MCSD QC174.1 .P4&amp;#xD;UCLA:Biomed QC174.1; .P35q Biomed Library (Chemistry Book Section)&amp;#xD;UCD:PhySciEng QC174.1 .P4&amp;#xD;UCSD:S &amp;amp; E QC174.1 .P43 1955 c.4 Books&amp;#xD;UCSD:S &amp;amp; E QC174.1 .P43 1955 c.3 Books&amp;#xD;UCSB:Main Lib QC174.1 .P4 Sciences Engineering Library&amp;#xD;UCSB:Main Lib QC174.1 .P4 Sciences Engineering Library&amp;#xD;UCSB:Main Lib QC174.1 .P4 Sciences Engineering Library&amp;#xD;CSL:State Lib 530.1 P377 General Coll&amp;#xD;UCB:Math QC174.1 .P35 1956 Mathematics/Statistics&amp;#xD;UCB:Physics QC174.1 .P35 1955 Physics-Astronomy&amp;#xD;UCB:Physics QC174.1 .P35 1955 c.2 Physics-Astronomy&amp;#xD;NRLF&lt;/call-num&gt;&lt;urls&gt;&lt;/urls&gt;&lt;/record&gt;&lt;/Cite&gt;&lt;/EndNote&gt;</w:instrText>
      </w:r>
      <w:r w:rsidRPr="00B047D4">
        <w:fldChar w:fldCharType="separate"/>
      </w:r>
      <w:r w:rsidR="00024D3F" w:rsidRPr="00024D3F">
        <w:rPr>
          <w:noProof/>
          <w:vertAlign w:val="superscript"/>
        </w:rPr>
        <w:t>1</w:t>
      </w:r>
      <w:r w:rsidRPr="00B047D4">
        <w:fldChar w:fldCharType="end"/>
      </w:r>
      <w:r w:rsidRPr="00B047D4">
        <w:t>. Consequently, this law lays a foundation for the definition of temperature and provides a basis for its measurement.</w:t>
      </w:r>
      <w:r w:rsidRPr="00B047D4">
        <w:rPr>
          <w:noProof/>
        </w:rPr>
        <w:t xml:space="preserve"> </w:t>
      </w:r>
    </w:p>
    <w:p w14:paraId="1902EC49" w14:textId="063402EF" w:rsidR="00894035" w:rsidRPr="00B047D4" w:rsidRDefault="00894035" w:rsidP="00173BF2">
      <w:pPr>
        <w:pStyle w:val="Teaser"/>
        <w:spacing w:after="120" w:line="480" w:lineRule="auto"/>
        <w:ind w:firstLine="720"/>
        <w:jc w:val="both"/>
      </w:pPr>
      <w:r w:rsidRPr="00B047D4">
        <w:t xml:space="preserve">Fig. </w:t>
      </w:r>
      <w:r w:rsidR="00173BF2">
        <w:t>S1a</w:t>
      </w:r>
      <w:r w:rsidRPr="00B047D4">
        <w:t xml:space="preserve"> depicts the propagation of a group of </w:t>
      </w:r>
      <w:r w:rsidR="00B210D3">
        <w:t>acoustic waves</w:t>
      </w:r>
      <w:r w:rsidRPr="00B047D4">
        <w:t xml:space="preserve"> through the interface between objects A and B in thermal equilibrium without damping or reflection. The constant and uninterrupted flow of vibrational energy q</w:t>
      </w:r>
      <w:r w:rsidRPr="00B047D4">
        <w:rPr>
          <w:vertAlign w:val="subscript"/>
        </w:rPr>
        <w:t>1</w:t>
      </w:r>
      <w:r w:rsidRPr="00B047D4">
        <w:t xml:space="preserve"> leads to the fundamental question of whether the propagation of </w:t>
      </w:r>
      <w:r w:rsidR="00B210D3">
        <w:t>acoustic waves</w:t>
      </w:r>
      <w:r w:rsidRPr="00B047D4">
        <w:t xml:space="preserve"> has any impact on the thermal equilibrium state.</w:t>
      </w:r>
      <w:r w:rsidRPr="00B047D4">
        <w:rPr>
          <w:noProof/>
        </w:rPr>
        <w:t xml:space="preserve"> </w:t>
      </w:r>
    </w:p>
    <w:p w14:paraId="202F7893" w14:textId="014ABD48" w:rsidR="00894035" w:rsidRPr="00B047D4" w:rsidRDefault="00894035" w:rsidP="00A34BEF">
      <w:pPr>
        <w:pStyle w:val="AbstractSummary"/>
        <w:spacing w:after="120" w:line="480" w:lineRule="auto"/>
        <w:jc w:val="both"/>
      </w:pPr>
      <w:r w:rsidRPr="00B047D4">
        <w:t xml:space="preserve">For </w:t>
      </w:r>
      <w:r w:rsidR="00B210D3">
        <w:t>acoustic waves</w:t>
      </w:r>
      <w:r w:rsidRPr="00B047D4">
        <w:t xml:space="preserve"> with frequencies below the </w:t>
      </w:r>
      <w:r w:rsidR="00E13677" w:rsidRPr="00B047D4">
        <w:t>giga</w:t>
      </w:r>
      <w:r w:rsidRPr="00B047D4">
        <w:t xml:space="preserve">hertz range, much lower than those of local (or ambient) thermal phonons, which are quantized </w:t>
      </w:r>
      <w:r w:rsidR="00B210D3">
        <w:t>acoustic waves</w:t>
      </w:r>
      <w:r w:rsidRPr="00B047D4">
        <w:t xml:space="preserve"> with frequencies ranging from sub-terahertz to terahertz in crystals, the spectral energy is much lower than that of local thermal phonons. As a result, their propagation does not affect the thermal equilibrium state of the system, and temperature can still be defined and measured. However, the flow of vibrational energy (q</w:t>
      </w:r>
      <w:r w:rsidRPr="00B047D4">
        <w:rPr>
          <w:vertAlign w:val="subscript"/>
        </w:rPr>
        <w:t>1</w:t>
      </w:r>
      <w:r w:rsidRPr="00B047D4">
        <w:t>) cannot be referred to as heat flux. Therefore, if two objects A and B are in thermal equilibrium, the net heat flux between them is zero.</w:t>
      </w:r>
    </w:p>
    <w:p w14:paraId="583160E3" w14:textId="25EACA25" w:rsidR="00894035" w:rsidRPr="00B047D4" w:rsidRDefault="00894035" w:rsidP="00173BF2">
      <w:pPr>
        <w:pStyle w:val="AbstractSummary"/>
        <w:spacing w:after="120" w:line="480" w:lineRule="auto"/>
        <w:ind w:firstLine="720"/>
        <w:jc w:val="both"/>
      </w:pPr>
      <w:r w:rsidRPr="00B047D4">
        <w:t xml:space="preserve">For </w:t>
      </w:r>
      <w:r w:rsidR="00B210D3">
        <w:t>acoustic waves</w:t>
      </w:r>
      <w:r w:rsidRPr="00B047D4">
        <w:t xml:space="preserve"> carried by low-frequency (in the order of sub-terahertz to terahertz) thermal phonons (</w:t>
      </w:r>
      <w:r w:rsidR="00982EA8">
        <w:t>as shown in</w:t>
      </w:r>
      <w:r w:rsidR="0017537D">
        <w:t xml:space="preserve"> </w:t>
      </w:r>
      <w:r w:rsidRPr="00B047D4">
        <w:t xml:space="preserve">Fig. 1), whose spectral energy is comparable to that of local thermal phonons, the vibration energy carried by these waves is referred to as heat, and the vibrational </w:t>
      </w:r>
      <w:r w:rsidRPr="00B047D4">
        <w:lastRenderedPageBreak/>
        <w:t>energy flow (q</w:t>
      </w:r>
      <w:r w:rsidRPr="00B047D4">
        <w:rPr>
          <w:vertAlign w:val="subscript"/>
        </w:rPr>
        <w:t>1</w:t>
      </w:r>
      <w:r w:rsidRPr="00B047D4">
        <w:t>) is referred to as heat flux. Objects A and B are no longer in thermal equilibrium, and there exists a nonzero net heat flux between them.</w:t>
      </w:r>
    </w:p>
    <w:p w14:paraId="795EDB39" w14:textId="34B8E75B" w:rsidR="00894035" w:rsidRPr="00B047D4" w:rsidRDefault="00894035" w:rsidP="00173BF2">
      <w:pPr>
        <w:pStyle w:val="AbstractSummary"/>
        <w:spacing w:after="120" w:line="480" w:lineRule="auto"/>
        <w:ind w:firstLine="720"/>
        <w:jc w:val="both"/>
      </w:pPr>
      <w:r w:rsidRPr="00B047D4">
        <w:t xml:space="preserve">Therefore, this creates a paradox because the effect of </w:t>
      </w:r>
      <w:r w:rsidR="00B210D3">
        <w:t>acoustic waves</w:t>
      </w:r>
      <w:r w:rsidRPr="00B047D4">
        <w:t xml:space="preserve"> on the thermal equilibrium state of a system depends on their frequencies. </w:t>
      </w:r>
      <w:r w:rsidR="00B210D3">
        <w:t>Acoustic waves</w:t>
      </w:r>
      <w:r w:rsidRPr="00B047D4">
        <w:t xml:space="preserve"> with frequencies much lower than those of local thermal phonons do not significantly affect the system's temperature measurement and spectral energy. In contrast, </w:t>
      </w:r>
      <w:r w:rsidR="00B210D3">
        <w:t>acoustic waves</w:t>
      </w:r>
      <w:r w:rsidRPr="00B047D4">
        <w:t xml:space="preserve"> carried by low-frequency thermal phonons, with a spectral energy comparable to that of local thermal phonons, cause a change in the local thermal state from equilibrium to nonequilibrium and a heat flux between objects A and B. However, changing the frequency of the wave does not fundamentally alter its interaction with the system. Despite being referred to as either mechanical energy or thermal energy flow depending on the frequencies of the waves, the physical meaning of vibrational energy remains the same. This creates a net vibrational energy flux or heat flow between objects A and B in thermal equilibrium, even in the low-frequency case, violating the Zeroth Law of Thermodynamics.</w:t>
      </w:r>
    </w:p>
    <w:p w14:paraId="470D1616" w14:textId="1AF40C25" w:rsidR="00894035" w:rsidRPr="00B047D4" w:rsidRDefault="00894035" w:rsidP="00173BF2">
      <w:pPr>
        <w:pStyle w:val="AbstractSummary"/>
        <w:spacing w:after="120" w:line="480" w:lineRule="auto"/>
        <w:ind w:firstLine="720"/>
        <w:jc w:val="both"/>
      </w:pPr>
      <w:r w:rsidRPr="00B047D4">
        <w:t xml:space="preserve">Thus, the classical definitions of thermal equilibrium and temperature fail to account for the propagation of </w:t>
      </w:r>
      <w:r w:rsidR="00B210D3">
        <w:t>acoustic waves</w:t>
      </w:r>
      <w:r w:rsidRPr="00B047D4">
        <w:t xml:space="preserve"> and the characteristics of energy carriers. Redefining the state of thermal equilibrium and temperature to consider the status of energy carriers and the propagation of </w:t>
      </w:r>
      <w:r w:rsidR="00B210D3">
        <w:t>acoustic waves</w:t>
      </w:r>
      <w:r w:rsidRPr="00B047D4">
        <w:t xml:space="preserve"> requires further systematic investigation beyond the scope of this study.</w:t>
      </w:r>
    </w:p>
    <w:p w14:paraId="5C1537E9" w14:textId="1635C087" w:rsidR="00894035" w:rsidRPr="00B047D4" w:rsidRDefault="00894035" w:rsidP="00173BF2">
      <w:pPr>
        <w:pStyle w:val="AbstractSummary"/>
        <w:spacing w:after="120" w:line="480" w:lineRule="auto"/>
        <w:ind w:firstLine="720"/>
        <w:jc w:val="both"/>
      </w:pPr>
      <w:r w:rsidRPr="00B047D4">
        <w:t xml:space="preserve">In this study, we will use a virtual filter to separate </w:t>
      </w:r>
      <w:bookmarkStart w:id="3" w:name="_Hlk137136134"/>
      <w:r w:rsidRPr="00B047D4">
        <w:t xml:space="preserve">the </w:t>
      </w:r>
      <w:r w:rsidR="006C59FB" w:rsidRPr="00B047D4">
        <w:t>vibrational</w:t>
      </w:r>
      <w:r w:rsidRPr="00B047D4">
        <w:t xml:space="preserve"> energy carried by directional propagating phonons from the system. We use propagating phonons instead of ballistic phonons to highlight the wave properties of phonons, and we will discuss this topic further in a later section. Propagating phonons include longitudinal, transverse and second sound phonons. </w:t>
      </w:r>
      <w:r w:rsidRPr="00B047D4">
        <w:lastRenderedPageBreak/>
        <w:t>After filtering out propagating phonons, we can define temperature based on the vibrational energy carried by the remaining phonons.</w:t>
      </w:r>
    </w:p>
    <w:bookmarkEnd w:id="3"/>
    <w:p w14:paraId="15183A1E" w14:textId="70E0E858" w:rsidR="00DB23AC" w:rsidRPr="00B047D4" w:rsidRDefault="00DB23AC" w:rsidP="00A34BEF">
      <w:pPr>
        <w:pStyle w:val="SMText"/>
        <w:spacing w:line="480" w:lineRule="auto"/>
        <w:ind w:firstLine="0"/>
        <w:rPr>
          <w:u w:val="words"/>
        </w:rPr>
      </w:pPr>
      <w:r w:rsidRPr="00B047D4">
        <w:rPr>
          <w:u w:val="words"/>
        </w:rPr>
        <w:t xml:space="preserve">Supplementary Note </w:t>
      </w:r>
      <w:r w:rsidR="00772343">
        <w:rPr>
          <w:u w:val="words"/>
        </w:rPr>
        <w:t>II</w:t>
      </w:r>
      <w:r w:rsidRPr="00B047D4">
        <w:rPr>
          <w:u w:val="words"/>
        </w:rPr>
        <w:t xml:space="preserve">. </w:t>
      </w:r>
      <w:bookmarkStart w:id="4" w:name="_Hlk137136280"/>
      <w:r w:rsidRPr="00B047D4">
        <w:rPr>
          <w:u w:val="words"/>
        </w:rPr>
        <w:t>Heat Transfer from Cold to Hot without External Work</w:t>
      </w:r>
    </w:p>
    <w:bookmarkEnd w:id="4"/>
    <w:p w14:paraId="1483CAD0" w14:textId="61A7B6B7" w:rsidR="00894035" w:rsidRPr="00B047D4" w:rsidRDefault="00894035" w:rsidP="00173BF2">
      <w:pPr>
        <w:pStyle w:val="Teaser"/>
        <w:spacing w:after="120" w:line="480" w:lineRule="auto"/>
        <w:ind w:firstLine="720"/>
        <w:jc w:val="both"/>
      </w:pPr>
      <w:r w:rsidRPr="00B047D4">
        <w:t xml:space="preserve">Let's consider a group of right-running </w:t>
      </w:r>
      <w:r w:rsidR="00B210D3">
        <w:t>acoustic waves</w:t>
      </w:r>
      <w:r w:rsidRPr="00B047D4">
        <w:t xml:space="preserve"> passing through a hotspot with a temperature distribution of </w:t>
      </w:r>
      <w:r w:rsidRPr="00B047D4">
        <w:rPr>
          <w:i/>
          <w:iCs/>
        </w:rPr>
        <w:t>T</w:t>
      </w:r>
      <w:r w:rsidRPr="00B047D4">
        <w:t>(</w:t>
      </w:r>
      <w:r w:rsidRPr="00B047D4">
        <w:rPr>
          <w:i/>
          <w:iCs/>
        </w:rPr>
        <w:t>x</w:t>
      </w:r>
      <w:r w:rsidRPr="00B047D4">
        <w:t xml:space="preserve">) as shown in Fig. </w:t>
      </w:r>
      <w:r w:rsidR="00173BF2">
        <w:t>S1</w:t>
      </w:r>
      <w:r w:rsidRPr="00B047D4">
        <w:t xml:space="preserve">b. If these waves are low-frequency sound waves, they can pass through the hotspot as the propagation of sound waves is independent of temperature gradients. However, if these waves are carried by low-frequency thermal phonons, the system is in a local thermal nonequilibrium, and we will define temperature after filtering out propagating low-frequency thermal phonons. The increase in frequencies of </w:t>
      </w:r>
      <w:r w:rsidR="00B210D3">
        <w:t>acoustic waves</w:t>
      </w:r>
      <w:r w:rsidRPr="00B047D4">
        <w:t xml:space="preserve"> does not affect the independence of wave propagation on temperature gradients. Therefore, if the heat flux (</w:t>
      </w:r>
      <w:r w:rsidRPr="00B047D4">
        <w:rPr>
          <w:i/>
          <w:iCs/>
        </w:rPr>
        <w:t>q</w:t>
      </w:r>
      <w:r w:rsidRPr="00B047D4">
        <w:rPr>
          <w:i/>
          <w:iCs/>
          <w:vertAlign w:val="subscript"/>
        </w:rPr>
        <w:t>1</w:t>
      </w:r>
      <w:r w:rsidRPr="00B047D4">
        <w:t xml:space="preserve">) in the right-running waves carried by low-frequency thermal phonons is greater than the heat flux resulting from the temperature distribution </w:t>
      </w:r>
      <w:r w:rsidRPr="00B047D4">
        <w:rPr>
          <w:i/>
          <w:iCs/>
        </w:rPr>
        <w:t>T</w:t>
      </w:r>
      <w:r w:rsidRPr="00B047D4">
        <w:t>(</w:t>
      </w:r>
      <w:r w:rsidRPr="00B047D4">
        <w:rPr>
          <w:i/>
          <w:iCs/>
        </w:rPr>
        <w:t>x</w:t>
      </w:r>
      <w:r w:rsidRPr="00B047D4">
        <w:t>), an abnormal heat transfer occurs from a colder to a hotter region during heat wave propagation. We will analyze whether this violates the Second Law of Thermodynamics.</w:t>
      </w:r>
    </w:p>
    <w:p w14:paraId="1F084D1B" w14:textId="16EEE7A8" w:rsidR="00894035" w:rsidRPr="00B047D4" w:rsidRDefault="00894035" w:rsidP="00173BF2">
      <w:pPr>
        <w:pStyle w:val="Teaser"/>
        <w:spacing w:after="120" w:line="480" w:lineRule="auto"/>
        <w:ind w:firstLine="720"/>
        <w:jc w:val="both"/>
      </w:pPr>
      <w:r w:rsidRPr="00B047D4">
        <w:t xml:space="preserve">In 1850, Clausius introduced the concept of entropy and developed the statement of the Second Law: “Heat cannot spontaneously flow from a colder body to a hotter body.” </w:t>
      </w:r>
      <w:r w:rsidRPr="00B047D4">
        <w:fldChar w:fldCharType="begin"/>
      </w:r>
      <w:r w:rsidR="00024D3F">
        <w:instrText xml:space="preserve"> ADDIN EN.CITE &lt;EndNote&gt;&lt;Cite&gt;&lt;Author&gt;Clausius&lt;/Author&gt;&lt;Year&gt;1850&lt;/Year&gt;&lt;RecNum&gt;1179&lt;/RecNum&gt;&lt;DisplayText&gt;&lt;style face="superscript"&gt;2&lt;/style&gt;&lt;/DisplayText&gt;&lt;record&gt;&lt;rec-number&gt;1179&lt;/rec-number&gt;&lt;foreign-keys&gt;&lt;key app="EN" db-id="wxwp5tsv7sea2ce0a9upzexpw0tpszpasvfx" timestamp="1679524698"&gt;1179&lt;/key&gt;&lt;/foreign-keys&gt;&lt;ref-type name="Journal Article"&gt;17&lt;/ref-type&gt;&lt;contributors&gt;&lt;authors&gt;&lt;author&gt;Rudolf Julius Emanuel Clausius&lt;/author&gt;&lt;/authors&gt;&lt;/contributors&gt;&lt;auth-address&gt;Ruan, XL&amp;#xD;Purdue Univ, Sch Mech Engn, W Lafayette, IN 47907 USA&amp;#xD;Purdue Univ, Sch Mech Engn, W Lafayette, IN 47907 USA&amp;#xD;Purdue Univ, Birck Nanotechnol Ctr, W Lafayette, IN 47907 USA&lt;/auth-address&gt;&lt;titles&gt;&lt;title&gt;On the Motive Power of Fire and the Laws of the Theory of Heat, Which are Deduced from It&lt;/title&gt;&lt;secondary-title&gt;Annalen der Physik und Chemie&lt;/secondary-title&gt;&lt;alt-title&gt;J Nanomater&amp;#xD;J Nanomater&lt;/alt-title&gt;&lt;/titles&gt;&lt;pages&gt;368&lt;/pages&gt;&lt;volume&gt;79&lt;/volume&gt;&lt;keywords&gt;&lt;keyword&gt;binding molecular-dynamics&lt;/keyword&gt;&lt;keyword&gt;bond charge model&lt;/keyword&gt;&lt;keyword&gt;silicon nanowires&lt;/keyword&gt;&lt;keyword&gt;lattice-dynamics&lt;/keyword&gt;&lt;keyword&gt;low temperatures&lt;/keyword&gt;&lt;keyword&gt;isotope scattering&lt;/keyword&gt;&lt;keyword&gt;amorphous-carbon&lt;/keyword&gt;&lt;keyword&gt;heat-conduction&lt;/keyword&gt;&lt;keyword&gt;diamond&lt;/keyword&gt;&lt;keyword&gt;graphene&lt;/keyword&gt;&lt;/keywords&gt;&lt;dates&gt;&lt;year&gt;1850&lt;/year&gt;&lt;/dates&gt;&lt;isbn&gt;1687-4110&lt;/isbn&gt;&lt;accession-num&gt;WOS:000334240500001&lt;/accession-num&gt;&lt;urls&gt;&lt;related-urls&gt;&lt;url&gt;&lt;style face="underline" font="default" size="100%"&gt;&amp;lt;Go to ISI&amp;gt;://WOS:000334240500001&lt;/style&gt;&lt;/url&gt;&lt;/related-urls&gt;&lt;/urls&gt;&lt;language&gt;English&lt;/language&gt;&lt;/record&gt;&lt;/Cite&gt;&lt;/EndNote&gt;</w:instrText>
      </w:r>
      <w:r w:rsidRPr="00B047D4">
        <w:fldChar w:fldCharType="separate"/>
      </w:r>
      <w:r w:rsidR="00024D3F" w:rsidRPr="00024D3F">
        <w:rPr>
          <w:noProof/>
          <w:vertAlign w:val="superscript"/>
        </w:rPr>
        <w:t>2</w:t>
      </w:r>
      <w:r w:rsidRPr="00B047D4">
        <w:fldChar w:fldCharType="end"/>
      </w:r>
      <w:r w:rsidRPr="00B047D4">
        <w:t>.  Another formulation of the Second Law, known as the Kelvin-Planck statement, states that “It is impossible to construct a device that operates in a cycle and produces no effect other than the extraction of heat from a single reservoir and the performance of an equivalent amount of work.”</w:t>
      </w:r>
      <w:r w:rsidRPr="00B047D4">
        <w:fldChar w:fldCharType="begin"/>
      </w:r>
      <w:r w:rsidR="00024D3F">
        <w:instrText xml:space="preserve"> ADDIN EN.CITE &lt;EndNote&gt;&lt;Cite&gt;&lt;Author&gt;Thomson)&lt;/Author&gt;&lt;Year&gt;1851&lt;/Year&gt;&lt;RecNum&gt;1180&lt;/RecNum&gt;&lt;DisplayText&gt;&lt;style face="superscript"&gt;3&lt;/style&gt;&lt;/DisplayText&gt;&lt;record&gt;&lt;rec-number&gt;1180&lt;/rec-number&gt;&lt;foreign-keys&gt;&lt;key app="EN" db-id="wxwp5tsv7sea2ce0a9upzexpw0tpszpasvfx" timestamp="1679526128"&gt;1180&lt;/key&gt;&lt;/foreign-keys&gt;&lt;ref-type name="Journal Article"&gt;17&lt;/ref-type&gt;&lt;contributors&gt;&lt;authors&gt;&lt;author&gt;Lord Kelvin (William Thomson)&lt;/author&gt;&lt;/authors&gt;&lt;/contributors&gt;&lt;auth-address&gt;Ruan, XL&amp;#xD;Purdue Univ, Sch Mech Engn, W Lafayette, IN 47907 USA&amp;#xD;Purdue Univ, Sch Mech Engn, W Lafayette, IN 47907 USA&amp;#xD;Purdue Univ, Birck Nanotechnol Ctr, W Lafayette, IN 47907 USA&lt;/auth-address&gt;&lt;titles&gt;&lt;title&gt;On the Dynamical Theory of Heat&lt;/title&gt;&lt;secondary-title&gt;Transactions of the Royal Society of Edinburgh&lt;/secondary-title&gt;&lt;alt-title&gt;J Nanomater&amp;#xD;J Nanomater&lt;/alt-title&gt;&lt;/titles&gt;&lt;pages&gt;174&lt;/pages&gt;&lt;volume&gt;i&lt;/volume&gt;&lt;keywords&gt;&lt;keyword&gt;binding molecular-dynamics&lt;/keyword&gt;&lt;keyword&gt;bond charge model&lt;/keyword&gt;&lt;keyword&gt;silicon nanowires&lt;/keyword&gt;&lt;keyword&gt;lattice-dynamics&lt;/keyword&gt;&lt;keyword&gt;low temperatures&lt;/keyword&gt;&lt;keyword&gt;isotope scattering&lt;/keyword&gt;&lt;keyword&gt;amorphous-carbon&lt;/keyword&gt;&lt;keyword&gt;heat-conduction&lt;/keyword&gt;&lt;keyword&gt;diamond&lt;/keyword&gt;&lt;keyword&gt;graphene&lt;/keyword&gt;&lt;/keywords&gt;&lt;dates&gt;&lt;year&gt;1851&lt;/year&gt;&lt;/dates&gt;&lt;isbn&gt;1687-4110&lt;/isbn&gt;&lt;accession-num&gt;WOS:000334240500001&lt;/accession-num&gt;&lt;urls&gt;&lt;related-urls&gt;&lt;url&gt;&lt;style face="underline" font="default" size="100%"&gt;&amp;lt;Go to ISI&amp;gt;://WOS:000334240500001&lt;/style&gt;&lt;/url&gt;&lt;/related-urls&gt;&lt;/urls&gt;&lt;language&gt;English&lt;/language&gt;&lt;/record&gt;&lt;/Cite&gt;&lt;/EndNote&gt;</w:instrText>
      </w:r>
      <w:r w:rsidRPr="00B047D4">
        <w:fldChar w:fldCharType="separate"/>
      </w:r>
      <w:r w:rsidR="00024D3F" w:rsidRPr="00024D3F">
        <w:rPr>
          <w:noProof/>
          <w:vertAlign w:val="superscript"/>
        </w:rPr>
        <w:t>3</w:t>
      </w:r>
      <w:r w:rsidRPr="00B047D4">
        <w:fldChar w:fldCharType="end"/>
      </w:r>
      <w:r w:rsidRPr="00B047D4">
        <w:t xml:space="preserve">.  In Fig. </w:t>
      </w:r>
      <w:r w:rsidR="00173BF2">
        <w:t>S1</w:t>
      </w:r>
      <w:r w:rsidRPr="00B047D4">
        <w:t>b, heat flux (</w:t>
      </w:r>
      <w:r w:rsidRPr="00B047D4">
        <w:rPr>
          <w:i/>
          <w:iCs/>
        </w:rPr>
        <w:t>q</w:t>
      </w:r>
      <w:r w:rsidRPr="00B047D4">
        <w:rPr>
          <w:i/>
          <w:iCs/>
          <w:vertAlign w:val="subscript"/>
        </w:rPr>
        <w:t>1</w:t>
      </w:r>
      <w:r w:rsidRPr="00B047D4">
        <w:t xml:space="preserve">) carried by heat waves is induced by an external heating source, and it does not occur spontaneously from a colder region to a hotter region. </w:t>
      </w:r>
      <w:bookmarkStart w:id="5" w:name="_Hlk137136355"/>
      <w:bookmarkStart w:id="6" w:name="_Hlk137136307"/>
      <w:r w:rsidRPr="00B047D4">
        <w:t>Therefore, heat transfer through heat wave propagation from cold to hot does not violate the Second Law of Thermodynamics</w:t>
      </w:r>
      <w:bookmarkEnd w:id="5"/>
      <w:r w:rsidRPr="00B047D4">
        <w:t xml:space="preserve">.  </w:t>
      </w:r>
    </w:p>
    <w:p w14:paraId="2FA48DB4" w14:textId="2E586455" w:rsidR="00DB23AC" w:rsidRPr="00B047D4" w:rsidRDefault="00DB23AC" w:rsidP="00A34BEF">
      <w:pPr>
        <w:pStyle w:val="SMText"/>
        <w:spacing w:line="480" w:lineRule="auto"/>
        <w:ind w:firstLine="0"/>
        <w:rPr>
          <w:u w:val="words"/>
        </w:rPr>
      </w:pPr>
      <w:bookmarkStart w:id="7" w:name="_Hlk136942186"/>
      <w:bookmarkEnd w:id="6"/>
      <w:r w:rsidRPr="00B047D4">
        <w:rPr>
          <w:u w:val="words"/>
        </w:rPr>
        <w:lastRenderedPageBreak/>
        <w:t xml:space="preserve">Supplementary Note </w:t>
      </w:r>
      <w:r w:rsidR="00772343">
        <w:rPr>
          <w:u w:val="words"/>
        </w:rPr>
        <w:t>I</w:t>
      </w:r>
      <w:r w:rsidRPr="00B047D4">
        <w:rPr>
          <w:u w:val="words"/>
        </w:rPr>
        <w:t xml:space="preserve">II. Heat propagation distinct from heat conduction </w:t>
      </w:r>
    </w:p>
    <w:p w14:paraId="14FF82D9" w14:textId="5C380B9A" w:rsidR="00A22981" w:rsidRPr="00B047D4" w:rsidRDefault="00B77616" w:rsidP="00173BF2">
      <w:pPr>
        <w:pStyle w:val="AbstractSummary"/>
        <w:spacing w:after="120" w:line="480" w:lineRule="auto"/>
        <w:ind w:firstLine="720"/>
        <w:jc w:val="both"/>
      </w:pPr>
      <w:r w:rsidRPr="00B047D4">
        <w:t>Heat conduction is the transfer of thermal energy through a material from a region of higher temperature to a region of lower temperature, resulting from the random motion of heat carriers within the substance</w:t>
      </w:r>
      <w:r w:rsidRPr="00B047D4">
        <w:fldChar w:fldCharType="begin"/>
      </w:r>
      <w:r w:rsidR="00024D3F">
        <w:instrText xml:space="preserve"> ADDIN EN.CITE &lt;EndNote&gt;&lt;Cite&gt;&lt;Author&gt;Chen&lt;/Author&gt;&lt;Year&gt;2005&lt;/Year&gt;&lt;RecNum&gt;165&lt;/RecNum&gt;&lt;DisplayText&gt;&lt;style face="superscript"&gt;4&lt;/style&gt;&lt;/DisplayText&gt;&lt;record&gt;&lt;rec-number&gt;165&lt;/rec-number&gt;&lt;foreign-keys&gt;&lt;key app="EN" db-id="wxwp5tsv7sea2ce0a9upzexpw0tpszpasvfx" timestamp="0"&gt;165&lt;/key&gt;&lt;/foreign-keys&gt;&lt;ref-type name="Book"&gt;6&lt;/ref-type&gt;&lt;contributors&gt;&lt;authors&gt;&lt;author&gt;Chen, G.&lt;/author&gt;&lt;/authors&gt;&lt;/contributors&gt;&lt;titles&gt;&lt;title&gt;Nanoscale energy transport and conversion&lt;/title&gt;&lt;/titles&gt;&lt;dates&gt;&lt;year&gt;2005&lt;/year&gt;&lt;/dates&gt;&lt;publisher&gt;Oxford University Press&lt;/publisher&gt;&lt;isbn&gt;019515942X 9780195159424&lt;/isbn&gt;&lt;urls&gt;&lt;/urls&gt;&lt;/record&gt;&lt;/Cite&gt;&lt;/EndNote&gt;</w:instrText>
      </w:r>
      <w:r w:rsidRPr="00B047D4">
        <w:fldChar w:fldCharType="separate"/>
      </w:r>
      <w:r w:rsidR="00024D3F" w:rsidRPr="00024D3F">
        <w:rPr>
          <w:noProof/>
          <w:vertAlign w:val="superscript"/>
        </w:rPr>
        <w:t>4</w:t>
      </w:r>
      <w:r w:rsidRPr="00B047D4">
        <w:fldChar w:fldCharType="end"/>
      </w:r>
      <w:r w:rsidRPr="00B047D4">
        <w:t>.The rate of heat transfer by conduction is determined by the temperature gradient and the thermal conductivity. The temperature gradient acts as the driving force for initiating and sustaining heat conduction, while thermal conductivity represents the material’s ability to conduct heat.</w:t>
      </w:r>
    </w:p>
    <w:p w14:paraId="09A3E046" w14:textId="1D637FAC" w:rsidR="00894035" w:rsidRPr="00B047D4" w:rsidRDefault="00894035" w:rsidP="00173BF2">
      <w:pPr>
        <w:pStyle w:val="AbstractSummary"/>
        <w:spacing w:after="120" w:line="480" w:lineRule="auto"/>
        <w:ind w:firstLine="720"/>
        <w:jc w:val="both"/>
      </w:pPr>
      <w:r w:rsidRPr="00B047D4">
        <w:t>Consider a group of continuous right-running heat waves with a constant heat flux q</w:t>
      </w:r>
      <w:r w:rsidRPr="00B047D4">
        <w:rPr>
          <w:vertAlign w:val="subscript"/>
        </w:rPr>
        <w:t>1</w:t>
      </w:r>
      <w:r w:rsidRPr="00B047D4">
        <w:t xml:space="preserve">, as shown in Fig. </w:t>
      </w:r>
      <w:r w:rsidR="00772343">
        <w:t>S</w:t>
      </w:r>
      <w:r w:rsidR="000A3A5D">
        <w:t>2</w:t>
      </w:r>
      <w:r w:rsidRPr="00B047D4">
        <w:t>a. There is no damping in the heat waves. The system is in a state of local thermal nonequilibrium. We assume that there is a uniform temperature distribution after filtering out propagating phonons. Even without the virtual filter, the distribution of internal energy is also uniform, resulting in a zero-temperature gradient. Therefore, the rate of heat transfer q</w:t>
      </w:r>
      <w:r w:rsidRPr="00B047D4">
        <w:rPr>
          <w:vertAlign w:val="subscript"/>
        </w:rPr>
        <w:t>1</w:t>
      </w:r>
      <w:r w:rsidRPr="00B047D4">
        <w:t xml:space="preserve"> is arbitrary and is independent of the temperature gradient and thermal conductivity. This phenomenon cannot be described by heat conduction, which relies on temperature gradient and thermal conductivity.</w:t>
      </w:r>
    </w:p>
    <w:p w14:paraId="12B85B18" w14:textId="78426CAE" w:rsidR="00894035" w:rsidRPr="00B047D4" w:rsidRDefault="00894035" w:rsidP="00173BF2">
      <w:pPr>
        <w:pStyle w:val="Teaser"/>
        <w:spacing w:after="120" w:line="480" w:lineRule="auto"/>
        <w:ind w:firstLine="720"/>
        <w:jc w:val="both"/>
      </w:pPr>
      <w:r w:rsidRPr="00B047D4">
        <w:t xml:space="preserve">Similarly, in </w:t>
      </w:r>
      <w:r w:rsidR="002E4F1A">
        <w:t xml:space="preserve">Fig. </w:t>
      </w:r>
      <w:r w:rsidR="00190216">
        <w:t>S</w:t>
      </w:r>
      <w:r w:rsidR="000A3A5D">
        <w:t>2</w:t>
      </w:r>
      <w:r w:rsidR="00190216">
        <w:t>b</w:t>
      </w:r>
      <w:r w:rsidRPr="00B047D4">
        <w:t>, a group of heat waves reflects on the right boundary, with the incident and reflected waves carrying the same amount of heat flux but in opposite directions. As a result, the net heat flux is zero, and the temperature gradient is also zero. However, heat wave propagation and reflection occur, which cannot be explained by heat conduction.</w:t>
      </w:r>
      <w:r w:rsidRPr="00B047D4">
        <w:rPr>
          <w:noProof/>
        </w:rPr>
        <w:t xml:space="preserve"> </w:t>
      </w:r>
    </w:p>
    <w:bookmarkEnd w:id="7"/>
    <w:p w14:paraId="57A9B96F" w14:textId="4C71A1E0" w:rsidR="00AA2DEE" w:rsidRPr="00B047D4" w:rsidRDefault="002C1FCB" w:rsidP="00A34BEF">
      <w:pPr>
        <w:pStyle w:val="SMSubheading"/>
        <w:spacing w:line="480" w:lineRule="auto"/>
      </w:pPr>
      <w:r w:rsidRPr="00B047D4">
        <w:t xml:space="preserve">Supplementary Note </w:t>
      </w:r>
      <w:r w:rsidR="006F7F64">
        <w:t>I</w:t>
      </w:r>
      <w:r w:rsidR="00346EC5">
        <w:t>V</w:t>
      </w:r>
      <w:r w:rsidRPr="00B047D4">
        <w:t xml:space="preserve">.  </w:t>
      </w:r>
      <w:r w:rsidR="00AA2DEE" w:rsidRPr="00B047D4">
        <w:t xml:space="preserve">Prevalent </w:t>
      </w:r>
      <w:r w:rsidR="003A56BF" w:rsidRPr="00B047D4">
        <w:t>h</w:t>
      </w:r>
      <w:r w:rsidR="00AA2DEE" w:rsidRPr="00B047D4">
        <w:t>eat</w:t>
      </w:r>
      <w:r w:rsidR="003A56BF" w:rsidRPr="00B047D4">
        <w:t xml:space="preserve"> p</w:t>
      </w:r>
      <w:r w:rsidR="00AA2DEE" w:rsidRPr="00B047D4">
        <w:t xml:space="preserve">ropagation and </w:t>
      </w:r>
      <w:r w:rsidR="00FD0636">
        <w:t>redefinition of heat transfer</w:t>
      </w:r>
      <w:r w:rsidR="00AA2DEE" w:rsidRPr="00B047D4">
        <w:t xml:space="preserve"> </w:t>
      </w:r>
    </w:p>
    <w:p w14:paraId="253BC984" w14:textId="752AA779" w:rsidR="00AA2DEE" w:rsidRPr="00B047D4" w:rsidRDefault="00AA2DEE" w:rsidP="00173BF2">
      <w:pPr>
        <w:pStyle w:val="Teaser"/>
        <w:spacing w:after="120" w:line="480" w:lineRule="auto"/>
        <w:ind w:firstLine="720"/>
        <w:jc w:val="both"/>
      </w:pPr>
      <w:r w:rsidRPr="00B047D4">
        <w:t>Currently, it is widely accepted that ballistic heat transfer is a regime of heat conduction</w:t>
      </w:r>
      <w:r w:rsidRPr="00B047D4">
        <w:fldChar w:fldCharType="begin">
          <w:fldData xml:space="preserve">PEVuZE5vdGU+PENpdGU+PEF1dGhvcj5IdWJlcm1hbjwvQXV0aG9yPjxZZWFyPjIwMTk8L1llYXI+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</w:fldData>
        </w:fldChar>
      </w:r>
      <w:r w:rsidR="006F7F64">
        <w:instrText xml:space="preserve"> ADDIN EN.CITE </w:instrText>
      </w:r>
      <w:r w:rsidR="006F7F64">
        <w:fldChar w:fldCharType="begin">
          <w:fldData xml:space="preserve">PEVuZE5vdGU+PENpdGU+PEF1dGhvcj5IdWJlcm1hbjwvQXV0aG9yPjxZZWFyPjIwMTk8L1llYXI+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</w:fldData>
        </w:fldChar>
      </w:r>
      <w:r w:rsidR="006F7F64">
        <w:instrText xml:space="preserve"> ADDIN EN.CITE.DATA </w:instrText>
      </w:r>
      <w:r w:rsidR="006F7F64">
        <w:fldChar w:fldCharType="end"/>
      </w:r>
      <w:r w:rsidRPr="00B047D4">
        <w:fldChar w:fldCharType="separate"/>
      </w:r>
      <w:r w:rsidR="006F7F64" w:rsidRPr="006F7F64">
        <w:rPr>
          <w:noProof/>
          <w:vertAlign w:val="superscript"/>
        </w:rPr>
        <w:t>5,6</w:t>
      </w:r>
      <w:r w:rsidRPr="00B047D4">
        <w:fldChar w:fldCharType="end"/>
      </w:r>
      <w:r w:rsidRPr="00B047D4">
        <w:t xml:space="preserve">. However, this study corrects the terminology of ballistic heat transfer and refers to it as propagative heat transfer. Based on the preceding discussion, it is apparent that the excitation of nonequilibrium </w:t>
      </w:r>
      <w:r w:rsidRPr="00B047D4">
        <w:lastRenderedPageBreak/>
        <w:t xml:space="preserve">propagative phonons and the subsequent propagation of heat can occur in various heating processes, including </w:t>
      </w:r>
      <w:r w:rsidR="00C3083B" w:rsidRPr="00B047D4">
        <w:t>resistive, laser</w:t>
      </w:r>
      <w:r w:rsidRPr="00B047D4">
        <w:t xml:space="preserve"> and </w:t>
      </w:r>
      <w:r w:rsidR="00C3083B" w:rsidRPr="00B047D4">
        <w:t>electron</w:t>
      </w:r>
      <w:r w:rsidRPr="00B047D4">
        <w:t xml:space="preserve"> heating, in both bulk and nanomaterials. This phenomenon is evidenced across a wide temperature range, starting from cryogenic temperatures to room temperature. </w:t>
      </w:r>
      <w:bookmarkStart w:id="8" w:name="_Hlk137487260"/>
      <w:r w:rsidRPr="00B047D4">
        <w:t>Therefore, it is now understood that propagative heat transfer is not just a specific regime of heat conduction but rather a pervasive and ubiquitous phenomenon</w:t>
      </w:r>
      <w:r w:rsidR="00C3083B" w:rsidRPr="00B047D4">
        <w:t xml:space="preserve">, as shown in Fig. </w:t>
      </w:r>
      <w:r w:rsidR="000A3A5D">
        <w:t>4</w:t>
      </w:r>
      <w:r w:rsidR="00C3083B" w:rsidRPr="00B047D4">
        <w:t xml:space="preserve">b. </w:t>
      </w:r>
      <w:r w:rsidRPr="00B047D4">
        <w:t xml:space="preserve"> </w:t>
      </w:r>
      <w:bookmarkEnd w:id="8"/>
    </w:p>
    <w:p w14:paraId="01AE9FE7" w14:textId="22A095C8" w:rsidR="00AA2DEE" w:rsidRPr="00B047D4" w:rsidRDefault="00AA2DEE" w:rsidP="00173BF2">
      <w:pPr>
        <w:pStyle w:val="Teaser"/>
        <w:spacing w:after="120" w:line="480" w:lineRule="auto"/>
        <w:ind w:firstLine="720"/>
        <w:jc w:val="both"/>
      </w:pPr>
      <w:r w:rsidRPr="00B047D4">
        <w:t>Following the discussion of heat wave echoes, it has been discovered that heat propagation can occur without a driving force such as a temperature gradient. Instead, heat propagation can be modeled as a traveling heat source that produces changes in temperature and generates a temperature gradient, as described in Eq</w:t>
      </w:r>
      <w:r w:rsidR="006A6483">
        <w:t xml:space="preserve">s. </w:t>
      </w:r>
      <w:r w:rsidRPr="00B047D4">
        <w:t>(</w:t>
      </w:r>
      <w:r w:rsidR="006A6483">
        <w:t>1-7</w:t>
      </w:r>
      <w:r w:rsidRPr="00B047D4">
        <w:t>). This discovery challenges the conventional definition of heat transfer in thermal engineering, which describes heat transfer as the process of thermal energy movement resulting from temperature gradients. Therefore, the incorporation of heat propagation in heat transfer implies the need to redefine heat transfer as the process of thermal energy changes and exchanges that can arise from or lead to temperature gradients and changes.</w:t>
      </w:r>
    </w:p>
    <w:p w14:paraId="27A90C13" w14:textId="77777777" w:rsidR="00024D3F" w:rsidRDefault="00024D3F">
      <w:r>
        <w:br w:type="page"/>
      </w:r>
    </w:p>
    <w:p w14:paraId="3275AAE1" w14:textId="68A01D0E" w:rsidR="00B70E1D" w:rsidRPr="00F44AEE" w:rsidRDefault="00B70E1D" w:rsidP="00B70E1D">
      <w:pPr>
        <w:rPr>
          <w:b/>
          <w:bCs/>
          <w:kern w:val="32"/>
          <w:szCs w:val="24"/>
        </w:rPr>
      </w:pPr>
    </w:p>
    <w:p w14:paraId="6729420B" w14:textId="0CF68EE1" w:rsidR="00B70E1D" w:rsidRPr="007A1F3D" w:rsidRDefault="00B70E1D" w:rsidP="00B70E1D">
      <w:pPr>
        <w:pStyle w:val="SMHeading"/>
      </w:pPr>
      <w:r>
        <w:rPr>
          <w:noProof/>
        </w:rPr>
        <mc:AlternateContent>
          <mc:Choice Requires="wps">
            <w:drawing>
              <wp:anchor distT="0" distB="0" distL="114300" distR="114300" simplePos="0" relativeHeight="251665408" behindDoc="0" locked="0" layoutInCell="1" allowOverlap="1" wp14:anchorId="34D784B3" wp14:editId="4B0AA5A9">
                <wp:simplePos x="0" y="0"/>
                <wp:positionH relativeFrom="column">
                  <wp:posOffset>1390650</wp:posOffset>
                </wp:positionH>
                <wp:positionV relativeFrom="paragraph">
                  <wp:posOffset>933450</wp:posOffset>
                </wp:positionV>
                <wp:extent cx="386738" cy="286741"/>
                <wp:effectExtent l="0" t="0" r="0" b="0"/>
                <wp:wrapNone/>
                <wp:docPr id="4033943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38" cy="286741"/>
                        </a:xfrm>
                        <a:prstGeom prst="rect">
                          <a:avLst/>
                        </a:prstGeom>
                        <a:noFill/>
                        <a:ln w="9525">
                          <a:noFill/>
                          <a:miter lim="800000"/>
                          <a:headEnd/>
                          <a:tailEnd/>
                        </a:ln>
                      </wps:spPr>
                      <wps:txbx>
                        <w:txbxContent>
                          <w:p w14:paraId="047E618A" w14:textId="77777777" w:rsidR="00B70E1D" w:rsidRPr="00301264" w:rsidRDefault="00B70E1D" w:rsidP="00B70E1D">
                            <w:pPr>
                              <w:spacing w:after="200"/>
                              <w:rPr>
                                <w:rFonts w:ascii="Arial" w:hAnsi="Arial" w:cs="Arial"/>
                                <w:b/>
                                <w:bCs/>
                                <w:color w:val="000000"/>
                                <w:sz w:val="22"/>
                                <w:szCs w:val="22"/>
                              </w:rPr>
                            </w:pPr>
                            <w:r>
                              <w:rPr>
                                <w:rFonts w:ascii="Arial" w:hAnsi="Arial" w:cs="Arial"/>
                                <w:b/>
                                <w:bCs/>
                                <w:color w:val="000000"/>
                                <w:sz w:val="22"/>
                                <w:szCs w:val="22"/>
                              </w:rPr>
                              <w:t>b</w:t>
                            </w:r>
                          </w:p>
                        </w:txbxContent>
                      </wps:txbx>
                      <wps:bodyPr rot="0" vert="horz" wrap="square" lIns="91440" tIns="45720" rIns="91440" bIns="45720" anchor="t" anchorCtr="0">
                        <a:noAutofit/>
                      </wps:bodyPr>
                    </wps:wsp>
                  </a:graphicData>
                </a:graphic>
              </wp:anchor>
            </w:drawing>
          </mc:Choice>
          <mc:Fallback>
            <w:pict>
              <v:shapetype w14:anchorId="34D784B3" id="_x0000_t202" coordsize="21600,21600" o:spt="202" path="m,l,21600r21600,l21600,xe">
                <v:stroke joinstyle="miter"/>
                <v:path gradientshapeok="t" o:connecttype="rect"/>
              </v:shapetype>
              <v:shape id="Text Box 2" o:spid="_x0000_s1026" type="#_x0000_t202" style="position:absolute;margin-left:109.5pt;margin-top:73.5pt;width:30.45pt;height:22.6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" filled="f" stroked="f">
                <v:textbox>
                  <w:txbxContent>
                    <w:p w14:paraId="047E618A" w14:textId="77777777" w:rsidR="00B70E1D" w:rsidRPr="00301264" w:rsidRDefault="00B70E1D" w:rsidP="00B70E1D">
                      <w:pPr>
                        <w:spacing w:after="200"/>
                        <w:rPr>
                          <w:rFonts w:ascii="Arial" w:hAnsi="Arial" w:cs="Arial"/>
                          <w:b/>
                          <w:bCs/>
                          <w:color w:val="000000"/>
                          <w:sz w:val="22"/>
                          <w:szCs w:val="22"/>
                        </w:rPr>
                      </w:pPr>
                      <w:r>
                        <w:rPr>
                          <w:rFonts w:ascii="Arial" w:hAnsi="Arial" w:cs="Arial"/>
                          <w:b/>
                          <w:bCs/>
                          <w:color w:val="000000"/>
                          <w:sz w:val="22"/>
                          <w:szCs w:val="22"/>
                        </w:rPr>
                        <w:t>b</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72822E0A" wp14:editId="072D3A2F">
                <wp:simplePos x="0" y="0"/>
                <wp:positionH relativeFrom="column">
                  <wp:posOffset>1390650</wp:posOffset>
                </wp:positionH>
                <wp:positionV relativeFrom="paragraph">
                  <wp:posOffset>234950</wp:posOffset>
                </wp:positionV>
                <wp:extent cx="386738" cy="286741"/>
                <wp:effectExtent l="0" t="0" r="0" b="0"/>
                <wp:wrapNone/>
                <wp:docPr id="20928037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38" cy="286741"/>
                        </a:xfrm>
                        <a:prstGeom prst="rect">
                          <a:avLst/>
                        </a:prstGeom>
                        <a:noFill/>
                        <a:ln w="9525">
                          <a:noFill/>
                          <a:miter lim="800000"/>
                          <a:headEnd/>
                          <a:tailEnd/>
                        </a:ln>
                      </wps:spPr>
                      <wps:txbx>
                        <w:txbxContent>
                          <w:p w14:paraId="1C3172FD" w14:textId="77777777" w:rsidR="00B70E1D" w:rsidRPr="00301264" w:rsidRDefault="00B70E1D" w:rsidP="00B70E1D">
                            <w:pPr>
                              <w:spacing w:after="200"/>
                              <w:rPr>
                                <w:rFonts w:ascii="Arial" w:hAnsi="Arial" w:cs="Arial"/>
                                <w:b/>
                                <w:bCs/>
                                <w:color w:val="000000"/>
                                <w:sz w:val="22"/>
                                <w:szCs w:val="22"/>
                              </w:rPr>
                            </w:pPr>
                            <w:r w:rsidRPr="00301264">
                              <w:rPr>
                                <w:rFonts w:ascii="Arial" w:hAnsi="Arial" w:cs="Arial"/>
                                <w:b/>
                                <w:bCs/>
                                <w:color w:val="000000"/>
                                <w:sz w:val="22"/>
                                <w:szCs w:val="22"/>
                              </w:rPr>
                              <w:t>a</w:t>
                            </w:r>
                          </w:p>
                        </w:txbxContent>
                      </wps:txbx>
                      <wps:bodyPr rot="0" vert="horz" wrap="square" lIns="91440" tIns="45720" rIns="91440" bIns="45720" anchor="t" anchorCtr="0">
                        <a:noAutofit/>
                      </wps:bodyPr>
                    </wps:wsp>
                  </a:graphicData>
                </a:graphic>
              </wp:anchor>
            </w:drawing>
          </mc:Choice>
          <mc:Fallback>
            <w:pict>
              <v:shape w14:anchorId="72822E0A" id="_x0000_s1027" type="#_x0000_t202" style="position:absolute;margin-left:109.5pt;margin-top:18.5pt;width:30.45pt;height:22.6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" filled="f" stroked="f">
                <v:textbox>
                  <w:txbxContent>
                    <w:p w14:paraId="1C3172FD" w14:textId="77777777" w:rsidR="00B70E1D" w:rsidRPr="00301264" w:rsidRDefault="00B70E1D" w:rsidP="00B70E1D">
                      <w:pPr>
                        <w:spacing w:after="200"/>
                        <w:rPr>
                          <w:rFonts w:ascii="Arial" w:hAnsi="Arial" w:cs="Arial"/>
                          <w:b/>
                          <w:bCs/>
                          <w:color w:val="000000"/>
                          <w:sz w:val="22"/>
                          <w:szCs w:val="22"/>
                        </w:rPr>
                      </w:pPr>
                      <w:r w:rsidRPr="00301264">
                        <w:rPr>
                          <w:rFonts w:ascii="Arial" w:hAnsi="Arial" w:cs="Arial"/>
                          <w:b/>
                          <w:bCs/>
                          <w:color w:val="000000"/>
                          <w:sz w:val="22"/>
                          <w:szCs w:val="22"/>
                        </w:rPr>
                        <w:t>a</w:t>
                      </w:r>
                    </w:p>
                  </w:txbxContent>
                </v:textbox>
              </v:shape>
            </w:pict>
          </mc:Fallback>
        </mc:AlternateContent>
      </w:r>
      <w:r w:rsidRPr="00F44AEE">
        <w:rPr>
          <w:noProof/>
        </w:rPr>
        <w:drawing>
          <wp:anchor distT="0" distB="0" distL="114300" distR="114300" simplePos="0" relativeHeight="251663360" behindDoc="0" locked="0" layoutInCell="1" allowOverlap="1" wp14:anchorId="6D1DDCFC" wp14:editId="2DB3AD6E">
            <wp:simplePos x="0" y="0"/>
            <wp:positionH relativeFrom="column">
              <wp:posOffset>1828800</wp:posOffset>
            </wp:positionH>
            <wp:positionV relativeFrom="paragraph">
              <wp:posOffset>95250</wp:posOffset>
            </wp:positionV>
            <wp:extent cx="2463800" cy="1269365"/>
            <wp:effectExtent l="0" t="0" r="0" b="6985"/>
            <wp:wrapTopAndBottom/>
            <wp:docPr id="16" name="Picture 1" descr="A picture containing screenshot, graphics, font,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 descr="A picture containing screenshot, graphics, font, graphic design&#10;&#10;Description automatically generated"/>
                    <pic:cNvPicPr>
                      <a:picLocks noChangeAspect="1"/>
                    </pic:cNvPicPr>
                  </pic:nvPicPr>
                  <pic:blipFill rotWithShape="1">
                    <a:blip r:embed="rId8"/>
                    <a:srcRect l="923" r="15248"/>
                    <a:stretch/>
                  </pic:blipFill>
                  <pic:spPr bwMode="auto">
                    <a:xfrm>
                      <a:off x="0" y="0"/>
                      <a:ext cx="2463800" cy="12693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01264">
        <w:t xml:space="preserve"> Fig. </w:t>
      </w:r>
      <w:r>
        <w:t>S1</w:t>
      </w:r>
      <w:r w:rsidRPr="00301264">
        <w:t xml:space="preserve">. | </w:t>
      </w:r>
      <w:r>
        <w:t xml:space="preserve">Schematic of right-running acoustic waves; a, </w:t>
      </w:r>
      <w:r>
        <w:rPr>
          <w:b w:val="0"/>
          <w:bCs w:val="0"/>
        </w:rPr>
        <w:t xml:space="preserve">acoustic waves passing across the boundary between objects A and B; and </w:t>
      </w:r>
      <w:r w:rsidRPr="007A1F3D">
        <w:t>b,</w:t>
      </w:r>
      <w:r>
        <w:rPr>
          <w:b w:val="0"/>
          <w:bCs w:val="0"/>
        </w:rPr>
        <w:t xml:space="preserve"> </w:t>
      </w:r>
      <w:r w:rsidRPr="007A1F3D">
        <w:rPr>
          <w:b w:val="0"/>
          <w:bCs w:val="0"/>
        </w:rPr>
        <w:t xml:space="preserve">Right-running </w:t>
      </w:r>
      <w:r>
        <w:rPr>
          <w:b w:val="0"/>
          <w:bCs w:val="0"/>
        </w:rPr>
        <w:t>acoust</w:t>
      </w:r>
      <w:r w:rsidRPr="007A1F3D">
        <w:rPr>
          <w:b w:val="0"/>
          <w:bCs w:val="0"/>
        </w:rPr>
        <w:t xml:space="preserve">ic waves passing through a hotspot. </w:t>
      </w:r>
      <w:r>
        <w:rPr>
          <w:b w:val="0"/>
          <w:bCs w:val="0"/>
        </w:rPr>
        <w:t xml:space="preserve"> q</w:t>
      </w:r>
      <w:r w:rsidRPr="00033C17">
        <w:rPr>
          <w:b w:val="0"/>
          <w:bCs w:val="0"/>
          <w:vertAlign w:val="subscript"/>
        </w:rPr>
        <w:t>1</w:t>
      </w:r>
      <w:r>
        <w:rPr>
          <w:b w:val="0"/>
          <w:bCs w:val="0"/>
        </w:rPr>
        <w:t xml:space="preserve"> stands for energy flux carried by acoustic waves. </w:t>
      </w:r>
    </w:p>
    <w:p w14:paraId="224293DD" w14:textId="77777777" w:rsidR="00B70E1D" w:rsidRDefault="00B70E1D" w:rsidP="00024D3F">
      <w:pPr>
        <w:pStyle w:val="SMHeading"/>
        <w:rPr>
          <w:noProof/>
        </w:rPr>
      </w:pPr>
    </w:p>
    <w:p w14:paraId="57FD980E" w14:textId="69D40BA0" w:rsidR="00024D3F" w:rsidRPr="009E7712" w:rsidRDefault="00B70E1D" w:rsidP="00024D3F">
      <w:r>
        <w:t xml:space="preserve"> </w:t>
      </w:r>
    </w:p>
    <w:p w14:paraId="36BF423B" w14:textId="77777777" w:rsidR="00024D3F" w:rsidRPr="009E7712" w:rsidRDefault="00024D3F" w:rsidP="00024D3F"/>
    <w:p w14:paraId="15F189D3" w14:textId="48D9FC73" w:rsidR="00B70E1D" w:rsidRDefault="00B70E1D">
      <w:r>
        <w:br w:type="page"/>
      </w:r>
    </w:p>
    <w:p w14:paraId="55BEB504" w14:textId="77777777" w:rsidR="00B70E1D" w:rsidRDefault="00B70E1D" w:rsidP="00024D3F"/>
    <w:p w14:paraId="6CEA93E0" w14:textId="77777777" w:rsidR="00B70E1D" w:rsidRPr="00F44AEE" w:rsidRDefault="00B70E1D" w:rsidP="00B70E1D">
      <w:pPr>
        <w:rPr>
          <w:b/>
          <w:bCs/>
          <w:kern w:val="32"/>
          <w:szCs w:val="24"/>
        </w:rPr>
      </w:pPr>
    </w:p>
    <w:p w14:paraId="625C8F8C" w14:textId="54C22DF3" w:rsidR="00024D3F" w:rsidRPr="009E7712" w:rsidRDefault="00B70E1D" w:rsidP="00B70E1D">
      <w:pPr>
        <w:rPr>
          <w:b/>
          <w:bCs/>
          <w:kern w:val="32"/>
          <w:szCs w:val="24"/>
        </w:rPr>
      </w:pPr>
      <w:r w:rsidRPr="00B70E1D">
        <w:rPr>
          <w:b/>
          <w:bCs/>
          <w:noProof/>
        </w:rPr>
        <w:drawing>
          <wp:anchor distT="0" distB="0" distL="114300" distR="114300" simplePos="0" relativeHeight="251667456" behindDoc="0" locked="0" layoutInCell="1" allowOverlap="1" wp14:anchorId="3F76EF12" wp14:editId="50BE49CC">
            <wp:simplePos x="0" y="0"/>
            <wp:positionH relativeFrom="column">
              <wp:posOffset>1365250</wp:posOffset>
            </wp:positionH>
            <wp:positionV relativeFrom="paragraph">
              <wp:posOffset>0</wp:posOffset>
            </wp:positionV>
            <wp:extent cx="2540000" cy="1257935"/>
            <wp:effectExtent l="0" t="0" r="0" b="0"/>
            <wp:wrapTopAndBottom/>
            <wp:docPr id="565947492" name="Picture 565947492" descr="A picture containing text,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111544" name="Picture 17" descr="A picture containing text, window&#10;&#10;Description automatically generated"/>
                    <pic:cNvPicPr>
                      <a:picLocks noChangeAspect="1"/>
                    </pic:cNvPicPr>
                  </pic:nvPicPr>
                  <pic:blipFill rotWithShape="1">
                    <a:blip r:embed="rId9"/>
                    <a:srcRect r="14079"/>
                    <a:stretch/>
                  </pic:blipFill>
                  <pic:spPr bwMode="auto">
                    <a:xfrm>
                      <a:off x="0" y="0"/>
                      <a:ext cx="2540000" cy="12579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70E1D">
        <w:rPr>
          <w:b/>
          <w:bCs/>
          <w:noProof/>
        </w:rPr>
        <mc:AlternateContent>
          <mc:Choice Requires="wps">
            <w:drawing>
              <wp:anchor distT="0" distB="0" distL="114300" distR="114300" simplePos="0" relativeHeight="251669504" behindDoc="0" locked="0" layoutInCell="1" allowOverlap="1" wp14:anchorId="2F220328" wp14:editId="46DFEC86">
                <wp:simplePos x="0" y="0"/>
                <wp:positionH relativeFrom="column">
                  <wp:posOffset>978535</wp:posOffset>
                </wp:positionH>
                <wp:positionV relativeFrom="paragraph">
                  <wp:posOffset>819785</wp:posOffset>
                </wp:positionV>
                <wp:extent cx="386738" cy="286741"/>
                <wp:effectExtent l="0" t="0" r="0" b="0"/>
                <wp:wrapNone/>
                <wp:docPr id="20585178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38" cy="286741"/>
                        </a:xfrm>
                        <a:prstGeom prst="rect">
                          <a:avLst/>
                        </a:prstGeom>
                        <a:noFill/>
                        <a:ln w="9525">
                          <a:noFill/>
                          <a:miter lim="800000"/>
                          <a:headEnd/>
                          <a:tailEnd/>
                        </a:ln>
                      </wps:spPr>
                      <wps:txbx>
                        <w:txbxContent>
                          <w:p w14:paraId="7740E1FC" w14:textId="77777777" w:rsidR="00B70E1D" w:rsidRPr="00301264" w:rsidRDefault="00B70E1D" w:rsidP="00B70E1D">
                            <w:pPr>
                              <w:spacing w:after="200"/>
                              <w:rPr>
                                <w:rFonts w:ascii="Arial" w:hAnsi="Arial" w:cs="Arial"/>
                                <w:b/>
                                <w:bCs/>
                                <w:color w:val="000000"/>
                                <w:sz w:val="22"/>
                                <w:szCs w:val="22"/>
                              </w:rPr>
                            </w:pPr>
                            <w:r>
                              <w:rPr>
                                <w:rFonts w:ascii="Arial" w:hAnsi="Arial" w:cs="Arial"/>
                                <w:b/>
                                <w:bCs/>
                                <w:color w:val="000000"/>
                                <w:sz w:val="22"/>
                                <w:szCs w:val="22"/>
                              </w:rPr>
                              <w:t>b</w:t>
                            </w:r>
                          </w:p>
                        </w:txbxContent>
                      </wps:txbx>
                      <wps:bodyPr rot="0" vert="horz" wrap="square" lIns="91440" tIns="45720" rIns="91440" bIns="45720" anchor="t" anchorCtr="0">
                        <a:noAutofit/>
                      </wps:bodyPr>
                    </wps:wsp>
                  </a:graphicData>
                </a:graphic>
              </wp:anchor>
            </w:drawing>
          </mc:Choice>
          <mc:Fallback>
            <w:pict>
              <v:shape w14:anchorId="2F220328" id="_x0000_s1028" type="#_x0000_t202" style="position:absolute;margin-left:77.05pt;margin-top:64.55pt;width:30.45pt;height:22.6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" filled="f" stroked="f">
                <v:textbox>
                  <w:txbxContent>
                    <w:p w14:paraId="7740E1FC" w14:textId="77777777" w:rsidR="00B70E1D" w:rsidRPr="00301264" w:rsidRDefault="00B70E1D" w:rsidP="00B70E1D">
                      <w:pPr>
                        <w:spacing w:after="200"/>
                        <w:rPr>
                          <w:rFonts w:ascii="Arial" w:hAnsi="Arial" w:cs="Arial"/>
                          <w:b/>
                          <w:bCs/>
                          <w:color w:val="000000"/>
                          <w:sz w:val="22"/>
                          <w:szCs w:val="22"/>
                        </w:rPr>
                      </w:pPr>
                      <w:r>
                        <w:rPr>
                          <w:rFonts w:ascii="Arial" w:hAnsi="Arial" w:cs="Arial"/>
                          <w:b/>
                          <w:bCs/>
                          <w:color w:val="000000"/>
                          <w:sz w:val="22"/>
                          <w:szCs w:val="22"/>
                        </w:rPr>
                        <w:t>b</w:t>
                      </w:r>
                    </w:p>
                  </w:txbxContent>
                </v:textbox>
              </v:shape>
            </w:pict>
          </mc:Fallback>
        </mc:AlternateContent>
      </w:r>
      <w:r w:rsidRPr="00B70E1D">
        <w:rPr>
          <w:b/>
          <w:bCs/>
          <w:noProof/>
        </w:rPr>
        <mc:AlternateContent>
          <mc:Choice Requires="wps">
            <w:drawing>
              <wp:anchor distT="0" distB="0" distL="114300" distR="114300" simplePos="0" relativeHeight="251668480" behindDoc="0" locked="0" layoutInCell="1" allowOverlap="1" wp14:anchorId="1781A61A" wp14:editId="63CDE99E">
                <wp:simplePos x="0" y="0"/>
                <wp:positionH relativeFrom="column">
                  <wp:posOffset>978535</wp:posOffset>
                </wp:positionH>
                <wp:positionV relativeFrom="paragraph">
                  <wp:posOffset>146685</wp:posOffset>
                </wp:positionV>
                <wp:extent cx="386738" cy="286741"/>
                <wp:effectExtent l="0" t="0" r="0" b="0"/>
                <wp:wrapNone/>
                <wp:docPr id="3836746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38" cy="286741"/>
                        </a:xfrm>
                        <a:prstGeom prst="rect">
                          <a:avLst/>
                        </a:prstGeom>
                        <a:noFill/>
                        <a:ln w="9525">
                          <a:noFill/>
                          <a:miter lim="800000"/>
                          <a:headEnd/>
                          <a:tailEnd/>
                        </a:ln>
                      </wps:spPr>
                      <wps:txbx>
                        <w:txbxContent>
                          <w:p w14:paraId="0F2A82DA" w14:textId="77777777" w:rsidR="00B70E1D" w:rsidRPr="00301264" w:rsidRDefault="00B70E1D" w:rsidP="00B70E1D">
                            <w:pPr>
                              <w:spacing w:after="200"/>
                              <w:rPr>
                                <w:rFonts w:ascii="Arial" w:hAnsi="Arial" w:cs="Arial"/>
                                <w:b/>
                                <w:bCs/>
                                <w:color w:val="000000"/>
                                <w:sz w:val="22"/>
                                <w:szCs w:val="22"/>
                              </w:rPr>
                            </w:pPr>
                            <w:r w:rsidRPr="00301264">
                              <w:rPr>
                                <w:rFonts w:ascii="Arial" w:hAnsi="Arial" w:cs="Arial"/>
                                <w:b/>
                                <w:bCs/>
                                <w:color w:val="000000"/>
                                <w:sz w:val="22"/>
                                <w:szCs w:val="22"/>
                              </w:rPr>
                              <w:t>a</w:t>
                            </w:r>
                          </w:p>
                        </w:txbxContent>
                      </wps:txbx>
                      <wps:bodyPr rot="0" vert="horz" wrap="square" lIns="91440" tIns="45720" rIns="91440" bIns="45720" anchor="t" anchorCtr="0">
                        <a:noAutofit/>
                      </wps:bodyPr>
                    </wps:wsp>
                  </a:graphicData>
                </a:graphic>
              </wp:anchor>
            </w:drawing>
          </mc:Choice>
          <mc:Fallback>
            <w:pict>
              <v:shape w14:anchorId="1781A61A" id="_x0000_s1029" type="#_x0000_t202" style="position:absolute;margin-left:77.05pt;margin-top:11.55pt;width:30.45pt;height:22.6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" filled="f" stroked="f">
                <v:textbox>
                  <w:txbxContent>
                    <w:p w14:paraId="0F2A82DA" w14:textId="77777777" w:rsidR="00B70E1D" w:rsidRPr="00301264" w:rsidRDefault="00B70E1D" w:rsidP="00B70E1D">
                      <w:pPr>
                        <w:spacing w:after="200"/>
                        <w:rPr>
                          <w:rFonts w:ascii="Arial" w:hAnsi="Arial" w:cs="Arial"/>
                          <w:b/>
                          <w:bCs/>
                          <w:color w:val="000000"/>
                          <w:sz w:val="22"/>
                          <w:szCs w:val="22"/>
                        </w:rPr>
                      </w:pPr>
                      <w:r w:rsidRPr="00301264">
                        <w:rPr>
                          <w:rFonts w:ascii="Arial" w:hAnsi="Arial" w:cs="Arial"/>
                          <w:b/>
                          <w:bCs/>
                          <w:color w:val="000000"/>
                          <w:sz w:val="22"/>
                          <w:szCs w:val="22"/>
                        </w:rPr>
                        <w:t>a</w:t>
                      </w:r>
                    </w:p>
                  </w:txbxContent>
                </v:textbox>
              </v:shape>
            </w:pict>
          </mc:Fallback>
        </mc:AlternateContent>
      </w:r>
      <w:r w:rsidRPr="00B70E1D">
        <w:rPr>
          <w:b/>
          <w:bCs/>
        </w:rPr>
        <w:t>Fig. S2.</w:t>
      </w:r>
      <w:r w:rsidRPr="00301264">
        <w:t xml:space="preserve"> |</w:t>
      </w:r>
      <w:r>
        <w:t xml:space="preserve"> </w:t>
      </w:r>
      <w:r w:rsidRPr="00B70E1D">
        <w:rPr>
          <w:b/>
          <w:bCs/>
        </w:rPr>
        <w:t>Schematic of heat waves.</w:t>
      </w:r>
      <w:r>
        <w:t xml:space="preserve"> </w:t>
      </w:r>
      <w:r w:rsidRPr="00B70E1D">
        <w:rPr>
          <w:b/>
          <w:bCs/>
        </w:rPr>
        <w:t>a,</w:t>
      </w:r>
      <w:r w:rsidRPr="00F44AEE">
        <w:t xml:space="preserve"> </w:t>
      </w:r>
      <w:r w:rsidRPr="006D7F33">
        <w:t xml:space="preserve">A group of right running heat waves; and </w:t>
      </w:r>
      <w:r w:rsidRPr="00B70E1D">
        <w:rPr>
          <w:b/>
          <w:bCs/>
        </w:rPr>
        <w:t>b,</w:t>
      </w:r>
      <w:r w:rsidRPr="006D7F33">
        <w:t xml:space="preserve"> Reflection of heat waves at the right boundary.</w:t>
      </w:r>
      <w:r w:rsidRPr="00F44AEE">
        <w:t xml:space="preserve"> </w:t>
      </w:r>
      <w:r w:rsidR="00024D3F" w:rsidRPr="009E7712">
        <w:br w:type="page"/>
      </w:r>
    </w:p>
    <w:p w14:paraId="6357F49C" w14:textId="4237A7AD" w:rsidR="00112C5B" w:rsidRPr="00B047D4" w:rsidRDefault="00112C5B" w:rsidP="00A34BEF">
      <w:pPr>
        <w:pStyle w:val="SMHeading"/>
        <w:spacing w:line="480" w:lineRule="auto"/>
      </w:pPr>
      <w:r w:rsidRPr="00B047D4">
        <w:lastRenderedPageBreak/>
        <w:t>Movie S1</w:t>
      </w:r>
      <w:r w:rsidR="008218C4" w:rsidRPr="00B047D4">
        <w:t>.</w:t>
      </w:r>
    </w:p>
    <w:p w14:paraId="78F5954D" w14:textId="3EF05F4C" w:rsidR="005C46E3" w:rsidRPr="00B047D4" w:rsidRDefault="005C46E3" w:rsidP="00A34BEF">
      <w:pPr>
        <w:pStyle w:val="SMcaption"/>
        <w:spacing w:line="480" w:lineRule="auto"/>
      </w:pPr>
      <w:r w:rsidRPr="00B047D4">
        <w:t>Time history for different components of heat flux in heat-pulse experiment on NaF crystal for Case E with T = 11 ºK.</w:t>
      </w:r>
    </w:p>
    <w:p w14:paraId="08DC9151" w14:textId="68DC46F5" w:rsidR="00C50C6D" w:rsidRPr="00B047D4" w:rsidRDefault="005C46E3" w:rsidP="00A34BEF">
      <w:pPr>
        <w:pStyle w:val="SMcaption"/>
        <w:spacing w:line="480" w:lineRule="auto"/>
      </w:pPr>
      <w:r w:rsidRPr="00B047D4">
        <w:t xml:space="preserve"> </w:t>
      </w:r>
    </w:p>
    <w:p w14:paraId="653653C3" w14:textId="64C3F3F2" w:rsidR="00D45165" w:rsidRPr="00B047D4" w:rsidRDefault="00D45165" w:rsidP="00A34BEF">
      <w:pPr>
        <w:spacing w:line="480" w:lineRule="auto"/>
      </w:pPr>
      <w:r w:rsidRPr="00B047D4">
        <w:br w:type="page"/>
      </w:r>
    </w:p>
    <w:p w14:paraId="4C72802D" w14:textId="2E18A887" w:rsidR="008D4698" w:rsidRPr="00B047D4" w:rsidRDefault="00D45165" w:rsidP="00A34BEF">
      <w:pPr>
        <w:pStyle w:val="SMcaption"/>
        <w:spacing w:line="480" w:lineRule="auto"/>
      </w:pPr>
      <w:r w:rsidRPr="00B047D4">
        <w:rPr>
          <w:b/>
          <w:bCs/>
          <w:szCs w:val="24"/>
        </w:rPr>
        <w:lastRenderedPageBreak/>
        <w:t xml:space="preserve">References </w:t>
      </w:r>
    </w:p>
    <w:p w14:paraId="3AD8398D" w14:textId="77777777" w:rsidR="008D4698" w:rsidRPr="00B047D4" w:rsidRDefault="008D4698" w:rsidP="00A34BEF">
      <w:pPr>
        <w:pStyle w:val="SMcaption"/>
        <w:spacing w:line="480" w:lineRule="auto"/>
      </w:pPr>
    </w:p>
    <w:p w14:paraId="7A69080C" w14:textId="77777777" w:rsidR="006F7F64" w:rsidRPr="006F7F64" w:rsidRDefault="008D4698" w:rsidP="006F7F64">
      <w:pPr>
        <w:pStyle w:val="EndNoteBibliography"/>
        <w:ind w:left="720" w:hanging="720"/>
      </w:pPr>
      <w:r w:rsidRPr="00B047D4">
        <w:fldChar w:fldCharType="begin"/>
      </w:r>
      <w:r w:rsidRPr="00B047D4">
        <w:instrText xml:space="preserve"> ADDIN EN.REFLIST </w:instrText>
      </w:r>
      <w:r w:rsidRPr="00B047D4">
        <w:fldChar w:fldCharType="separate"/>
      </w:r>
      <w:r w:rsidR="006F7F64" w:rsidRPr="006F7F64">
        <w:t>1</w:t>
      </w:r>
      <w:r w:rsidR="006F7F64" w:rsidRPr="006F7F64">
        <w:tab/>
        <w:t xml:space="preserve">Guggenheim, R. H. F. a. E. A. </w:t>
      </w:r>
      <w:r w:rsidR="006F7F64" w:rsidRPr="006F7F64">
        <w:rPr>
          <w:i/>
        </w:rPr>
        <w:t xml:space="preserve">Statistical Thermodynamics </w:t>
      </w:r>
      <w:r w:rsidR="006F7F64" w:rsidRPr="006F7F64">
        <w:t>(Cambridge University Press, 1939).</w:t>
      </w:r>
    </w:p>
    <w:p w14:paraId="3EB4464F" w14:textId="77777777" w:rsidR="006F7F64" w:rsidRPr="006F7F64" w:rsidRDefault="006F7F64" w:rsidP="006F7F64">
      <w:pPr>
        <w:pStyle w:val="EndNoteBibliography"/>
        <w:ind w:left="720" w:hanging="720"/>
      </w:pPr>
      <w:r w:rsidRPr="006F7F64">
        <w:t>2</w:t>
      </w:r>
      <w:r w:rsidRPr="006F7F64">
        <w:tab/>
        <w:t xml:space="preserve">Clausius, R. J. E. On the Motive Power of Fire and the Laws of the Theory of Heat, Which are Deduced from It. </w:t>
      </w:r>
      <w:r w:rsidRPr="006F7F64">
        <w:rPr>
          <w:i/>
        </w:rPr>
        <w:t>Annalen der Physik und Chemie</w:t>
      </w:r>
      <w:r w:rsidRPr="006F7F64">
        <w:t xml:space="preserve"> </w:t>
      </w:r>
      <w:r w:rsidRPr="006F7F64">
        <w:rPr>
          <w:b/>
        </w:rPr>
        <w:t>79</w:t>
      </w:r>
      <w:r w:rsidRPr="006F7F64">
        <w:t xml:space="preserve">, 368 (1850). </w:t>
      </w:r>
    </w:p>
    <w:p w14:paraId="3F3B6A73" w14:textId="77777777" w:rsidR="006F7F64" w:rsidRPr="006F7F64" w:rsidRDefault="006F7F64" w:rsidP="006F7F64">
      <w:pPr>
        <w:pStyle w:val="EndNoteBibliography"/>
        <w:ind w:left="720" w:hanging="720"/>
      </w:pPr>
      <w:r w:rsidRPr="006F7F64">
        <w:t>3</w:t>
      </w:r>
      <w:r w:rsidRPr="006F7F64">
        <w:tab/>
        <w:t xml:space="preserve">Thomson), L. K. W. On the Dynamical Theory of Heat. </w:t>
      </w:r>
      <w:r w:rsidRPr="006F7F64">
        <w:rPr>
          <w:i/>
        </w:rPr>
        <w:t>Transactions of the Royal Society of Edinburgh</w:t>
      </w:r>
      <w:r w:rsidRPr="006F7F64">
        <w:t xml:space="preserve"> </w:t>
      </w:r>
      <w:r w:rsidRPr="006F7F64">
        <w:rPr>
          <w:b/>
        </w:rPr>
        <w:t>i</w:t>
      </w:r>
      <w:r w:rsidRPr="006F7F64">
        <w:t xml:space="preserve">, 174 (1851). </w:t>
      </w:r>
    </w:p>
    <w:p w14:paraId="069F487C" w14:textId="77777777" w:rsidR="006F7F64" w:rsidRPr="006F7F64" w:rsidRDefault="006F7F64" w:rsidP="006F7F64">
      <w:pPr>
        <w:pStyle w:val="EndNoteBibliography"/>
        <w:ind w:left="720" w:hanging="720"/>
      </w:pPr>
      <w:r w:rsidRPr="006F7F64">
        <w:t>4</w:t>
      </w:r>
      <w:r w:rsidRPr="006F7F64">
        <w:tab/>
        <w:t xml:space="preserve">Chen, G. </w:t>
      </w:r>
      <w:r w:rsidRPr="006F7F64">
        <w:rPr>
          <w:i/>
        </w:rPr>
        <w:t>Nanoscale energy transport and conversion</w:t>
      </w:r>
      <w:r w:rsidRPr="006F7F64">
        <w:t>.  (Oxford University Press, 2005).</w:t>
      </w:r>
    </w:p>
    <w:p w14:paraId="6EA212DF" w14:textId="75620548" w:rsidR="006F7F64" w:rsidRPr="006F7F64" w:rsidRDefault="006F7F64" w:rsidP="006F7F64">
      <w:pPr>
        <w:pStyle w:val="EndNoteBibliography"/>
        <w:ind w:left="720" w:hanging="720"/>
      </w:pPr>
      <w:r w:rsidRPr="006F7F64">
        <w:t>5</w:t>
      </w:r>
      <w:r w:rsidRPr="006F7F64">
        <w:tab/>
        <w:t>Huberman, S.</w:t>
      </w:r>
      <w:r w:rsidRPr="006F7F64">
        <w:rPr>
          <w:i/>
        </w:rPr>
        <w:t xml:space="preserve"> et al.</w:t>
      </w:r>
      <w:r w:rsidRPr="006F7F64">
        <w:t xml:space="preserve"> Observation of second sound in graphite at temperatures above 100 K. </w:t>
      </w:r>
      <w:r w:rsidRPr="006F7F64">
        <w:rPr>
          <w:i/>
        </w:rPr>
        <w:t>Science</w:t>
      </w:r>
      <w:r w:rsidRPr="006F7F64">
        <w:t xml:space="preserve"> </w:t>
      </w:r>
      <w:r w:rsidRPr="006F7F64">
        <w:rPr>
          <w:b/>
        </w:rPr>
        <w:t>364</w:t>
      </w:r>
      <w:r w:rsidRPr="006F7F64">
        <w:t xml:space="preserve">, 375-+ (2019). </w:t>
      </w:r>
      <w:hyperlink r:id="rId10" w:history="1">
        <w:r w:rsidRPr="006F7F64">
          <w:rPr>
            <w:rStyle w:val="Hyperlink"/>
          </w:rPr>
          <w:t>https://doi.org:10.1126/science.aav3548</w:t>
        </w:r>
      </w:hyperlink>
    </w:p>
    <w:p w14:paraId="4F054BD5" w14:textId="1C31E4F9" w:rsidR="006F7F64" w:rsidRPr="006F7F64" w:rsidRDefault="006F7F64" w:rsidP="006F7F64">
      <w:pPr>
        <w:pStyle w:val="EndNoteBibliography"/>
        <w:ind w:left="720" w:hanging="720"/>
      </w:pPr>
      <w:r w:rsidRPr="006F7F64">
        <w:t>6</w:t>
      </w:r>
      <w:r w:rsidRPr="006F7F64">
        <w:tab/>
        <w:t>Ding, Z. W.</w:t>
      </w:r>
      <w:r w:rsidRPr="006F7F64">
        <w:rPr>
          <w:i/>
        </w:rPr>
        <w:t xml:space="preserve"> et al.</w:t>
      </w:r>
      <w:r w:rsidRPr="006F7F64">
        <w:t xml:space="preserve"> Observation of second sound in graphite over 200 K. </w:t>
      </w:r>
      <w:r w:rsidRPr="006F7F64">
        <w:rPr>
          <w:i/>
        </w:rPr>
        <w:t>Nat Commun</w:t>
      </w:r>
      <w:r w:rsidRPr="006F7F64">
        <w:t xml:space="preserve"> </w:t>
      </w:r>
      <w:r w:rsidRPr="006F7F64">
        <w:rPr>
          <w:b/>
        </w:rPr>
        <w:t>13</w:t>
      </w:r>
      <w:r w:rsidRPr="006F7F64">
        <w:t xml:space="preserve"> (2022). </w:t>
      </w:r>
      <w:hyperlink r:id="rId11" w:history="1">
        <w:r w:rsidRPr="006F7F64">
          <w:rPr>
            <w:rStyle w:val="Hyperlink"/>
          </w:rPr>
          <w:t>https://doi.org:10.1038/s41467-021-27907-z</w:t>
        </w:r>
      </w:hyperlink>
    </w:p>
    <w:p w14:paraId="10BF7DE9" w14:textId="5ABAE58D" w:rsidR="00B9440A" w:rsidRPr="00015F74" w:rsidRDefault="008D4698" w:rsidP="00A34BEF">
      <w:pPr>
        <w:pStyle w:val="SMcaption"/>
        <w:spacing w:line="480" w:lineRule="auto"/>
      </w:pPr>
      <w:r w:rsidRPr="00B047D4">
        <w:fldChar w:fldCharType="end"/>
      </w:r>
    </w:p>
    <w:sectPr w:rsidR="00B9440A" w:rsidRPr="00015F74" w:rsidSect="00E853D5">
      <w:headerReference w:type="default" r:id="rId12"/>
      <w:footerReference w:type="default" r:id="rId1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AE460" w14:textId="77777777" w:rsidR="00AF25BA" w:rsidRDefault="00AF25BA">
      <w:r>
        <w:separator/>
      </w:r>
    </w:p>
  </w:endnote>
  <w:endnote w:type="continuationSeparator" w:id="0">
    <w:p w14:paraId="29BCA14B" w14:textId="77777777" w:rsidR="00AF25BA" w:rsidRDefault="00AF2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F8207C" w14:textId="77777777" w:rsidR="00AF25BA" w:rsidRDefault="00AF25BA">
      <w:r>
        <w:separator/>
      </w:r>
    </w:p>
  </w:footnote>
  <w:footnote w:type="continuationSeparator" w:id="0">
    <w:p w14:paraId="32A239BC" w14:textId="77777777" w:rsidR="00AF25BA" w:rsidRDefault="00AF25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9F58BF"/>
    <w:multiLevelType w:val="hybridMultilevel"/>
    <w:tmpl w:val="1B0E46A0"/>
    <w:lvl w:ilvl="0" w:tplc="090675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42796278">
    <w:abstractNumId w:val="9"/>
  </w:num>
  <w:num w:numId="2" w16cid:durableId="1388921362">
    <w:abstractNumId w:val="7"/>
  </w:num>
  <w:num w:numId="3" w16cid:durableId="552035742">
    <w:abstractNumId w:val="6"/>
  </w:num>
  <w:num w:numId="4" w16cid:durableId="748381877">
    <w:abstractNumId w:val="5"/>
  </w:num>
  <w:num w:numId="5" w16cid:durableId="1419597494">
    <w:abstractNumId w:val="4"/>
  </w:num>
  <w:num w:numId="6" w16cid:durableId="473108779">
    <w:abstractNumId w:val="8"/>
  </w:num>
  <w:num w:numId="7" w16cid:durableId="325476729">
    <w:abstractNumId w:val="3"/>
  </w:num>
  <w:num w:numId="8" w16cid:durableId="1775320888">
    <w:abstractNumId w:val="2"/>
  </w:num>
  <w:num w:numId="9" w16cid:durableId="1414008578">
    <w:abstractNumId w:val="1"/>
  </w:num>
  <w:num w:numId="10" w16cid:durableId="226041621">
    <w:abstractNumId w:val="0"/>
  </w:num>
  <w:num w:numId="11" w16cid:durableId="11949271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xwp5tsv7sea2ce0a9upzexpw0tpszpasvfx&quot;&gt;Heat_Transfer-Converted&lt;record-ids&gt;&lt;item&gt;165&lt;/item&gt;&lt;item&gt;1175&lt;/item&gt;&lt;item&gt;1176&lt;/item&gt;&lt;item&gt;1179&lt;/item&gt;&lt;item&gt;1180&lt;/item&gt;&lt;item&gt;1215&lt;/item&gt;&lt;/record-ids&gt;&lt;/item&gt;&lt;/Libraries&gt;"/>
  </w:docVars>
  <w:rsids>
    <w:rsidRoot w:val="002C030F"/>
    <w:rsid w:val="00015F74"/>
    <w:rsid w:val="00024D3F"/>
    <w:rsid w:val="00031282"/>
    <w:rsid w:val="00044E33"/>
    <w:rsid w:val="00054136"/>
    <w:rsid w:val="00055F98"/>
    <w:rsid w:val="00065EBD"/>
    <w:rsid w:val="00083B44"/>
    <w:rsid w:val="000850DC"/>
    <w:rsid w:val="0008682E"/>
    <w:rsid w:val="000A3A5D"/>
    <w:rsid w:val="000B49D2"/>
    <w:rsid w:val="000C2771"/>
    <w:rsid w:val="000C573E"/>
    <w:rsid w:val="000D46F4"/>
    <w:rsid w:val="000E0B46"/>
    <w:rsid w:val="000F0DCE"/>
    <w:rsid w:val="000F6BE3"/>
    <w:rsid w:val="000F766A"/>
    <w:rsid w:val="00100FA4"/>
    <w:rsid w:val="00107F63"/>
    <w:rsid w:val="00112C5B"/>
    <w:rsid w:val="00114193"/>
    <w:rsid w:val="0011445B"/>
    <w:rsid w:val="00115A38"/>
    <w:rsid w:val="0011687B"/>
    <w:rsid w:val="00124F82"/>
    <w:rsid w:val="0014373F"/>
    <w:rsid w:val="001519B8"/>
    <w:rsid w:val="00153161"/>
    <w:rsid w:val="001575E6"/>
    <w:rsid w:val="00162A81"/>
    <w:rsid w:val="0016337A"/>
    <w:rsid w:val="00164269"/>
    <w:rsid w:val="0016563A"/>
    <w:rsid w:val="00170E6A"/>
    <w:rsid w:val="00173BF2"/>
    <w:rsid w:val="0017537D"/>
    <w:rsid w:val="00190216"/>
    <w:rsid w:val="001A1BDE"/>
    <w:rsid w:val="001A3F0C"/>
    <w:rsid w:val="001B06DB"/>
    <w:rsid w:val="001E128D"/>
    <w:rsid w:val="001E1957"/>
    <w:rsid w:val="001F0876"/>
    <w:rsid w:val="001F167C"/>
    <w:rsid w:val="001F1A39"/>
    <w:rsid w:val="001F3932"/>
    <w:rsid w:val="001F5E91"/>
    <w:rsid w:val="002077B9"/>
    <w:rsid w:val="002203C6"/>
    <w:rsid w:val="00220F64"/>
    <w:rsid w:val="00243238"/>
    <w:rsid w:val="002617AB"/>
    <w:rsid w:val="00262D72"/>
    <w:rsid w:val="00264D18"/>
    <w:rsid w:val="00273BC1"/>
    <w:rsid w:val="00292513"/>
    <w:rsid w:val="0029474A"/>
    <w:rsid w:val="00294FBB"/>
    <w:rsid w:val="002B5804"/>
    <w:rsid w:val="002C030F"/>
    <w:rsid w:val="002C1FCB"/>
    <w:rsid w:val="002E31F0"/>
    <w:rsid w:val="002E4F1A"/>
    <w:rsid w:val="003227A1"/>
    <w:rsid w:val="00325892"/>
    <w:rsid w:val="00331D75"/>
    <w:rsid w:val="00337714"/>
    <w:rsid w:val="00346EC5"/>
    <w:rsid w:val="00352FAC"/>
    <w:rsid w:val="00355362"/>
    <w:rsid w:val="00363E44"/>
    <w:rsid w:val="003650BD"/>
    <w:rsid w:val="00395E86"/>
    <w:rsid w:val="00395FB9"/>
    <w:rsid w:val="003A1DF2"/>
    <w:rsid w:val="003A2FD8"/>
    <w:rsid w:val="003A56BF"/>
    <w:rsid w:val="003B40E6"/>
    <w:rsid w:val="003E74FB"/>
    <w:rsid w:val="003F30BA"/>
    <w:rsid w:val="003F5E90"/>
    <w:rsid w:val="003F6E14"/>
    <w:rsid w:val="003F7CA5"/>
    <w:rsid w:val="00402CF4"/>
    <w:rsid w:val="00402F48"/>
    <w:rsid w:val="00403D2C"/>
    <w:rsid w:val="00405336"/>
    <w:rsid w:val="00422664"/>
    <w:rsid w:val="00434B36"/>
    <w:rsid w:val="00452045"/>
    <w:rsid w:val="004571D5"/>
    <w:rsid w:val="00461D81"/>
    <w:rsid w:val="0046356B"/>
    <w:rsid w:val="00463AB3"/>
    <w:rsid w:val="00477182"/>
    <w:rsid w:val="004779CB"/>
    <w:rsid w:val="00480952"/>
    <w:rsid w:val="00491E47"/>
    <w:rsid w:val="004E2630"/>
    <w:rsid w:val="004E42D8"/>
    <w:rsid w:val="004E7BA2"/>
    <w:rsid w:val="004F7EDF"/>
    <w:rsid w:val="005001AC"/>
    <w:rsid w:val="00513F91"/>
    <w:rsid w:val="00522966"/>
    <w:rsid w:val="00525289"/>
    <w:rsid w:val="00527D71"/>
    <w:rsid w:val="005520A8"/>
    <w:rsid w:val="005607DD"/>
    <w:rsid w:val="005657A0"/>
    <w:rsid w:val="005726B9"/>
    <w:rsid w:val="00585B14"/>
    <w:rsid w:val="005902AD"/>
    <w:rsid w:val="005940CB"/>
    <w:rsid w:val="005A2918"/>
    <w:rsid w:val="005A558C"/>
    <w:rsid w:val="005C1377"/>
    <w:rsid w:val="005C46E3"/>
    <w:rsid w:val="005E28F8"/>
    <w:rsid w:val="005E43AA"/>
    <w:rsid w:val="005E61C3"/>
    <w:rsid w:val="005E6513"/>
    <w:rsid w:val="005F41DF"/>
    <w:rsid w:val="005F536E"/>
    <w:rsid w:val="00630499"/>
    <w:rsid w:val="006357F6"/>
    <w:rsid w:val="00642D9F"/>
    <w:rsid w:val="00650A9F"/>
    <w:rsid w:val="00651114"/>
    <w:rsid w:val="00663ECD"/>
    <w:rsid w:val="00664560"/>
    <w:rsid w:val="00670299"/>
    <w:rsid w:val="00687B98"/>
    <w:rsid w:val="00691985"/>
    <w:rsid w:val="006A1B64"/>
    <w:rsid w:val="006A4AE1"/>
    <w:rsid w:val="006A6483"/>
    <w:rsid w:val="006B024D"/>
    <w:rsid w:val="006B268C"/>
    <w:rsid w:val="006C59FB"/>
    <w:rsid w:val="006C7264"/>
    <w:rsid w:val="006E1951"/>
    <w:rsid w:val="006F6C7F"/>
    <w:rsid w:val="006F7F64"/>
    <w:rsid w:val="00704695"/>
    <w:rsid w:val="00704D34"/>
    <w:rsid w:val="007108F5"/>
    <w:rsid w:val="00713E5B"/>
    <w:rsid w:val="00720A93"/>
    <w:rsid w:val="007246E0"/>
    <w:rsid w:val="00733B39"/>
    <w:rsid w:val="007402FC"/>
    <w:rsid w:val="007411A1"/>
    <w:rsid w:val="00763558"/>
    <w:rsid w:val="00772343"/>
    <w:rsid w:val="00784DCC"/>
    <w:rsid w:val="00784E98"/>
    <w:rsid w:val="00793072"/>
    <w:rsid w:val="007936E1"/>
    <w:rsid w:val="007969C4"/>
    <w:rsid w:val="007A3B23"/>
    <w:rsid w:val="007B5EBF"/>
    <w:rsid w:val="007B7012"/>
    <w:rsid w:val="007C4548"/>
    <w:rsid w:val="007C5B63"/>
    <w:rsid w:val="007C5F1F"/>
    <w:rsid w:val="007F33C1"/>
    <w:rsid w:val="00807D35"/>
    <w:rsid w:val="008139D2"/>
    <w:rsid w:val="008152D9"/>
    <w:rsid w:val="008218C4"/>
    <w:rsid w:val="0083457E"/>
    <w:rsid w:val="00842079"/>
    <w:rsid w:val="0084407E"/>
    <w:rsid w:val="00867A98"/>
    <w:rsid w:val="00870867"/>
    <w:rsid w:val="00885C9B"/>
    <w:rsid w:val="00894035"/>
    <w:rsid w:val="0089758C"/>
    <w:rsid w:val="008B019C"/>
    <w:rsid w:val="008C0EF7"/>
    <w:rsid w:val="008D0D35"/>
    <w:rsid w:val="008D1FA4"/>
    <w:rsid w:val="008D31A7"/>
    <w:rsid w:val="008D4698"/>
    <w:rsid w:val="008D5D2A"/>
    <w:rsid w:val="008E1C55"/>
    <w:rsid w:val="00911FEC"/>
    <w:rsid w:val="00914B63"/>
    <w:rsid w:val="0092651C"/>
    <w:rsid w:val="00926634"/>
    <w:rsid w:val="00927F0D"/>
    <w:rsid w:val="00932B1E"/>
    <w:rsid w:val="009331A2"/>
    <w:rsid w:val="009354F3"/>
    <w:rsid w:val="009447DC"/>
    <w:rsid w:val="009570CB"/>
    <w:rsid w:val="00957F62"/>
    <w:rsid w:val="00961BA5"/>
    <w:rsid w:val="00970611"/>
    <w:rsid w:val="009743A9"/>
    <w:rsid w:val="00976DCD"/>
    <w:rsid w:val="00977315"/>
    <w:rsid w:val="00982EA8"/>
    <w:rsid w:val="009839F0"/>
    <w:rsid w:val="009945A2"/>
    <w:rsid w:val="00996964"/>
    <w:rsid w:val="00997928"/>
    <w:rsid w:val="009A5287"/>
    <w:rsid w:val="009B2AC5"/>
    <w:rsid w:val="009B7984"/>
    <w:rsid w:val="009C69B6"/>
    <w:rsid w:val="009E7712"/>
    <w:rsid w:val="009F09EF"/>
    <w:rsid w:val="009F3106"/>
    <w:rsid w:val="009F4BED"/>
    <w:rsid w:val="009F7D93"/>
    <w:rsid w:val="00A006D3"/>
    <w:rsid w:val="00A212FE"/>
    <w:rsid w:val="00A22981"/>
    <w:rsid w:val="00A33EE7"/>
    <w:rsid w:val="00A3403B"/>
    <w:rsid w:val="00A34BEF"/>
    <w:rsid w:val="00A51A12"/>
    <w:rsid w:val="00A627D4"/>
    <w:rsid w:val="00A66F1F"/>
    <w:rsid w:val="00A74DA2"/>
    <w:rsid w:val="00A81613"/>
    <w:rsid w:val="00AA2DEE"/>
    <w:rsid w:val="00AB399E"/>
    <w:rsid w:val="00AC59D0"/>
    <w:rsid w:val="00AD16B1"/>
    <w:rsid w:val="00AD499C"/>
    <w:rsid w:val="00AE7A34"/>
    <w:rsid w:val="00AE7BF5"/>
    <w:rsid w:val="00AE7DD2"/>
    <w:rsid w:val="00AF09CE"/>
    <w:rsid w:val="00AF25BA"/>
    <w:rsid w:val="00B0071D"/>
    <w:rsid w:val="00B047D4"/>
    <w:rsid w:val="00B15D05"/>
    <w:rsid w:val="00B210D3"/>
    <w:rsid w:val="00B27BA9"/>
    <w:rsid w:val="00B3186E"/>
    <w:rsid w:val="00B36869"/>
    <w:rsid w:val="00B43B31"/>
    <w:rsid w:val="00B47CFA"/>
    <w:rsid w:val="00B56FCE"/>
    <w:rsid w:val="00B57F00"/>
    <w:rsid w:val="00B64B87"/>
    <w:rsid w:val="00B70E1D"/>
    <w:rsid w:val="00B77616"/>
    <w:rsid w:val="00B77B2A"/>
    <w:rsid w:val="00B77D73"/>
    <w:rsid w:val="00B82C22"/>
    <w:rsid w:val="00B87299"/>
    <w:rsid w:val="00B931A2"/>
    <w:rsid w:val="00B9374B"/>
    <w:rsid w:val="00B93DBA"/>
    <w:rsid w:val="00B9440A"/>
    <w:rsid w:val="00BB2D2A"/>
    <w:rsid w:val="00BC3E04"/>
    <w:rsid w:val="00BD58CF"/>
    <w:rsid w:val="00BD7E43"/>
    <w:rsid w:val="00BF0C92"/>
    <w:rsid w:val="00BF6A83"/>
    <w:rsid w:val="00C04CC1"/>
    <w:rsid w:val="00C1436B"/>
    <w:rsid w:val="00C14761"/>
    <w:rsid w:val="00C17BFA"/>
    <w:rsid w:val="00C3083B"/>
    <w:rsid w:val="00C4096C"/>
    <w:rsid w:val="00C4388B"/>
    <w:rsid w:val="00C50C6D"/>
    <w:rsid w:val="00C600D9"/>
    <w:rsid w:val="00C605B3"/>
    <w:rsid w:val="00C63E81"/>
    <w:rsid w:val="00C76C5B"/>
    <w:rsid w:val="00C8145F"/>
    <w:rsid w:val="00C860B3"/>
    <w:rsid w:val="00C92B22"/>
    <w:rsid w:val="00CC1384"/>
    <w:rsid w:val="00CC564E"/>
    <w:rsid w:val="00CD3720"/>
    <w:rsid w:val="00CE5D6E"/>
    <w:rsid w:val="00CE5E6C"/>
    <w:rsid w:val="00CF1848"/>
    <w:rsid w:val="00CF3DB2"/>
    <w:rsid w:val="00CF5C2F"/>
    <w:rsid w:val="00D039FD"/>
    <w:rsid w:val="00D04BCF"/>
    <w:rsid w:val="00D05851"/>
    <w:rsid w:val="00D143D9"/>
    <w:rsid w:val="00D1544C"/>
    <w:rsid w:val="00D20DB7"/>
    <w:rsid w:val="00D32950"/>
    <w:rsid w:val="00D45165"/>
    <w:rsid w:val="00D5511B"/>
    <w:rsid w:val="00D61E8C"/>
    <w:rsid w:val="00D63093"/>
    <w:rsid w:val="00D70A60"/>
    <w:rsid w:val="00D72DA3"/>
    <w:rsid w:val="00D766F1"/>
    <w:rsid w:val="00D82BA5"/>
    <w:rsid w:val="00D832EE"/>
    <w:rsid w:val="00D83C9B"/>
    <w:rsid w:val="00DA7151"/>
    <w:rsid w:val="00DB23AC"/>
    <w:rsid w:val="00DB425E"/>
    <w:rsid w:val="00DE6FFA"/>
    <w:rsid w:val="00E077A9"/>
    <w:rsid w:val="00E13677"/>
    <w:rsid w:val="00E146A7"/>
    <w:rsid w:val="00E257C8"/>
    <w:rsid w:val="00E36A45"/>
    <w:rsid w:val="00E372E3"/>
    <w:rsid w:val="00E41512"/>
    <w:rsid w:val="00E4519A"/>
    <w:rsid w:val="00E529D5"/>
    <w:rsid w:val="00E734BB"/>
    <w:rsid w:val="00E81994"/>
    <w:rsid w:val="00E853D5"/>
    <w:rsid w:val="00E97215"/>
    <w:rsid w:val="00E9773B"/>
    <w:rsid w:val="00EA6F42"/>
    <w:rsid w:val="00EA7221"/>
    <w:rsid w:val="00EB0DDD"/>
    <w:rsid w:val="00EB4C56"/>
    <w:rsid w:val="00EB6DBC"/>
    <w:rsid w:val="00EC13A3"/>
    <w:rsid w:val="00EC6E9D"/>
    <w:rsid w:val="00EC7C85"/>
    <w:rsid w:val="00EF63E7"/>
    <w:rsid w:val="00F01E3C"/>
    <w:rsid w:val="00F125EE"/>
    <w:rsid w:val="00F12E98"/>
    <w:rsid w:val="00F1365D"/>
    <w:rsid w:val="00F22029"/>
    <w:rsid w:val="00F23C5F"/>
    <w:rsid w:val="00F3347F"/>
    <w:rsid w:val="00F34ECD"/>
    <w:rsid w:val="00F4427B"/>
    <w:rsid w:val="00F515FB"/>
    <w:rsid w:val="00F630EA"/>
    <w:rsid w:val="00F67DE5"/>
    <w:rsid w:val="00F7007E"/>
    <w:rsid w:val="00F73193"/>
    <w:rsid w:val="00F735C8"/>
    <w:rsid w:val="00F74F95"/>
    <w:rsid w:val="00F80705"/>
    <w:rsid w:val="00F84BD9"/>
    <w:rsid w:val="00FA1481"/>
    <w:rsid w:val="00FA2191"/>
    <w:rsid w:val="00FA5374"/>
    <w:rsid w:val="00FA664A"/>
    <w:rsid w:val="00FB3B2D"/>
    <w:rsid w:val="00FD0636"/>
    <w:rsid w:val="00FD7127"/>
    <w:rsid w:val="00FE1EF2"/>
    <w:rsid w:val="00FF0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597622"/>
  <w15:docId w15:val="{21E343B1-9CC0-49F8-9219-D56B3C2AC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605B3"/>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uiPriority w:val="35"/>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styleId="Revision">
    <w:name w:val="Revision"/>
    <w:hidden/>
    <w:uiPriority w:val="99"/>
    <w:semiHidden/>
    <w:rsid w:val="003227A1"/>
    <w:rPr>
      <w:sz w:val="24"/>
    </w:rPr>
  </w:style>
  <w:style w:type="paragraph" w:customStyle="1" w:styleId="Authors">
    <w:name w:val="Authors"/>
    <w:basedOn w:val="Normal"/>
    <w:rsid w:val="00B77D73"/>
    <w:pPr>
      <w:spacing w:before="120" w:after="360"/>
      <w:jc w:val="center"/>
    </w:pPr>
    <w:rPr>
      <w:szCs w:val="24"/>
    </w:rPr>
  </w:style>
  <w:style w:type="paragraph" w:customStyle="1" w:styleId="Teaser">
    <w:name w:val="Teaser"/>
    <w:basedOn w:val="Normal"/>
    <w:link w:val="TeaserChar"/>
    <w:rsid w:val="008D4698"/>
    <w:pPr>
      <w:spacing w:before="120"/>
    </w:pPr>
    <w:rPr>
      <w:szCs w:val="24"/>
    </w:rPr>
  </w:style>
  <w:style w:type="character" w:customStyle="1" w:styleId="TeaserChar">
    <w:name w:val="Teaser Char"/>
    <w:basedOn w:val="DefaultParagraphFont"/>
    <w:link w:val="Teaser"/>
    <w:rsid w:val="008D4698"/>
    <w:rPr>
      <w:sz w:val="24"/>
      <w:szCs w:val="24"/>
    </w:rPr>
  </w:style>
  <w:style w:type="paragraph" w:customStyle="1" w:styleId="EndNoteBibliographyTitle">
    <w:name w:val="EndNote Bibliography Title"/>
    <w:basedOn w:val="Normal"/>
    <w:link w:val="EndNoteBibliographyTitleChar"/>
    <w:rsid w:val="008D4698"/>
    <w:pPr>
      <w:jc w:val="center"/>
    </w:pPr>
    <w:rPr>
      <w:noProof/>
    </w:rPr>
  </w:style>
  <w:style w:type="character" w:customStyle="1" w:styleId="EndNoteBibliographyTitleChar">
    <w:name w:val="EndNote Bibliography Title Char"/>
    <w:basedOn w:val="TeaserChar"/>
    <w:link w:val="EndNoteBibliographyTitle"/>
    <w:rsid w:val="008D4698"/>
    <w:rPr>
      <w:noProof/>
      <w:sz w:val="24"/>
      <w:szCs w:val="24"/>
    </w:rPr>
  </w:style>
  <w:style w:type="paragraph" w:customStyle="1" w:styleId="EndNoteBibliography">
    <w:name w:val="EndNote Bibliography"/>
    <w:basedOn w:val="Normal"/>
    <w:link w:val="EndNoteBibliographyChar"/>
    <w:rsid w:val="008D4698"/>
    <w:rPr>
      <w:noProof/>
    </w:rPr>
  </w:style>
  <w:style w:type="character" w:customStyle="1" w:styleId="EndNoteBibliographyChar">
    <w:name w:val="EndNote Bibliography Char"/>
    <w:basedOn w:val="TeaserChar"/>
    <w:link w:val="EndNoteBibliography"/>
    <w:rsid w:val="008D4698"/>
    <w:rPr>
      <w:noProof/>
      <w:sz w:val="24"/>
      <w:szCs w:val="24"/>
    </w:rPr>
  </w:style>
  <w:style w:type="table" w:styleId="TableGrid">
    <w:name w:val="Table Grid"/>
    <w:basedOn w:val="TableNormal"/>
    <w:uiPriority w:val="59"/>
    <w:rsid w:val="008D31A7"/>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stractSummary">
    <w:name w:val="Abstract/Summary"/>
    <w:basedOn w:val="Normal"/>
    <w:rsid w:val="00894035"/>
    <w:pPr>
      <w:spacing w:before="120"/>
    </w:pPr>
    <w:rPr>
      <w:szCs w:val="24"/>
    </w:rPr>
  </w:style>
  <w:style w:type="paragraph" w:customStyle="1" w:styleId="Articletype">
    <w:name w:val="Article type"/>
    <w:basedOn w:val="Normal"/>
    <w:rsid w:val="00CF3DB2"/>
    <w:pPr>
      <w:spacing w:before="120"/>
    </w:pPr>
    <w:rPr>
      <w:szCs w:val="24"/>
    </w:rPr>
  </w:style>
  <w:style w:type="paragraph" w:customStyle="1" w:styleId="Paragraph">
    <w:name w:val="Paragraph"/>
    <w:basedOn w:val="Normal"/>
    <w:rsid w:val="00EB6DBC"/>
    <w:pPr>
      <w:spacing w:before="120"/>
      <w:ind w:firstLine="7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yma5@ucmerced.edu"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38/s41467-021-27907-z"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doi.org:10.1126/science.aav3548" TargetMode="External"/><Relationship Id="rId4" Type="http://schemas.openxmlformats.org/officeDocument/2006/relationships/webSettings" Target="webSettings.xml"/><Relationship Id="rId9" Type="http://schemas.openxmlformats.org/officeDocument/2006/relationships/image" Target="media/image2.ti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209</TotalTime>
  <Pages>10</Pages>
  <Words>2479</Words>
  <Characters>14136</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16582</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dc:description/>
  <cp:lastModifiedBy>Yanbao Ma</cp:lastModifiedBy>
  <cp:revision>13</cp:revision>
  <cp:lastPrinted>2018-01-11T19:53:00Z</cp:lastPrinted>
  <dcterms:created xsi:type="dcterms:W3CDTF">2023-07-12T23:26:00Z</dcterms:created>
  <dcterms:modified xsi:type="dcterms:W3CDTF">2023-08-08T23:06:00Z</dcterms:modified>
</cp:coreProperties>
</file>