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D1E27" w14:textId="77777777" w:rsidR="00FD0494" w:rsidRPr="008A6ECF" w:rsidRDefault="00FD0494" w:rsidP="00FD0494">
      <w:pPr>
        <w:spacing w:line="480" w:lineRule="auto"/>
        <w:jc w:val="center"/>
        <w:rPr>
          <w:b/>
          <w:sz w:val="28"/>
        </w:rPr>
      </w:pPr>
      <w:bookmarkStart w:id="0" w:name="_Hlk100058815"/>
      <w:bookmarkEnd w:id="0"/>
      <w:r w:rsidRPr="008A6ECF">
        <w:rPr>
          <w:b/>
          <w:sz w:val="28"/>
        </w:rPr>
        <w:t xml:space="preserve">Effect of </w:t>
      </w:r>
      <w:r>
        <w:rPr>
          <w:b/>
          <w:sz w:val="28"/>
        </w:rPr>
        <w:t>Solid-Electrolyte</w:t>
      </w:r>
      <w:r w:rsidRPr="008A6ECF">
        <w:rPr>
          <w:b/>
          <w:sz w:val="28"/>
        </w:rPr>
        <w:t xml:space="preserve"> Pellet Density on Failure of Solid-State </w:t>
      </w:r>
      <w:r>
        <w:rPr>
          <w:b/>
          <w:sz w:val="28"/>
        </w:rPr>
        <w:t>B</w:t>
      </w:r>
      <w:r w:rsidRPr="008A6ECF">
        <w:rPr>
          <w:b/>
          <w:sz w:val="28"/>
        </w:rPr>
        <w:t>atteries</w:t>
      </w:r>
    </w:p>
    <w:p w14:paraId="6B8A7A2F" w14:textId="341B8175" w:rsidR="00FD0494" w:rsidRPr="008A6ECF" w:rsidRDefault="00FD0494" w:rsidP="00FD0494">
      <w:pPr>
        <w:spacing w:line="480" w:lineRule="auto"/>
        <w:ind w:right="180" w:firstLine="180"/>
        <w:jc w:val="center"/>
        <w:rPr>
          <w:vertAlign w:val="superscript"/>
        </w:rPr>
      </w:pPr>
      <w:r w:rsidRPr="008A6ECF">
        <w:t xml:space="preserve">Mouhamad S. </w:t>
      </w:r>
      <w:proofErr w:type="spellStart"/>
      <w:r w:rsidRPr="008A6ECF">
        <w:t>Diallo</w:t>
      </w:r>
      <w:r w:rsidRPr="008A6ECF">
        <w:rPr>
          <w:vertAlign w:val="superscript"/>
        </w:rPr>
        <w:t>a</w:t>
      </w:r>
      <w:proofErr w:type="spellEnd"/>
      <w:r w:rsidRPr="008A6ECF">
        <w:rPr>
          <w:vertAlign w:val="superscript"/>
        </w:rPr>
        <w:t>†</w:t>
      </w:r>
      <w:r w:rsidRPr="008A6ECF">
        <w:t>, Tan Shi</w:t>
      </w:r>
      <w:r w:rsidRPr="008A6ECF">
        <w:rPr>
          <w:vertAlign w:val="superscript"/>
        </w:rPr>
        <w:t>a</w:t>
      </w:r>
      <w:r w:rsidRPr="008A6ECF">
        <w:t>, Yaqian Zhang</w:t>
      </w:r>
      <w:r w:rsidRPr="008A6ECF">
        <w:rPr>
          <w:vertAlign w:val="superscript"/>
        </w:rPr>
        <w:t xml:space="preserve"> a</w:t>
      </w:r>
      <w:r w:rsidRPr="008A6ECF">
        <w:t xml:space="preserve">, </w:t>
      </w:r>
      <w:proofErr w:type="spellStart"/>
      <w:r w:rsidRPr="008A6ECF">
        <w:t>Xinxing</w:t>
      </w:r>
      <w:proofErr w:type="spellEnd"/>
      <w:r w:rsidRPr="008A6ECF">
        <w:t xml:space="preserve"> Peng</w:t>
      </w:r>
      <w:r w:rsidRPr="008A6ECF">
        <w:rPr>
          <w:vertAlign w:val="superscript"/>
        </w:rPr>
        <w:t xml:space="preserve"> a</w:t>
      </w:r>
      <w:r w:rsidRPr="008A6ECF">
        <w:t xml:space="preserve">, </w:t>
      </w:r>
      <w:r w:rsidR="00C57247">
        <w:t xml:space="preserve">Imtiaz </w:t>
      </w:r>
      <w:proofErr w:type="spellStart"/>
      <w:r w:rsidR="00C57247">
        <w:t>Shozib</w:t>
      </w:r>
      <w:r w:rsidRPr="008A6ECF">
        <w:rPr>
          <w:vertAlign w:val="superscript"/>
        </w:rPr>
        <w:t>e</w:t>
      </w:r>
      <w:proofErr w:type="spellEnd"/>
      <w:r w:rsidRPr="008A6ECF">
        <w:t>, Yan Wang</w:t>
      </w:r>
      <w:r w:rsidRPr="008A6ECF">
        <w:rPr>
          <w:vertAlign w:val="superscript"/>
        </w:rPr>
        <w:t xml:space="preserve"> d</w:t>
      </w:r>
      <w:r w:rsidRPr="008A6ECF">
        <w:t xml:space="preserve">, Lincoln J. </w:t>
      </w:r>
      <w:proofErr w:type="spellStart"/>
      <w:r w:rsidRPr="008A6ECF">
        <w:t>Miara</w:t>
      </w:r>
      <w:r w:rsidRPr="008A6ECF">
        <w:rPr>
          <w:vertAlign w:val="superscript"/>
        </w:rPr>
        <w:t>d</w:t>
      </w:r>
      <w:proofErr w:type="spellEnd"/>
      <w:r w:rsidRPr="008A6ECF">
        <w:t xml:space="preserve">, </w:t>
      </w:r>
      <w:r>
        <w:t>Mary</w:t>
      </w:r>
      <w:r w:rsidRPr="008A6ECF">
        <w:t xml:space="preserve"> C. </w:t>
      </w:r>
      <w:proofErr w:type="spellStart"/>
      <w:r w:rsidRPr="008A6ECF">
        <w:t>Scott</w:t>
      </w:r>
      <w:r w:rsidRPr="008A6ECF">
        <w:rPr>
          <w:vertAlign w:val="superscript"/>
        </w:rPr>
        <w:t>a,c</w:t>
      </w:r>
      <w:proofErr w:type="spellEnd"/>
      <w:r w:rsidRPr="008A6ECF">
        <w:t xml:space="preserve">, </w:t>
      </w:r>
      <w:r w:rsidR="00A90830" w:rsidRPr="008A6ECF">
        <w:rPr>
          <w:lang w:eastAsia="zh-CN"/>
        </w:rPr>
        <w:t>How</w:t>
      </w:r>
      <w:r w:rsidR="00A90830" w:rsidRPr="008A6ECF">
        <w:t xml:space="preserve">ard </w:t>
      </w:r>
      <w:proofErr w:type="spellStart"/>
      <w:r w:rsidR="00A90830" w:rsidRPr="008A6ECF">
        <w:t>Qingsong</w:t>
      </w:r>
      <w:proofErr w:type="spellEnd"/>
      <w:r w:rsidR="00A90830" w:rsidRPr="008A6ECF">
        <w:t xml:space="preserve"> </w:t>
      </w:r>
      <w:proofErr w:type="spellStart"/>
      <w:r w:rsidR="00A90830" w:rsidRPr="008A6ECF">
        <w:t>Tu</w:t>
      </w:r>
      <w:r w:rsidR="00A90830" w:rsidRPr="008A6ECF">
        <w:rPr>
          <w:vertAlign w:val="superscript"/>
        </w:rPr>
        <w:t>b,e</w:t>
      </w:r>
      <w:proofErr w:type="spellEnd"/>
      <w:r w:rsidR="00A90830" w:rsidRPr="008A6ECF">
        <w:rPr>
          <w:vertAlign w:val="superscript"/>
        </w:rPr>
        <w:t>,†,*</w:t>
      </w:r>
      <w:r w:rsidR="00A90830" w:rsidRPr="008A6ECF">
        <w:t>,</w:t>
      </w:r>
      <w:r w:rsidR="00A90830">
        <w:t xml:space="preserve"> </w:t>
      </w:r>
      <w:r w:rsidRPr="008A6ECF">
        <w:t xml:space="preserve">Gerbrand </w:t>
      </w:r>
      <w:proofErr w:type="spellStart"/>
      <w:r w:rsidRPr="008A6ECF">
        <w:t>Ceder</w:t>
      </w:r>
      <w:r w:rsidRPr="008A6ECF">
        <w:rPr>
          <w:vertAlign w:val="superscript"/>
        </w:rPr>
        <w:t>a,b</w:t>
      </w:r>
      <w:proofErr w:type="spellEnd"/>
      <w:r w:rsidRPr="008A6ECF">
        <w:rPr>
          <w:vertAlign w:val="superscript"/>
        </w:rPr>
        <w:t>,*</w:t>
      </w:r>
    </w:p>
    <w:p w14:paraId="3A7E49DF" w14:textId="77777777" w:rsidR="00FD0494" w:rsidRPr="008A6ECF" w:rsidRDefault="00FD0494" w:rsidP="00FD0494">
      <w:pPr>
        <w:spacing w:line="480" w:lineRule="auto"/>
      </w:pPr>
      <w:r w:rsidRPr="008A6ECF">
        <w:t>a. Department of Materials Science and Engineering, University of California, Berkeley, CA 94720, USA</w:t>
      </w:r>
    </w:p>
    <w:p w14:paraId="19E4BFF6" w14:textId="77777777" w:rsidR="00FD0494" w:rsidRPr="008A6ECF" w:rsidRDefault="00FD0494" w:rsidP="00FD0494">
      <w:pPr>
        <w:spacing w:line="480" w:lineRule="auto"/>
        <w:jc w:val="both"/>
      </w:pPr>
      <w:r w:rsidRPr="008A6ECF">
        <w:t>b. Materials Sciences Division, Lawrence Berkeley National Laboratory, Berkeley, CA 94720, USA</w:t>
      </w:r>
    </w:p>
    <w:p w14:paraId="77A512EF" w14:textId="77777777" w:rsidR="00FD0494" w:rsidRPr="008A6ECF" w:rsidRDefault="00FD0494" w:rsidP="00FD0494">
      <w:pPr>
        <w:spacing w:line="480" w:lineRule="auto"/>
        <w:jc w:val="both"/>
      </w:pPr>
      <w:r w:rsidRPr="008A6ECF">
        <w:t>c. National Center for Electron Microscopy, Molecular Foundry, Lawrence Berkeley National Laboratory, 1 Cyclotron Road, Berkeley, California 94720, USA</w:t>
      </w:r>
    </w:p>
    <w:p w14:paraId="12D46179" w14:textId="77777777" w:rsidR="00FD0494" w:rsidRPr="008A6ECF" w:rsidRDefault="00FD0494" w:rsidP="00FD0494">
      <w:pPr>
        <w:spacing w:line="480" w:lineRule="auto"/>
        <w:jc w:val="both"/>
      </w:pPr>
      <w:r w:rsidRPr="008A6ECF">
        <w:t>d. Advanced Materials Lab, Samsung Advanced Institute of Technology-America, Samsung Semiconductor Inc., Cambridge, MA 02138, USA</w:t>
      </w:r>
    </w:p>
    <w:p w14:paraId="78AC222A" w14:textId="77777777" w:rsidR="00FD0494" w:rsidRPr="008A6ECF" w:rsidRDefault="00FD0494" w:rsidP="00FD0494">
      <w:pPr>
        <w:spacing w:after="96" w:line="480" w:lineRule="auto"/>
        <w:jc w:val="both"/>
      </w:pPr>
      <w:r w:rsidRPr="008A6ECF">
        <w:rPr>
          <w:rFonts w:eastAsia="Cambria"/>
        </w:rPr>
        <w:t xml:space="preserve">e. </w:t>
      </w:r>
      <w:r w:rsidRPr="008A6ECF">
        <w:rPr>
          <w:rFonts w:eastAsiaTheme="minorEastAsia"/>
        </w:rPr>
        <w:t>Department of Mechanical Engineering, Rochester Institute of Technology,</w:t>
      </w:r>
      <w:r w:rsidRPr="008A6ECF">
        <w:t xml:space="preserve"> </w:t>
      </w:r>
      <w:r w:rsidRPr="008A6ECF">
        <w:rPr>
          <w:rFonts w:eastAsiaTheme="minorEastAsia"/>
        </w:rPr>
        <w:t>Rochester, New York 14623, United States</w:t>
      </w:r>
    </w:p>
    <w:p w14:paraId="4323CAD9" w14:textId="77777777" w:rsidR="006F2B4D" w:rsidRDefault="006F2B4D" w:rsidP="006F2B4D">
      <w:pPr>
        <w:rPr>
          <w:rFonts w:asciiTheme="minorHAnsi" w:hAnsiTheme="minorHAnsi" w:cstheme="minorBidi"/>
          <w:sz w:val="22"/>
          <w:szCs w:val="22"/>
        </w:rPr>
      </w:pPr>
    </w:p>
    <w:p w14:paraId="4F29B20F" w14:textId="77777777" w:rsidR="006F2B4D" w:rsidRDefault="006F2B4D" w:rsidP="006F2B4D"/>
    <w:p w14:paraId="0DA0D161" w14:textId="77777777" w:rsidR="006F2B4D" w:rsidRDefault="006F2B4D" w:rsidP="006F2B4D">
      <w:r>
        <w:rPr>
          <w:vertAlign w:val="superscript"/>
        </w:rPr>
        <w:t>†</w:t>
      </w:r>
      <w:r>
        <w:t>Co-authorship</w:t>
      </w:r>
    </w:p>
    <w:p w14:paraId="6D8D273D" w14:textId="77777777" w:rsidR="006F2B4D" w:rsidRDefault="006F2B4D" w:rsidP="006F2B4D">
      <w:pPr>
        <w:spacing w:line="240" w:lineRule="auto"/>
        <w:jc w:val="both"/>
      </w:pPr>
      <w:r>
        <w:rPr>
          <w:vertAlign w:val="superscript"/>
        </w:rPr>
        <w:t>*</w:t>
      </w:r>
      <w:r>
        <w:t>Corresponding author: Prof.</w:t>
      </w:r>
      <w:r w:rsidRPr="004211D4">
        <w:t xml:space="preserve"> </w:t>
      </w:r>
      <w:r>
        <w:t xml:space="preserve">Gerbrand Ceder (Email: </w:t>
      </w:r>
      <w:r w:rsidRPr="00471585">
        <w:t>gceder@berkeley.edu</w:t>
      </w:r>
      <w:r>
        <w:t xml:space="preserve">), </w:t>
      </w:r>
    </w:p>
    <w:p w14:paraId="5B27476B" w14:textId="23657D51" w:rsidR="006F2B4D" w:rsidRPr="00373E79" w:rsidRDefault="006F2B4D" w:rsidP="006F2B4D">
      <w:pPr>
        <w:spacing w:line="480" w:lineRule="auto"/>
        <w:ind w:left="1440" w:firstLine="720"/>
        <w:jc w:val="both"/>
        <w:rPr>
          <w:lang w:val="fr-FR"/>
        </w:rPr>
      </w:pPr>
      <w:r>
        <w:t xml:space="preserve">   </w:t>
      </w:r>
      <w:proofErr w:type="spellStart"/>
      <w:r w:rsidRPr="00373E79">
        <w:rPr>
          <w:lang w:val="fr-FR"/>
        </w:rPr>
        <w:t>Qingsong</w:t>
      </w:r>
      <w:proofErr w:type="spellEnd"/>
      <w:r w:rsidRPr="00373E79">
        <w:rPr>
          <w:lang w:val="fr-FR"/>
        </w:rPr>
        <w:t xml:space="preserve"> Tu (</w:t>
      </w:r>
      <w:proofErr w:type="gramStart"/>
      <w:r w:rsidR="00F84AE3" w:rsidRPr="00373E79">
        <w:rPr>
          <w:lang w:val="fr-FR"/>
        </w:rPr>
        <w:t>Email</w:t>
      </w:r>
      <w:proofErr w:type="gramEnd"/>
      <w:r w:rsidR="00F84AE3" w:rsidRPr="00373E79">
        <w:rPr>
          <w:lang w:val="fr-FR"/>
        </w:rPr>
        <w:t xml:space="preserve"> :</w:t>
      </w:r>
      <w:r w:rsidRPr="00373E79">
        <w:rPr>
          <w:lang w:val="fr-FR"/>
        </w:rPr>
        <w:t xml:space="preserve"> howard.tu@rit.edu)</w:t>
      </w:r>
    </w:p>
    <w:p w14:paraId="0CEBC23E" w14:textId="77777777" w:rsidR="006F2B4D" w:rsidRPr="00420D6E" w:rsidRDefault="006F2B4D" w:rsidP="006F2B4D">
      <w:r w:rsidRPr="00420D6E">
        <w:t>Lead contact</w:t>
      </w:r>
      <w:r>
        <w:t>: Prof.</w:t>
      </w:r>
      <w:r w:rsidRPr="004211D4">
        <w:t xml:space="preserve"> </w:t>
      </w:r>
      <w:r>
        <w:t xml:space="preserve">Gerbrand Ceder (Email: </w:t>
      </w:r>
      <w:r w:rsidRPr="00471585">
        <w:t>gceder@berkeley.edu</w:t>
      </w:r>
      <w:r>
        <w:t>)</w:t>
      </w:r>
    </w:p>
    <w:p w14:paraId="57176A4A" w14:textId="7EA7A2D6" w:rsidR="00A8558A" w:rsidRDefault="00A8558A" w:rsidP="003054CC">
      <w:pPr>
        <w:spacing w:line="259" w:lineRule="auto"/>
      </w:pPr>
    </w:p>
    <w:p w14:paraId="001ED612" w14:textId="3A071A6D" w:rsidR="00FD0494" w:rsidRDefault="00FD0494" w:rsidP="003054CC">
      <w:pPr>
        <w:spacing w:line="259" w:lineRule="auto"/>
      </w:pPr>
    </w:p>
    <w:p w14:paraId="3D8D8FAE" w14:textId="77777777" w:rsidR="00FD0494" w:rsidRDefault="00FD0494" w:rsidP="003054CC">
      <w:pPr>
        <w:spacing w:line="259" w:lineRule="auto"/>
      </w:pPr>
    </w:p>
    <w:p w14:paraId="425846C8" w14:textId="77777777" w:rsidR="00A8558A" w:rsidRDefault="00A8558A" w:rsidP="003054CC">
      <w:pPr>
        <w:spacing w:line="259" w:lineRule="auto"/>
      </w:pPr>
    </w:p>
    <w:p w14:paraId="0AFF8314" w14:textId="408C33A6" w:rsidR="00A8558A" w:rsidRDefault="00A8558A" w:rsidP="00A8558A">
      <w:pPr>
        <w:pStyle w:val="ListParagraph"/>
        <w:numPr>
          <w:ilvl w:val="0"/>
          <w:numId w:val="13"/>
        </w:numPr>
        <w:spacing w:line="259" w:lineRule="auto"/>
        <w:ind w:left="360"/>
        <w:rPr>
          <w:b/>
        </w:rPr>
      </w:pPr>
      <w:r w:rsidRPr="00A8558A">
        <w:rPr>
          <w:b/>
        </w:rPr>
        <w:lastRenderedPageBreak/>
        <w:t xml:space="preserve">The experimental setup and the house-designed cell making </w:t>
      </w:r>
      <w:proofErr w:type="gramStart"/>
      <w:r w:rsidRPr="00A8558A">
        <w:rPr>
          <w:b/>
        </w:rPr>
        <w:t>toolkit</w:t>
      </w:r>
      <w:proofErr w:type="gramEnd"/>
    </w:p>
    <w:p w14:paraId="5DA63873" w14:textId="6ADFF496" w:rsidR="007D4999" w:rsidRPr="007D4999" w:rsidRDefault="007D4999" w:rsidP="007D4999">
      <w:pPr>
        <w:spacing w:line="480" w:lineRule="auto"/>
        <w:ind w:firstLine="360"/>
        <w:rPr>
          <w:bCs/>
        </w:rPr>
      </w:pPr>
      <w:r w:rsidRPr="007D4999">
        <w:rPr>
          <w:bCs/>
        </w:rPr>
        <w:t xml:space="preserve">Cells are assembled in a small PEEK tube (Figure SI-1a-b). SE (LPS) is first pressed in a PEEK small tube at different pressure, then Lithium metal is pressed at both </w:t>
      </w:r>
      <w:proofErr w:type="gramStart"/>
      <w:r w:rsidRPr="007D4999">
        <w:rPr>
          <w:bCs/>
        </w:rPr>
        <w:t>side</w:t>
      </w:r>
      <w:proofErr w:type="gramEnd"/>
      <w:r w:rsidRPr="007D4999">
        <w:rPr>
          <w:bCs/>
        </w:rPr>
        <w:t xml:space="preserve"> of the SE. Copper foils are then placed on both end of the Li-metal electrodes and then, stainless steel rods are used to press the cell. The cell is then placed in a testing setup (Figure SI-1c) which has a spring to control the stack pressure. </w:t>
      </w:r>
      <w:proofErr w:type="gramStart"/>
      <w:r w:rsidRPr="007D4999">
        <w:rPr>
          <w:bCs/>
        </w:rPr>
        <w:t>the</w:t>
      </w:r>
      <w:proofErr w:type="gramEnd"/>
      <w:r w:rsidRPr="007D4999">
        <w:rPr>
          <w:bCs/>
        </w:rPr>
        <w:t xml:space="preserve"> testing setup is then encapsulated in a sealed container to ensure the cell is running in an inert environment.</w:t>
      </w:r>
    </w:p>
    <w:p w14:paraId="761914A7" w14:textId="5D5B19F4" w:rsidR="00A8558A" w:rsidRDefault="003054CC" w:rsidP="00F06D92">
      <w:pPr>
        <w:spacing w:line="259" w:lineRule="auto"/>
        <w:jc w:val="center"/>
      </w:pPr>
      <w:r w:rsidRPr="003054CC">
        <w:rPr>
          <w:noProof/>
          <w:lang w:eastAsia="zh-CN"/>
        </w:rPr>
        <w:drawing>
          <wp:inline distT="0" distB="0" distL="0" distR="0" wp14:anchorId="6202FE8F" wp14:editId="7EC23141">
            <wp:extent cx="5943600" cy="2463133"/>
            <wp:effectExtent l="0" t="0" r="0" b="0"/>
            <wp:docPr id="4" name="Picture 4" descr="C:\Users\qhteme\gDrive\research\papers\Ing_0 - Li penetration in percolating pores in solid electrolytes\figures\figure SI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hteme\gDrive\research\papers\Ing_0 - Li penetration in percolating pores in solid electrolytes\figures\figure SI_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463133"/>
                    </a:xfrm>
                    <a:prstGeom prst="rect">
                      <a:avLst/>
                    </a:prstGeom>
                    <a:noFill/>
                    <a:ln>
                      <a:noFill/>
                    </a:ln>
                  </pic:spPr>
                </pic:pic>
              </a:graphicData>
            </a:graphic>
          </wp:inline>
        </w:drawing>
      </w:r>
    </w:p>
    <w:p w14:paraId="139ED551" w14:textId="6C191AD8" w:rsidR="00124FEC" w:rsidRPr="00C961AE" w:rsidRDefault="00D4158E" w:rsidP="00A96A19">
      <w:pPr>
        <w:spacing w:line="480" w:lineRule="auto"/>
        <w:jc w:val="center"/>
        <w:rPr>
          <w:sz w:val="22"/>
        </w:rPr>
      </w:pPr>
      <w:r w:rsidRPr="000E4C9F">
        <w:rPr>
          <w:b/>
          <w:sz w:val="22"/>
        </w:rPr>
        <w:t>Figure SI-</w:t>
      </w:r>
      <w:r w:rsidR="00E21966" w:rsidRPr="000E4C9F">
        <w:rPr>
          <w:b/>
          <w:sz w:val="22"/>
        </w:rPr>
        <w:t>1</w:t>
      </w:r>
      <w:r w:rsidRPr="000E4C9F">
        <w:rPr>
          <w:b/>
          <w:sz w:val="22"/>
        </w:rPr>
        <w:t>.</w:t>
      </w:r>
      <w:r w:rsidRPr="00C961AE">
        <w:rPr>
          <w:sz w:val="22"/>
        </w:rPr>
        <w:t xml:space="preserve"> </w:t>
      </w:r>
      <w:r w:rsidR="00E21966" w:rsidRPr="00C961AE">
        <w:rPr>
          <w:sz w:val="22"/>
        </w:rPr>
        <w:t>The experimental setup and</w:t>
      </w:r>
      <w:r w:rsidR="009706FA">
        <w:rPr>
          <w:sz w:val="22"/>
        </w:rPr>
        <w:t xml:space="preserve"> the</w:t>
      </w:r>
      <w:r w:rsidR="00E21966" w:rsidRPr="00C961AE">
        <w:rPr>
          <w:sz w:val="22"/>
        </w:rPr>
        <w:t xml:space="preserve"> </w:t>
      </w:r>
      <w:r w:rsidR="009706FA">
        <w:rPr>
          <w:sz w:val="22"/>
        </w:rPr>
        <w:t>house-designed cell-making toolkit</w:t>
      </w:r>
      <w:r w:rsidRPr="00C961AE">
        <w:rPr>
          <w:sz w:val="22"/>
        </w:rPr>
        <w:t>.</w:t>
      </w:r>
    </w:p>
    <w:p w14:paraId="3B64EE45" w14:textId="5438B504" w:rsidR="00124FEC" w:rsidRDefault="00124FEC" w:rsidP="00A96A19">
      <w:pPr>
        <w:spacing w:line="480" w:lineRule="auto"/>
        <w:jc w:val="center"/>
      </w:pPr>
    </w:p>
    <w:p w14:paraId="1E854EE5" w14:textId="7B306501" w:rsidR="003E1D55" w:rsidRDefault="003E1D55" w:rsidP="00A96A19">
      <w:pPr>
        <w:spacing w:line="480" w:lineRule="auto"/>
        <w:jc w:val="center"/>
      </w:pPr>
    </w:p>
    <w:p w14:paraId="0A9FD1F3" w14:textId="3046110C" w:rsidR="003E1D55" w:rsidRDefault="003E1D55" w:rsidP="00A96A19">
      <w:pPr>
        <w:spacing w:line="480" w:lineRule="auto"/>
        <w:jc w:val="center"/>
      </w:pPr>
    </w:p>
    <w:p w14:paraId="0B08D4ED" w14:textId="6CDD3A39" w:rsidR="003E1D55" w:rsidRDefault="003E1D55" w:rsidP="00A96A19">
      <w:pPr>
        <w:spacing w:line="480" w:lineRule="auto"/>
        <w:jc w:val="center"/>
      </w:pPr>
    </w:p>
    <w:p w14:paraId="7E0F8A66" w14:textId="353D6843" w:rsidR="003E1D55" w:rsidRDefault="003E1D55" w:rsidP="00A96A19">
      <w:pPr>
        <w:spacing w:line="480" w:lineRule="auto"/>
        <w:jc w:val="center"/>
      </w:pPr>
    </w:p>
    <w:p w14:paraId="015E54E8" w14:textId="77777777" w:rsidR="003E1D55" w:rsidRDefault="003E1D55" w:rsidP="007D4999">
      <w:pPr>
        <w:spacing w:line="480" w:lineRule="auto"/>
      </w:pPr>
    </w:p>
    <w:p w14:paraId="5513A4D3" w14:textId="77026401" w:rsidR="00DF14D0" w:rsidRDefault="00DF14D0" w:rsidP="00DF14D0">
      <w:pPr>
        <w:pStyle w:val="ListParagraph"/>
        <w:numPr>
          <w:ilvl w:val="0"/>
          <w:numId w:val="12"/>
        </w:numPr>
        <w:spacing w:line="480" w:lineRule="auto"/>
        <w:ind w:left="360" w:right="270"/>
        <w:jc w:val="both"/>
        <w:rPr>
          <w:b/>
        </w:rPr>
      </w:pPr>
      <w:r w:rsidRPr="004F42E9">
        <w:rPr>
          <w:b/>
        </w:rPr>
        <w:lastRenderedPageBreak/>
        <w:t>The deformation of cell diameter due to fabrication pressure</w:t>
      </w:r>
    </w:p>
    <w:p w14:paraId="4DBE2728" w14:textId="4BDEC7D3" w:rsidR="006A2ECF" w:rsidRDefault="005852A4" w:rsidP="00C10509">
      <w:pPr>
        <w:spacing w:line="480" w:lineRule="auto"/>
        <w:ind w:firstLine="360"/>
        <w:jc w:val="both"/>
        <w:rPr>
          <w:rFonts w:eastAsiaTheme="minorEastAsia"/>
        </w:rPr>
      </w:pPr>
      <w:r>
        <w:t xml:space="preserve">The material for the die to make the LPS pellet is PEEK, </w:t>
      </w:r>
      <w:r w:rsidR="006A2ECF">
        <w:t>which is s</w:t>
      </w:r>
      <w:r w:rsidR="006A2ECF" w:rsidRPr="008A6ECF">
        <w:t>ubject</w:t>
      </w:r>
      <w:r w:rsidR="006A2ECF">
        <w:t>ed</w:t>
      </w:r>
      <w:r w:rsidR="006A2ECF" w:rsidRPr="008A6ECF">
        <w:t xml:space="preserve"> to </w:t>
      </w:r>
      <w:r w:rsidR="006A2ECF" w:rsidRPr="008A6ECF">
        <w:rPr>
          <w:lang w:eastAsia="zh-CN"/>
        </w:rPr>
        <w:t>non-negligible plastic deformation (</w:t>
      </w:r>
      <m:oMath>
        <m:r>
          <m:rPr>
            <m:sty m:val="p"/>
          </m:rPr>
          <w:rPr>
            <w:rFonts w:ascii="Cambria Math" w:hAnsi="Cambria Math"/>
            <w:lang w:eastAsia="zh-CN"/>
          </w:rPr>
          <m:t>6%–8%</m:t>
        </m:r>
      </m:oMath>
      <w:r w:rsidR="006A2ECF" w:rsidRPr="008A6ECF">
        <w:rPr>
          <w:lang w:eastAsia="zh-CN"/>
        </w:rPr>
        <w:t>) under high uniaxial pressures; therefore, the final cell diameter (</w:t>
      </w:r>
      <m:oMath>
        <m:r>
          <m:rPr>
            <m:sty m:val="p"/>
          </m:rPr>
          <w:rPr>
            <w:rFonts w:ascii="Cambria Math" w:hAnsi="Cambria Math"/>
            <w:lang w:eastAsia="zh-CN"/>
          </w:rPr>
          <m:t>~6.8 mm</m:t>
        </m:r>
      </m:oMath>
      <w:r w:rsidR="006A2ECF" w:rsidRPr="008A6ECF">
        <w:rPr>
          <w:lang w:eastAsia="zh-CN"/>
        </w:rPr>
        <w:t>)</w:t>
      </w:r>
      <w:r w:rsidR="006A2ECF">
        <w:rPr>
          <w:lang w:eastAsia="zh-CN"/>
        </w:rPr>
        <w:t>,</w:t>
      </w:r>
      <w:r w:rsidR="006A2ECF" w:rsidRPr="008A6ECF">
        <w:rPr>
          <w:lang w:eastAsia="zh-CN"/>
        </w:rPr>
        <w:t xml:space="preserve"> instead of the initial value (</w:t>
      </w:r>
      <m:oMath>
        <m:r>
          <m:rPr>
            <m:sty m:val="p"/>
          </m:rPr>
          <w:rPr>
            <w:rFonts w:ascii="Cambria Math" w:hAnsi="Cambria Math"/>
            <w:lang w:eastAsia="zh-CN"/>
          </w:rPr>
          <m:t>6.35 mm</m:t>
        </m:r>
      </m:oMath>
      <w:r w:rsidR="006A2ECF" w:rsidRPr="008A6ECF">
        <w:rPr>
          <w:lang w:eastAsia="zh-CN"/>
        </w:rPr>
        <w:t>)</w:t>
      </w:r>
      <w:r w:rsidR="006A2ECF">
        <w:rPr>
          <w:lang w:eastAsia="zh-CN"/>
        </w:rPr>
        <w:t>,</w:t>
      </w:r>
      <w:r w:rsidR="006A2ECF" w:rsidRPr="008A6ECF">
        <w:rPr>
          <w:lang w:eastAsia="zh-CN"/>
        </w:rPr>
        <w:t xml:space="preserve"> </w:t>
      </w:r>
      <w:r w:rsidR="006A2ECF">
        <w:rPr>
          <w:lang w:eastAsia="zh-CN"/>
        </w:rPr>
        <w:t>is</w:t>
      </w:r>
      <w:r w:rsidR="006A2ECF" w:rsidRPr="008A6ECF">
        <w:rPr>
          <w:lang w:eastAsia="zh-CN"/>
        </w:rPr>
        <w:t xml:space="preserve"> used for the calculation of density and conductivity (Figure 1d), with detailed calculation in </w:t>
      </w:r>
      <w:r w:rsidR="006A2ECF" w:rsidRPr="008A6ECF">
        <w:rPr>
          <w:i/>
        </w:rPr>
        <w:t>Figure SI-2</w:t>
      </w:r>
      <w:r w:rsidR="006A2ECF" w:rsidRPr="008A6ECF">
        <w:rPr>
          <w:lang w:eastAsia="zh-CN"/>
        </w:rPr>
        <w:t>.</w:t>
      </w:r>
    </w:p>
    <w:p w14:paraId="35BD29A8" w14:textId="2A4254DB" w:rsidR="000E4C9F" w:rsidRDefault="002C61BB" w:rsidP="00C10509">
      <w:pPr>
        <w:spacing w:line="480" w:lineRule="auto"/>
        <w:ind w:firstLine="360"/>
        <w:jc w:val="both"/>
        <w:rPr>
          <w:rFonts w:eastAsiaTheme="minorEastAsia"/>
        </w:rPr>
      </w:pPr>
      <w:r>
        <w:rPr>
          <w:rFonts w:eastAsiaTheme="minorEastAsia"/>
        </w:rPr>
        <w:t>.</w:t>
      </w:r>
      <w:r w:rsidR="0040152B">
        <w:rPr>
          <w:rFonts w:eastAsiaTheme="minorEastAsia"/>
        </w:rPr>
        <w:t xml:space="preserve"> This was then used to calculate the relative density of </w:t>
      </w:r>
      <w:r w:rsidR="006A2ECF">
        <w:rPr>
          <w:rFonts w:eastAsiaTheme="minorEastAsia"/>
        </w:rPr>
        <w:t>high-pressure</w:t>
      </w:r>
      <w:r w:rsidR="0040152B">
        <w:rPr>
          <w:rFonts w:eastAsiaTheme="minorEastAsia"/>
        </w:rPr>
        <w:t xml:space="preserve"> cells.</w:t>
      </w:r>
    </w:p>
    <w:p w14:paraId="43590BE5" w14:textId="72F1C533" w:rsidR="002C61BB" w:rsidRDefault="003E1D55" w:rsidP="005852A4">
      <w:pPr>
        <w:spacing w:line="480" w:lineRule="auto"/>
        <w:ind w:firstLine="360"/>
        <w:jc w:val="both"/>
      </w:pPr>
      <w:r w:rsidRPr="003E1D55">
        <w:rPr>
          <w:noProof/>
          <w:lang w:eastAsia="zh-CN"/>
        </w:rPr>
        <w:drawing>
          <wp:inline distT="0" distB="0" distL="0" distR="0" wp14:anchorId="0C203CF4" wp14:editId="08C04C38">
            <wp:extent cx="5943600" cy="2170813"/>
            <wp:effectExtent l="0" t="0" r="0" b="0"/>
            <wp:docPr id="5" name="Picture 5" descr="C:\Users\qhteme\gDrive\research\papers\Ing_0 - Li penetration in percolating pores in solid electrolytes\figures\figure SI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hteme\gDrive\research\papers\Ing_0 - Li penetration in percolating pores in solid electrolytes\figures\figure SI_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170813"/>
                    </a:xfrm>
                    <a:prstGeom prst="rect">
                      <a:avLst/>
                    </a:prstGeom>
                    <a:noFill/>
                    <a:ln>
                      <a:noFill/>
                    </a:ln>
                  </pic:spPr>
                </pic:pic>
              </a:graphicData>
            </a:graphic>
          </wp:inline>
        </w:drawing>
      </w:r>
    </w:p>
    <w:p w14:paraId="08798C0E" w14:textId="2988B7E0" w:rsidR="000E4C9F" w:rsidRDefault="00DF14D0" w:rsidP="00F86753">
      <w:pPr>
        <w:spacing w:line="480" w:lineRule="auto"/>
        <w:ind w:left="360" w:right="360"/>
        <w:jc w:val="both"/>
        <w:rPr>
          <w:sz w:val="22"/>
        </w:rPr>
      </w:pPr>
      <w:r w:rsidRPr="000E4C9F">
        <w:rPr>
          <w:b/>
          <w:sz w:val="22"/>
        </w:rPr>
        <w:t>Figure SI-2.</w:t>
      </w:r>
      <w:r w:rsidRPr="000E4C9F">
        <w:rPr>
          <w:sz w:val="22"/>
        </w:rPr>
        <w:t xml:space="preserve"> The</w:t>
      </w:r>
      <w:r w:rsidR="00D55D9E">
        <w:rPr>
          <w:sz w:val="22"/>
        </w:rPr>
        <w:t xml:space="preserve"> change of</w:t>
      </w:r>
      <w:r w:rsidRPr="000E4C9F">
        <w:rPr>
          <w:sz w:val="22"/>
        </w:rPr>
        <w:t xml:space="preserve"> LPS</w:t>
      </w:r>
      <w:r w:rsidR="00D55D9E">
        <w:rPr>
          <w:sz w:val="22"/>
        </w:rPr>
        <w:t xml:space="preserve"> diameter </w:t>
      </w:r>
      <w:proofErr w:type="gramStart"/>
      <w:r w:rsidR="00D55D9E">
        <w:rPr>
          <w:sz w:val="22"/>
        </w:rPr>
        <w:t>due</w:t>
      </w:r>
      <w:proofErr w:type="gramEnd"/>
      <w:r w:rsidR="00D55D9E">
        <w:rPr>
          <w:sz w:val="22"/>
        </w:rPr>
        <w:t xml:space="preserve"> to deformation of the toolkit under high fabrication pressure. </w:t>
      </w:r>
      <w:r w:rsidR="00F86753">
        <w:rPr>
          <w:sz w:val="22"/>
        </w:rPr>
        <w:t xml:space="preserve">(a) </w:t>
      </w:r>
      <w:r w:rsidR="007A54D9">
        <w:rPr>
          <w:sz w:val="22"/>
        </w:rPr>
        <w:t>The</w:t>
      </w:r>
      <w:r w:rsidR="00F86753">
        <w:rPr>
          <w:sz w:val="22"/>
        </w:rPr>
        <w:t xml:space="preserve"> shape of each </w:t>
      </w:r>
      <w:proofErr w:type="gramStart"/>
      <w:r w:rsidR="00F86753">
        <w:rPr>
          <w:sz w:val="22"/>
        </w:rPr>
        <w:t>parts</w:t>
      </w:r>
      <w:proofErr w:type="gramEnd"/>
      <w:r w:rsidR="00F86753">
        <w:rPr>
          <w:sz w:val="22"/>
        </w:rPr>
        <w:t xml:space="preserve"> under fabrication pressure 700MPa; (b) the LPS diameters as a function of the fabrication pressure.</w:t>
      </w:r>
    </w:p>
    <w:p w14:paraId="5F7F7C75" w14:textId="38D66D4B" w:rsidR="00DF14D0" w:rsidRDefault="00DF14D0" w:rsidP="00A96A19">
      <w:pPr>
        <w:spacing w:line="480" w:lineRule="auto"/>
        <w:jc w:val="center"/>
        <w:rPr>
          <w:sz w:val="22"/>
        </w:rPr>
      </w:pPr>
    </w:p>
    <w:p w14:paraId="152BB974" w14:textId="49765D7F" w:rsidR="00DF14D0" w:rsidRDefault="00DF14D0" w:rsidP="00A96A19">
      <w:pPr>
        <w:spacing w:line="480" w:lineRule="auto"/>
        <w:jc w:val="center"/>
        <w:rPr>
          <w:sz w:val="22"/>
        </w:rPr>
      </w:pPr>
    </w:p>
    <w:p w14:paraId="5CEDC07B" w14:textId="5AEE2CD2" w:rsidR="00DF14D0" w:rsidRDefault="00DF14D0" w:rsidP="00A96A19">
      <w:pPr>
        <w:spacing w:line="480" w:lineRule="auto"/>
        <w:jc w:val="center"/>
      </w:pPr>
    </w:p>
    <w:p w14:paraId="7E3A662D" w14:textId="216ED026" w:rsidR="003E0754" w:rsidRDefault="003E0754" w:rsidP="00A96A19">
      <w:pPr>
        <w:spacing w:line="480" w:lineRule="auto"/>
        <w:jc w:val="center"/>
      </w:pPr>
    </w:p>
    <w:p w14:paraId="4DF1D5FA" w14:textId="43B6DA80" w:rsidR="003E0754" w:rsidRDefault="003E0754" w:rsidP="003F7261">
      <w:pPr>
        <w:spacing w:line="480" w:lineRule="auto"/>
      </w:pPr>
    </w:p>
    <w:p w14:paraId="6FAC5A70" w14:textId="6157C5DD" w:rsidR="00A14902" w:rsidRPr="00A14902" w:rsidRDefault="00A14902" w:rsidP="006D46ED">
      <w:pPr>
        <w:pStyle w:val="ListParagraph"/>
        <w:numPr>
          <w:ilvl w:val="0"/>
          <w:numId w:val="12"/>
        </w:numPr>
        <w:spacing w:after="0" w:line="480" w:lineRule="auto"/>
        <w:ind w:left="360" w:right="360"/>
        <w:jc w:val="both"/>
        <w:rPr>
          <w:b/>
          <w:color w:val="000000" w:themeColor="text1"/>
          <w:sz w:val="22"/>
        </w:rPr>
      </w:pPr>
      <w:r w:rsidRPr="00A14902">
        <w:rPr>
          <w:b/>
          <w:bCs/>
          <w:color w:val="000000" w:themeColor="text1"/>
        </w:rPr>
        <w:lastRenderedPageBreak/>
        <w:t>The optimization of stack pressure</w:t>
      </w:r>
    </w:p>
    <w:p w14:paraId="1596A294" w14:textId="66B98224" w:rsidR="00595BD2" w:rsidRPr="000A6DF8" w:rsidRDefault="000A6DF8" w:rsidP="006D46ED">
      <w:pPr>
        <w:spacing w:line="480" w:lineRule="auto"/>
        <w:ind w:left="360" w:right="360" w:firstLine="360"/>
        <w:jc w:val="both"/>
        <w:rPr>
          <w:bCs/>
          <w:sz w:val="22"/>
        </w:rPr>
      </w:pPr>
      <w:r>
        <w:rPr>
          <w:bCs/>
          <w:sz w:val="22"/>
        </w:rPr>
        <w:t xml:space="preserve">Stack pressure was applied on the cells as shown in </w:t>
      </w:r>
      <w:r w:rsidRPr="000A6DF8">
        <w:rPr>
          <w:bCs/>
          <w:i/>
          <w:iCs/>
          <w:sz w:val="22"/>
        </w:rPr>
        <w:t>Figure-SI-1</w:t>
      </w:r>
      <w:r>
        <w:rPr>
          <w:bCs/>
          <w:sz w:val="22"/>
        </w:rPr>
        <w:t xml:space="preserve">. The cells were prepared </w:t>
      </w:r>
      <w:r w:rsidR="00A40E77">
        <w:rPr>
          <w:bCs/>
          <w:sz w:val="22"/>
        </w:rPr>
        <w:t xml:space="preserve">with two different pressing </w:t>
      </w:r>
      <w:proofErr w:type="gramStart"/>
      <w:r w:rsidR="00A40E77">
        <w:rPr>
          <w:bCs/>
          <w:sz w:val="22"/>
        </w:rPr>
        <w:t>pressure</w:t>
      </w:r>
      <w:proofErr w:type="gramEnd"/>
      <w:r w:rsidR="00A40E77">
        <w:rPr>
          <w:bCs/>
          <w:sz w:val="22"/>
        </w:rPr>
        <w:t xml:space="preserve"> to evaluate the effect of stack pressure on both percolated and non-percolated pores pellet; LPS-89% has a percolated pore network and LPS-95% has isolated and non-percolated pores. The </w:t>
      </w:r>
      <w:r w:rsidR="009F292D">
        <w:rPr>
          <w:bCs/>
          <w:sz w:val="22"/>
        </w:rPr>
        <w:t>EIS</w:t>
      </w:r>
      <w:r w:rsidR="008377D1">
        <w:rPr>
          <w:bCs/>
          <w:sz w:val="22"/>
        </w:rPr>
        <w:t xml:space="preserve"> results are plotted in </w:t>
      </w:r>
      <w:r w:rsidR="008377D1" w:rsidRPr="008377D1">
        <w:rPr>
          <w:bCs/>
          <w:i/>
          <w:iCs/>
          <w:sz w:val="22"/>
        </w:rPr>
        <w:t>Figure SI-3</w:t>
      </w:r>
      <w:r w:rsidR="008377D1">
        <w:rPr>
          <w:bCs/>
          <w:sz w:val="22"/>
        </w:rPr>
        <w:t xml:space="preserve">. </w:t>
      </w:r>
      <w:r w:rsidR="004E0F01">
        <w:rPr>
          <w:bCs/>
          <w:sz w:val="22"/>
        </w:rPr>
        <w:t>We plot bulk resistance, extracted from the EIS data, vs resting time, which is the time is left without charging. We observe that</w:t>
      </w:r>
      <w:r w:rsidR="008377D1">
        <w:rPr>
          <w:bCs/>
          <w:sz w:val="22"/>
        </w:rPr>
        <w:t xml:space="preserve"> for a stack pressure of </w:t>
      </w:r>
      <w:r w:rsidR="004E0F01">
        <w:rPr>
          <w:bCs/>
          <w:sz w:val="22"/>
        </w:rPr>
        <w:t>8</w:t>
      </w:r>
      <w:r w:rsidR="008377D1">
        <w:rPr>
          <w:bCs/>
          <w:sz w:val="22"/>
        </w:rPr>
        <w:t xml:space="preserve">MPa, the </w:t>
      </w:r>
      <w:r w:rsidR="004E0F01">
        <w:rPr>
          <w:bCs/>
          <w:sz w:val="22"/>
        </w:rPr>
        <w:t>bulk resistance</w:t>
      </w:r>
      <w:r w:rsidR="008377D1">
        <w:rPr>
          <w:bCs/>
          <w:sz w:val="22"/>
        </w:rPr>
        <w:t xml:space="preserve"> of the cells</w:t>
      </w:r>
      <w:r w:rsidR="004E0F01">
        <w:rPr>
          <w:bCs/>
          <w:sz w:val="22"/>
        </w:rPr>
        <w:t>,</w:t>
      </w:r>
      <w:r w:rsidR="008377D1">
        <w:rPr>
          <w:bCs/>
          <w:sz w:val="22"/>
        </w:rPr>
        <w:t xml:space="preserve"> </w:t>
      </w:r>
      <w:r w:rsidR="00A642EE">
        <w:rPr>
          <w:bCs/>
          <w:sz w:val="22"/>
        </w:rPr>
        <w:t>in both the percolated and non-percolated</w:t>
      </w:r>
      <w:r w:rsidR="004E0F01">
        <w:rPr>
          <w:bCs/>
          <w:sz w:val="22"/>
        </w:rPr>
        <w:t xml:space="preserve"> range, decreases over time. </w:t>
      </w:r>
      <w:r w:rsidR="006D46ED">
        <w:rPr>
          <w:bCs/>
          <w:sz w:val="22"/>
        </w:rPr>
        <w:t>This is because</w:t>
      </w:r>
      <w:r w:rsidR="004E0F01">
        <w:rPr>
          <w:bCs/>
          <w:sz w:val="22"/>
        </w:rPr>
        <w:t xml:space="preserve"> lithium metal is creeping in the LPS pellet via chemo-mechanical effects. </w:t>
      </w:r>
      <w:r w:rsidR="00595BD2" w:rsidRPr="00595BD2">
        <w:rPr>
          <w:bCs/>
          <w:sz w:val="22"/>
        </w:rPr>
        <w:t xml:space="preserve">The stack pressure applied on the SSB cell is a key parameter that affects the interfacial contact between the Li metal and LPS pellet. The interfacial resistance can be high if too low a stack pressure leads to contact loss </w:t>
      </w:r>
      <w:r w:rsidR="00595BD2" w:rsidRPr="00595BD2">
        <w:rPr>
          <w:bCs/>
          <w:sz w:val="22"/>
        </w:rPr>
        <w:fldChar w:fldCharType="begin"/>
      </w:r>
      <w:r w:rsidR="00595BD2" w:rsidRPr="00595BD2">
        <w:rPr>
          <w:bCs/>
          <w:sz w:val="22"/>
        </w:rPr>
        <w:instrText xml:space="preserve"> ADDIN EN.CITE &lt;EndNote&gt;&lt;Cite&gt;&lt;Author&gt;Hänsel&lt;/Author&gt;&lt;Year&gt;2021&lt;/Year&gt;&lt;RecNum&gt;195&lt;/RecNum&gt;&lt;DisplayText&gt;&lt;style face="superscript"&gt;[28]&lt;/style&gt;&lt;/DisplayText&gt;&lt;record&gt;&lt;rec-number&gt;195&lt;/rec-number&gt;&lt;foreign-keys&gt;&lt;key app="EN" db-id="zfr2vz09jv5t9oers5wv95095zefvfre9tpe" timestamp="1646677011"&gt;195&lt;/key&gt;&lt;/foreign-keys&gt;&lt;ref-type name="Journal Article"&gt;17&lt;/ref-type&gt;&lt;contributors&gt;&lt;authors&gt;&lt;author&gt;Hänsel, Christian&lt;/author&gt;&lt;author&gt;Kundu, Dipan&lt;/author&gt;&lt;/authors&gt;&lt;/contributors&gt;&lt;titles&gt;&lt;title&gt;The Stack Pressure Dilemma </w:instrText>
      </w:r>
      <w:r w:rsidR="00595BD2" w:rsidRPr="00595BD2">
        <w:rPr>
          <w:rFonts w:hint="eastAsia"/>
          <w:bCs/>
          <w:sz w:val="22"/>
        </w:rPr>
        <w:instrText>in Sulfide Electrolyte Based Li Metal Solid</w:instrText>
      </w:r>
      <w:r w:rsidR="00595BD2" w:rsidRPr="00595BD2">
        <w:rPr>
          <w:rFonts w:hint="eastAsia"/>
          <w:bCs/>
          <w:sz w:val="22"/>
        </w:rPr>
        <w:instrText>‐</w:instrText>
      </w:r>
      <w:r w:rsidR="00595BD2" w:rsidRPr="00595BD2">
        <w:rPr>
          <w:rFonts w:hint="eastAsia"/>
          <w:bCs/>
          <w:sz w:val="22"/>
        </w:rPr>
        <w:instrText>State Batteries: A Case Study with Li6PS5Cl Solid Electrolyte&lt;/title&gt;&lt;secondary-title&gt;Advanced Materials Interfaces&lt;/secondary-title&gt;&lt;/titles&gt;&lt;periodical&gt;&lt;full-title&gt;Advanced Materials Interfaces&lt;/full-title&gt;&lt;/p</w:instrText>
      </w:r>
      <w:r w:rsidR="00595BD2" w:rsidRPr="00595BD2">
        <w:rPr>
          <w:bCs/>
          <w:sz w:val="22"/>
        </w:rPr>
        <w:instrText>eriodical&gt;&lt;pages&gt;2100206&lt;/pages&gt;&lt;volume&gt;8&lt;/volume&gt;&lt;number&gt;10&lt;/number&gt;&lt;dates&gt;&lt;year&gt;2021&lt;/year&gt;&lt;/dates&gt;&lt;publisher&gt;Wiley Online Library&lt;/publisher&gt;&lt;isbn&gt;2196-7350&lt;/isbn&gt;&lt;urls&gt;&lt;/urls&gt;&lt;/record&gt;&lt;/Cite&gt;&lt;/EndNote&gt;</w:instrText>
      </w:r>
      <w:r w:rsidR="00595BD2" w:rsidRPr="00595BD2">
        <w:rPr>
          <w:bCs/>
          <w:sz w:val="22"/>
        </w:rPr>
        <w:fldChar w:fldCharType="separate"/>
      </w:r>
      <w:r w:rsidR="00595BD2" w:rsidRPr="00595BD2">
        <w:rPr>
          <w:bCs/>
          <w:sz w:val="22"/>
          <w:vertAlign w:val="superscript"/>
        </w:rPr>
        <w:t>[28]</w:t>
      </w:r>
      <w:r w:rsidR="00595BD2" w:rsidRPr="00595BD2">
        <w:rPr>
          <w:bCs/>
          <w:sz w:val="22"/>
        </w:rPr>
        <w:fldChar w:fldCharType="end"/>
      </w:r>
      <w:r w:rsidR="00595BD2" w:rsidRPr="00595BD2">
        <w:rPr>
          <w:bCs/>
          <w:sz w:val="22"/>
        </w:rPr>
        <w:t xml:space="preserve">, whereas SE fracture or Li extrusion into the SE pores can occur if the stack pressure is too high: </w:t>
      </w:r>
      <w:r w:rsidR="00595BD2" w:rsidRPr="00595BD2">
        <w:rPr>
          <w:bCs/>
          <w:sz w:val="22"/>
        </w:rPr>
        <w:fldChar w:fldCharType="begin"/>
      </w:r>
      <w:r w:rsidR="00595BD2" w:rsidRPr="00595BD2">
        <w:rPr>
          <w:bCs/>
          <w:sz w:val="22"/>
        </w:rPr>
        <w:instrText xml:space="preserve"> ADDIN EN.CITE &lt;EndNote&gt;&lt;Cite&gt;&lt;Author&gt;Doux&lt;/Author&gt;&lt;Year&gt;2020&lt;/Year&gt;&lt;RecNum&gt;115&lt;/RecNum&gt;&lt;DisplayText&gt;&lt;style face="superscript"&gt;[29]&lt;/style&gt;&lt;/DisplayText&gt;&lt;record&gt;&lt;rec-number&gt;115&lt;/rec-number&gt;&lt;foreign-keys&gt;&lt;key app="EN" db-id="zfr2vz09jv5t9oers5wv95095zefvfr</w:instrText>
      </w:r>
      <w:r w:rsidR="00595BD2" w:rsidRPr="00595BD2">
        <w:rPr>
          <w:rFonts w:hint="eastAsia"/>
          <w:bCs/>
          <w:sz w:val="22"/>
        </w:rPr>
        <w:instrText>e9tpe" timestamp="1583523562"&gt;115&lt;/key&gt;&lt;/foreign-keys&gt;&lt;ref-type name="Journal Article"&gt;17&lt;/ref-type&gt;&lt;contributors&gt;&lt;authors&gt;&lt;author&gt;Doux, Jean</w:instrText>
      </w:r>
      <w:r w:rsidR="00595BD2" w:rsidRPr="00595BD2">
        <w:rPr>
          <w:rFonts w:hint="eastAsia"/>
          <w:bCs/>
          <w:sz w:val="22"/>
        </w:rPr>
        <w:instrText>‐</w:instrText>
      </w:r>
      <w:r w:rsidR="00595BD2" w:rsidRPr="00595BD2">
        <w:rPr>
          <w:rFonts w:hint="eastAsia"/>
          <w:bCs/>
          <w:sz w:val="22"/>
        </w:rPr>
        <w:instrText>Marie&lt;/author&gt;&lt;author&gt;Nguyen, Han&lt;/author&gt;&lt;author&gt;Tan, Darren H. S.&lt;/author&gt;&lt;author&gt;Banerjee, Abhik&lt;/author&gt;&lt;author&gt;Wang, Xuefeng&lt;/author&gt;&lt;author&gt;Wu, Erik A.&lt;/author&gt;&lt;author&gt;Jo, Chiho&lt;/author&gt;&lt;author&gt;Yang, Hedi&lt;/author&gt;&lt;author&gt;Meng, Ying Shirley&lt;/author&gt;&lt;/authors&gt;&lt;/contributors&gt;&lt;titles&gt;&lt;title&gt;Stack Pressure Considerations for Room</w:instrText>
      </w:r>
      <w:r w:rsidR="00595BD2" w:rsidRPr="00595BD2">
        <w:rPr>
          <w:rFonts w:hint="eastAsia"/>
          <w:bCs/>
          <w:sz w:val="22"/>
        </w:rPr>
        <w:instrText>‐</w:instrText>
      </w:r>
      <w:r w:rsidR="00595BD2" w:rsidRPr="00595BD2">
        <w:rPr>
          <w:rFonts w:hint="eastAsia"/>
          <w:bCs/>
          <w:sz w:val="22"/>
        </w:rPr>
        <w:instrText>Temperature All</w:instrText>
      </w:r>
      <w:r w:rsidR="00595BD2" w:rsidRPr="00595BD2">
        <w:rPr>
          <w:rFonts w:hint="eastAsia"/>
          <w:bCs/>
          <w:sz w:val="22"/>
        </w:rPr>
        <w:instrText>‐</w:instrText>
      </w:r>
      <w:r w:rsidR="00595BD2" w:rsidRPr="00595BD2">
        <w:rPr>
          <w:rFonts w:hint="eastAsia"/>
          <w:bCs/>
          <w:sz w:val="22"/>
        </w:rPr>
        <w:instrText>Solid</w:instrText>
      </w:r>
      <w:r w:rsidR="00595BD2" w:rsidRPr="00595BD2">
        <w:rPr>
          <w:rFonts w:hint="eastAsia"/>
          <w:bCs/>
          <w:sz w:val="22"/>
        </w:rPr>
        <w:instrText>‐</w:instrText>
      </w:r>
      <w:r w:rsidR="00595BD2" w:rsidRPr="00595BD2">
        <w:rPr>
          <w:rFonts w:hint="eastAsia"/>
          <w:bCs/>
          <w:sz w:val="22"/>
        </w:rPr>
        <w:instrText>State Lithium</w:instrText>
      </w:r>
      <w:r w:rsidR="00595BD2" w:rsidRPr="00595BD2">
        <w:rPr>
          <w:bCs/>
          <w:sz w:val="22"/>
        </w:rPr>
        <w:instrText xml:space="preserve"> Metal Batteries&lt;/title&gt;&lt;secondary-title&gt;Advanced Energy Materials&lt;/secondary-title&gt;&lt;/titles&gt;&lt;periodical&gt;&lt;full-title&gt;Advanced Energy Materials&lt;/full-title&gt;&lt;/periodical&gt;&lt;pages&gt;1903253&lt;/pages&gt;&lt;volume&gt;10&lt;/volume&gt;&lt;number&gt;1&lt;/number&gt;&lt;dates&gt;&lt;year&gt;2020&lt;/year&gt;&lt;/dates&gt;&lt;publisher&gt;Wiley Online Library&lt;/publisher&gt;&lt;isbn&gt;1614-6832&lt;/isbn&gt;&lt;urls&gt;&lt;/urls&gt;&lt;/record&gt;&lt;/Cite&gt;&lt;/EndNote&gt;</w:instrText>
      </w:r>
      <w:r w:rsidR="00595BD2" w:rsidRPr="00595BD2">
        <w:rPr>
          <w:bCs/>
          <w:sz w:val="22"/>
        </w:rPr>
        <w:fldChar w:fldCharType="separate"/>
      </w:r>
      <w:r w:rsidR="00595BD2" w:rsidRPr="00595BD2">
        <w:rPr>
          <w:bCs/>
          <w:sz w:val="22"/>
          <w:vertAlign w:val="superscript"/>
        </w:rPr>
        <w:t>[29]</w:t>
      </w:r>
      <w:r w:rsidR="00595BD2" w:rsidRPr="00595BD2">
        <w:rPr>
          <w:bCs/>
          <w:sz w:val="22"/>
        </w:rPr>
        <w:fldChar w:fldCharType="end"/>
      </w:r>
      <w:r w:rsidR="00595BD2" w:rsidRPr="00595BD2">
        <w:rPr>
          <w:bCs/>
          <w:sz w:val="22"/>
        </w:rPr>
        <w:t xml:space="preserve"> both cases are investigated and presented in </w:t>
      </w:r>
      <w:r w:rsidR="00595BD2" w:rsidRPr="00595BD2">
        <w:rPr>
          <w:bCs/>
          <w:i/>
          <w:sz w:val="22"/>
        </w:rPr>
        <w:t>Figure SI-3</w:t>
      </w:r>
      <w:r w:rsidR="00595BD2" w:rsidRPr="00595BD2">
        <w:rPr>
          <w:bCs/>
          <w:sz w:val="22"/>
        </w:rPr>
        <w:t xml:space="preserve"> in which we show that our current experimental setup, 3-</w:t>
      </w:r>
      <m:oMath>
        <m:r>
          <w:rPr>
            <w:rFonts w:ascii="Cambria Math" w:hAnsi="Cambria Math"/>
            <w:sz w:val="22"/>
          </w:rPr>
          <m:t>MPa</m:t>
        </m:r>
      </m:oMath>
      <w:r w:rsidR="00595BD2" w:rsidRPr="00595BD2">
        <w:rPr>
          <w:bCs/>
          <w:sz w:val="22"/>
        </w:rPr>
        <w:t xml:space="preserve"> stack pressure induces contact loss, whereas </w:t>
      </w:r>
      <m:oMath>
        <m:r>
          <w:rPr>
            <w:rFonts w:ascii="Cambria Math" w:hAnsi="Cambria Math"/>
            <w:sz w:val="22"/>
          </w:rPr>
          <m:t>8 MPa</m:t>
        </m:r>
      </m:oMath>
      <w:r w:rsidR="00595BD2" w:rsidRPr="00595BD2">
        <w:rPr>
          <w:bCs/>
          <w:sz w:val="22"/>
        </w:rPr>
        <w:t>, too large, does not yield a stable interface. The optimal stack pressure in this work (~</w:t>
      </w:r>
      <m:oMath>
        <m:r>
          <w:rPr>
            <w:rFonts w:ascii="Cambria Math" w:hAnsi="Cambria Math"/>
            <w:sz w:val="22"/>
          </w:rPr>
          <m:t>5 MPa</m:t>
        </m:r>
      </m:oMath>
      <w:r w:rsidR="00595BD2" w:rsidRPr="00595BD2">
        <w:rPr>
          <w:bCs/>
          <w:sz w:val="22"/>
        </w:rPr>
        <w:t>) is different from that in related work in the literature</w:t>
      </w:r>
      <w:r w:rsidR="00595BD2" w:rsidRPr="00595BD2">
        <w:rPr>
          <w:bCs/>
          <w:i/>
          <w:sz w:val="22"/>
        </w:rPr>
        <w:t xml:space="preserve"> </w:t>
      </w:r>
      <w:r w:rsidR="00595BD2" w:rsidRPr="00595BD2">
        <w:rPr>
          <w:bCs/>
          <w:i/>
          <w:sz w:val="22"/>
        </w:rPr>
        <w:fldChar w:fldCharType="begin"/>
      </w:r>
      <w:r w:rsidR="00595BD2" w:rsidRPr="00595BD2">
        <w:rPr>
          <w:bCs/>
          <w:i/>
          <w:sz w:val="22"/>
        </w:rPr>
        <w:instrText xml:space="preserve"> ADDIN EN.CITE &lt;EndNote&gt;&lt;Cite&gt;&lt;Author&gt;Doux&lt;/Author&gt;&lt;Year&gt;2020&lt;/Year&gt;&lt;RecNum&gt;116&lt;/RecNum&gt;&lt;DisplayText&gt;&lt;style face="superscript"&gt;[28, 30]&lt;/style&gt;&lt;/DisplayText&gt;&lt;record&gt;&lt;rec-number&gt;116&lt;/rec-number&gt;&lt;foreign-keys&gt;&lt;key app="EN" db-id="zfr2vz09jv5t9oers5wv95095zefvfre9tpe" timestamp="1583523572"&gt;116&lt;/key&gt;&lt;/foreign-keys&gt;&lt;ref-type name="Journal Article"&gt;17&lt;/ref-type&gt;&lt;contributors&gt;&lt;authors&gt;&lt;author&gt;Doux, Jean-Marie&lt;/author&gt;&lt;author&gt;Yang, Yangyuchen&lt;/author&gt;&lt;author&gt;Tan, Darren H. S.&lt;/author&gt;&lt;author&gt;Nguyen, Han&lt;/author&gt;&lt;author&gt;Wu, Erik A.&lt;/author&gt;&lt;author&gt;Wang, Xuefeng&lt;/author&gt;&lt;author&gt;Banerjee, Abhik&lt;/author&gt;&lt;author&gt;Meng, Ying Shirley&lt;/author&gt;&lt;/authors&gt;&lt;/contributors&gt;&lt;titles&gt;&lt;title&gt;Pressure Effects on Sulfide Electrolytes for All Solid-State Batteries&lt;/title&gt;&lt;secondary-title&gt;Journal of Materials Chemistry A&lt;/secondary-title&gt;&lt;/titles&gt;&lt;periodical&gt;&lt;full-title&gt;Journal of Materials Chemistry A&lt;/full-title&gt;&lt;/periodical&gt;&lt;dates&gt;&lt;year&gt;2020&lt;/year&gt;&lt;/dates&gt;&lt;publisher&gt;Royal Society of Chemistry&lt;/publisher&gt;&lt;urls&gt;&lt;/urls&gt;&lt;/record&gt;&lt;/Cite&gt;&lt;Cite&gt;&lt;Author&gt;Hänsel&lt;/Author&gt;&lt;Year&gt;2021&lt;/Year&gt;&lt;RecNum&gt;195&lt;/RecNum&gt;&lt;record&gt;&lt;rec-number&gt;195&lt;/rec-number&gt;&lt;foreign-keys&gt;&lt;key app="EN" db-id="zfr2vz09jv5t9oers5wv95095zefvfre9tpe" timestamp="1646677011"&gt;195&lt;/key&gt;&lt;/foreign-keys&gt;&lt;ref-type name="Journal Article"</w:instrText>
      </w:r>
      <w:r w:rsidR="00595BD2" w:rsidRPr="00595BD2">
        <w:rPr>
          <w:rFonts w:hint="eastAsia"/>
          <w:bCs/>
          <w:i/>
          <w:sz w:val="22"/>
        </w:rPr>
        <w:instrText>&gt;17&lt;/ref-type&gt;&lt;contributors&gt;&lt;authors&gt;&lt;author&gt;Hänsel, Christian&lt;/author&gt;&lt;author&gt;Kundu, Dipan&lt;/author&gt;&lt;/authors&gt;&lt;/contributors&gt;&lt;titles&gt;&lt;title&gt;The Stack Pressure Dilemma in Sulfide Electrolyte Based Li Metal Solid</w:instrText>
      </w:r>
      <w:r w:rsidR="00595BD2" w:rsidRPr="00595BD2">
        <w:rPr>
          <w:rFonts w:hint="eastAsia"/>
          <w:bCs/>
          <w:i/>
          <w:sz w:val="22"/>
        </w:rPr>
        <w:instrText>‐</w:instrText>
      </w:r>
      <w:r w:rsidR="00595BD2" w:rsidRPr="00595BD2">
        <w:rPr>
          <w:rFonts w:hint="eastAsia"/>
          <w:bCs/>
          <w:i/>
          <w:sz w:val="22"/>
        </w:rPr>
        <w:instrText xml:space="preserve">State Batteries: A Case Study with Li6PS5Cl </w:instrText>
      </w:r>
      <w:r w:rsidR="00595BD2" w:rsidRPr="00595BD2">
        <w:rPr>
          <w:bCs/>
          <w:i/>
          <w:sz w:val="22"/>
        </w:rPr>
        <w:instrText>Solid Electrolyte&lt;/title&gt;&lt;secondary-title&gt;Advanced Materials Interfaces&lt;/secondary-title&gt;&lt;/titles&gt;&lt;periodical&gt;&lt;full-title&gt;Advanced Materials Interfaces&lt;/full-title&gt;&lt;/periodical&gt;&lt;pages&gt;2100206&lt;/pages&gt;&lt;volume&gt;8&lt;/volume&gt;&lt;number&gt;10&lt;/number&gt;&lt;dates&gt;&lt;year&gt;2021&lt;/year&gt;&lt;/dates&gt;&lt;publisher&gt;Wiley Online Library&lt;/publisher&gt;&lt;isbn&gt;2196-7350&lt;/isbn&gt;&lt;urls&gt;&lt;/urls&gt;&lt;/record&gt;&lt;/Cite&gt;&lt;/EndNote&gt;</w:instrText>
      </w:r>
      <w:r w:rsidR="00595BD2" w:rsidRPr="00595BD2">
        <w:rPr>
          <w:bCs/>
          <w:i/>
          <w:sz w:val="22"/>
        </w:rPr>
        <w:fldChar w:fldCharType="separate"/>
      </w:r>
      <w:r w:rsidR="00595BD2" w:rsidRPr="00595BD2">
        <w:rPr>
          <w:bCs/>
          <w:i/>
          <w:sz w:val="22"/>
          <w:vertAlign w:val="superscript"/>
        </w:rPr>
        <w:t>[28, 30]</w:t>
      </w:r>
      <w:r w:rsidR="00595BD2" w:rsidRPr="00595BD2">
        <w:rPr>
          <w:bCs/>
          <w:sz w:val="22"/>
        </w:rPr>
        <w:fldChar w:fldCharType="end"/>
      </w:r>
      <w:r w:rsidR="00595BD2" w:rsidRPr="00595BD2">
        <w:rPr>
          <w:bCs/>
          <w:sz w:val="22"/>
        </w:rPr>
        <w:t>, which may be due to the different wall frictions in different setups.</w:t>
      </w:r>
    </w:p>
    <w:p w14:paraId="40C0CA93" w14:textId="51EF2499" w:rsidR="00A14902" w:rsidRDefault="002D7C9B" w:rsidP="006D46ED">
      <w:pPr>
        <w:spacing w:after="0" w:line="480" w:lineRule="auto"/>
        <w:ind w:left="360" w:right="360"/>
        <w:jc w:val="both"/>
        <w:rPr>
          <w:b/>
          <w:sz w:val="22"/>
        </w:rPr>
      </w:pPr>
      <w:r w:rsidRPr="002D7C9B">
        <w:rPr>
          <w:b/>
          <w:noProof/>
          <w:sz w:val="22"/>
          <w:lang w:eastAsia="zh-CN"/>
        </w:rPr>
        <w:drawing>
          <wp:inline distT="0" distB="0" distL="0" distR="0" wp14:anchorId="06CCCB71" wp14:editId="0D5FC286">
            <wp:extent cx="5281422" cy="2127250"/>
            <wp:effectExtent l="0" t="0" r="0" b="6350"/>
            <wp:docPr id="6" name="Picture 6" descr="C:\Users\qhteme\gDrive\research\papers\Ing_0 - Li penetration in percolating pores in solid electrolytes\figures\figure SI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hteme\gDrive\research\papers\Ing_0 - Li penetration in percolating pores in solid electrolytes\figures\figure SI_3.png"/>
                    <pic:cNvPicPr>
                      <a:picLocks noChangeAspect="1" noChangeArrowheads="1"/>
                    </pic:cNvPicPr>
                  </pic:nvPicPr>
                  <pic:blipFill rotWithShape="1">
                    <a:blip r:embed="rId9">
                      <a:extLst>
                        <a:ext uri="{28A0092B-C50C-407E-A947-70E740481C1C}">
                          <a14:useLocalDpi xmlns:a14="http://schemas.microsoft.com/office/drawing/2010/main" val="0"/>
                        </a:ext>
                      </a:extLst>
                    </a:blip>
                    <a:srcRect t="4330" b="4981"/>
                    <a:stretch/>
                  </pic:blipFill>
                  <pic:spPr bwMode="auto">
                    <a:xfrm>
                      <a:off x="0" y="0"/>
                      <a:ext cx="5292961" cy="2131898"/>
                    </a:xfrm>
                    <a:prstGeom prst="rect">
                      <a:avLst/>
                    </a:prstGeom>
                    <a:noFill/>
                    <a:ln>
                      <a:noFill/>
                    </a:ln>
                    <a:extLst>
                      <a:ext uri="{53640926-AAD7-44D8-BBD7-CCE9431645EC}">
                        <a14:shadowObscured xmlns:a14="http://schemas.microsoft.com/office/drawing/2010/main"/>
                      </a:ext>
                    </a:extLst>
                  </pic:spPr>
                </pic:pic>
              </a:graphicData>
            </a:graphic>
          </wp:inline>
        </w:drawing>
      </w:r>
    </w:p>
    <w:p w14:paraId="793C965E" w14:textId="3051732B" w:rsidR="00124FEC" w:rsidRDefault="00FC69BE" w:rsidP="00105F30">
      <w:pPr>
        <w:spacing w:line="480" w:lineRule="auto"/>
        <w:ind w:left="360" w:right="360"/>
        <w:jc w:val="both"/>
        <w:rPr>
          <w:sz w:val="22"/>
        </w:rPr>
      </w:pPr>
      <w:r w:rsidRPr="008C2FE9">
        <w:rPr>
          <w:b/>
          <w:sz w:val="22"/>
        </w:rPr>
        <w:t>Figure SI-</w:t>
      </w:r>
      <w:r w:rsidR="003E1D55" w:rsidRPr="008C2FE9">
        <w:rPr>
          <w:b/>
          <w:sz w:val="22"/>
        </w:rPr>
        <w:t>3</w:t>
      </w:r>
      <w:r w:rsidR="00BE329A" w:rsidRPr="008C2FE9">
        <w:rPr>
          <w:b/>
          <w:sz w:val="22"/>
        </w:rPr>
        <w:t>.</w:t>
      </w:r>
      <w:r w:rsidRPr="008C2FE9">
        <w:rPr>
          <w:sz w:val="22"/>
        </w:rPr>
        <w:t xml:space="preserve"> </w:t>
      </w:r>
      <w:r w:rsidR="00A14902" w:rsidRPr="00105F30">
        <w:rPr>
          <w:sz w:val="22"/>
        </w:rPr>
        <w:t>Stack pressure effect</w:t>
      </w:r>
      <w:r w:rsidR="00105F30" w:rsidRPr="00105F30">
        <w:rPr>
          <w:sz w:val="22"/>
        </w:rPr>
        <w:t>. a)</w:t>
      </w:r>
      <w:r w:rsidR="00105F30">
        <w:rPr>
          <w:sz w:val="22"/>
        </w:rPr>
        <w:t xml:space="preserve"> Comparison of bulk resistance of cell with percolated pores (</w:t>
      </w:r>
      <w:r w:rsidR="006D46ED">
        <w:rPr>
          <w:sz w:val="22"/>
        </w:rPr>
        <w:t xml:space="preserve">a, </w:t>
      </w:r>
      <w:r w:rsidR="00105F30">
        <w:rPr>
          <w:sz w:val="22"/>
        </w:rPr>
        <w:t>LPS</w:t>
      </w:r>
      <w:r w:rsidR="006D46ED">
        <w:rPr>
          <w:sz w:val="22"/>
        </w:rPr>
        <w:t xml:space="preserve">-89%) and </w:t>
      </w:r>
      <w:r w:rsidR="00105F30">
        <w:rPr>
          <w:sz w:val="22"/>
        </w:rPr>
        <w:t>non-percolated pores (</w:t>
      </w:r>
      <w:r w:rsidR="006D46ED">
        <w:rPr>
          <w:sz w:val="22"/>
        </w:rPr>
        <w:t xml:space="preserve">b, </w:t>
      </w:r>
      <w:r w:rsidR="00105F30">
        <w:rPr>
          <w:sz w:val="22"/>
        </w:rPr>
        <w:t>LPS-95%) under two stack pressure.</w:t>
      </w:r>
    </w:p>
    <w:p w14:paraId="4DD2DA76" w14:textId="7723C34B" w:rsidR="00124FEC" w:rsidRDefault="00032DC9" w:rsidP="00032DC9">
      <w:pPr>
        <w:pStyle w:val="ListParagraph"/>
        <w:numPr>
          <w:ilvl w:val="0"/>
          <w:numId w:val="14"/>
        </w:numPr>
        <w:spacing w:line="480" w:lineRule="auto"/>
        <w:ind w:left="360" w:right="360"/>
        <w:jc w:val="both"/>
        <w:rPr>
          <w:b/>
        </w:rPr>
      </w:pPr>
      <w:r w:rsidRPr="00032DC9">
        <w:rPr>
          <w:b/>
        </w:rPr>
        <w:lastRenderedPageBreak/>
        <w:t>The EC curves of individual LPS pellet density</w:t>
      </w:r>
    </w:p>
    <w:p w14:paraId="7C757603" w14:textId="77777777" w:rsidR="00FC0274" w:rsidRDefault="002A5B98" w:rsidP="00FC0274">
      <w:pPr>
        <w:spacing w:line="480" w:lineRule="auto"/>
        <w:ind w:right="360" w:firstLine="360"/>
        <w:jc w:val="both"/>
        <w:rPr>
          <w:bCs/>
        </w:rPr>
      </w:pPr>
      <w:r>
        <w:rPr>
          <w:bCs/>
        </w:rPr>
        <w:t xml:space="preserve">The electrochemical dataset is plotted in </w:t>
      </w:r>
      <w:r w:rsidRPr="002A5B98">
        <w:rPr>
          <w:bCs/>
          <w:i/>
          <w:iCs/>
        </w:rPr>
        <w:t>Figure SI-4</w:t>
      </w:r>
      <w:proofErr w:type="gramStart"/>
      <w:r>
        <w:rPr>
          <w:bCs/>
        </w:rPr>
        <w:t xml:space="preserve"> </w:t>
      </w:r>
      <w:r w:rsidR="006A13AE">
        <w:rPr>
          <w:bCs/>
        </w:rPr>
        <w:t>it</w:t>
      </w:r>
      <w:proofErr w:type="gramEnd"/>
      <w:r w:rsidR="006A13AE">
        <w:rPr>
          <w:bCs/>
        </w:rPr>
        <w:t xml:space="preserve"> shows all 35 cells measured with increasing density. The trend is summarized in the main body of the paper, in </w:t>
      </w:r>
      <w:r w:rsidR="006A13AE" w:rsidRPr="006A13AE">
        <w:rPr>
          <w:bCs/>
          <w:i/>
          <w:iCs/>
        </w:rPr>
        <w:t>Figure 2</w:t>
      </w:r>
      <w:r w:rsidR="006A13AE">
        <w:rPr>
          <w:bCs/>
        </w:rPr>
        <w:t>. There are some noise</w:t>
      </w:r>
      <w:r w:rsidR="00565344">
        <w:rPr>
          <w:bCs/>
        </w:rPr>
        <w:t>s</w:t>
      </w:r>
      <w:r w:rsidR="006A13AE">
        <w:rPr>
          <w:bCs/>
        </w:rPr>
        <w:t xml:space="preserve"> present in the data, which </w:t>
      </w:r>
      <w:proofErr w:type="gramStart"/>
      <w:r w:rsidR="006A13AE">
        <w:rPr>
          <w:bCs/>
        </w:rPr>
        <w:t>is</w:t>
      </w:r>
      <w:proofErr w:type="gramEnd"/>
      <w:r w:rsidR="006A13AE">
        <w:rPr>
          <w:bCs/>
        </w:rPr>
        <w:t xml:space="preserve"> due to the sensitivity of the measurement devices, but it does not affect the results </w:t>
      </w:r>
      <w:r w:rsidR="0081434F">
        <w:rPr>
          <w:bCs/>
        </w:rPr>
        <w:t>gathered</w:t>
      </w:r>
      <w:r w:rsidR="006A13AE">
        <w:rPr>
          <w:bCs/>
        </w:rPr>
        <w:t>.</w:t>
      </w:r>
      <w:r w:rsidR="00FC0274">
        <w:rPr>
          <w:bCs/>
        </w:rPr>
        <w:t xml:space="preserve"> </w:t>
      </w:r>
    </w:p>
    <w:p w14:paraId="2BAA64E0" w14:textId="4FF4C6A5" w:rsidR="0081434F" w:rsidRPr="002A5B98" w:rsidRDefault="0081434F" w:rsidP="00FC0274">
      <w:pPr>
        <w:spacing w:line="480" w:lineRule="auto"/>
        <w:ind w:right="360" w:firstLine="360"/>
        <w:jc w:val="both"/>
        <w:rPr>
          <w:bCs/>
        </w:rPr>
      </w:pPr>
      <w:r>
        <w:rPr>
          <w:bCs/>
        </w:rPr>
        <w:t xml:space="preserve">It is worth noting that, for the </w:t>
      </w:r>
      <w:r w:rsidR="00565344">
        <w:rPr>
          <w:bCs/>
        </w:rPr>
        <w:t>high-density</w:t>
      </w:r>
      <w:r>
        <w:rPr>
          <w:bCs/>
        </w:rPr>
        <w:t xml:space="preserve"> cells, which do not short, we show in Figure SI-4-e)-f) and -g) that, with varying amounts of Li-metal on the electrode the depletion time changes. We show that the depletion time can </w:t>
      </w:r>
      <w:r w:rsidR="00565344">
        <w:rPr>
          <w:bCs/>
        </w:rPr>
        <w:t>vary between 20 hours to</w:t>
      </w:r>
      <w:r>
        <w:rPr>
          <w:bCs/>
        </w:rPr>
        <w:t xml:space="preserve"> beyond 140hours on a 600 MPa pressed pellet.</w:t>
      </w:r>
    </w:p>
    <w:p w14:paraId="773F5AAD" w14:textId="3BB3221B" w:rsidR="00435A79" w:rsidRDefault="002A5B98" w:rsidP="0012249C">
      <w:pPr>
        <w:spacing w:line="276" w:lineRule="auto"/>
        <w:ind w:hanging="360"/>
        <w:jc w:val="center"/>
      </w:pPr>
      <w:r>
        <w:rPr>
          <w:noProof/>
          <w:lang w:eastAsia="zh-CN"/>
        </w:rPr>
        <w:drawing>
          <wp:inline distT="0" distB="0" distL="0" distR="0" wp14:anchorId="62302D37" wp14:editId="17504061">
            <wp:extent cx="5943600" cy="2262505"/>
            <wp:effectExtent l="0" t="0" r="6350" b="0"/>
            <wp:docPr id="1" name="Picture 1" descr="Chart, diagram,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diagram, histogram&#10;&#10;Description automatically generated"/>
                    <pic:cNvPicPr/>
                  </pic:nvPicPr>
                  <pic:blipFill>
                    <a:blip r:embed="rId10"/>
                    <a:stretch>
                      <a:fillRect/>
                    </a:stretch>
                  </pic:blipFill>
                  <pic:spPr>
                    <a:xfrm>
                      <a:off x="0" y="0"/>
                      <a:ext cx="5943600" cy="2262505"/>
                    </a:xfrm>
                    <a:prstGeom prst="rect">
                      <a:avLst/>
                    </a:prstGeom>
                  </pic:spPr>
                </pic:pic>
              </a:graphicData>
            </a:graphic>
          </wp:inline>
        </w:drawing>
      </w:r>
    </w:p>
    <w:p w14:paraId="6321D6A5" w14:textId="09A6BE53" w:rsidR="00124FEC" w:rsidRDefault="002A5B98" w:rsidP="0012249C">
      <w:pPr>
        <w:spacing w:line="276" w:lineRule="auto"/>
        <w:ind w:hanging="360"/>
        <w:jc w:val="center"/>
      </w:pPr>
      <w:r>
        <w:rPr>
          <w:noProof/>
          <w:lang w:eastAsia="zh-CN"/>
        </w:rPr>
        <w:drawing>
          <wp:inline distT="0" distB="0" distL="0" distR="0" wp14:anchorId="5CE02535" wp14:editId="66103864">
            <wp:extent cx="5943600" cy="2244090"/>
            <wp:effectExtent l="0" t="0" r="0" b="381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1"/>
                    <a:stretch>
                      <a:fillRect/>
                    </a:stretch>
                  </pic:blipFill>
                  <pic:spPr>
                    <a:xfrm>
                      <a:off x="0" y="0"/>
                      <a:ext cx="5943600" cy="2244090"/>
                    </a:xfrm>
                    <a:prstGeom prst="rect">
                      <a:avLst/>
                    </a:prstGeom>
                  </pic:spPr>
                </pic:pic>
              </a:graphicData>
            </a:graphic>
          </wp:inline>
        </w:drawing>
      </w:r>
    </w:p>
    <w:p w14:paraId="13B8FD6B" w14:textId="7011482A" w:rsidR="002A5B98" w:rsidRDefault="002A5B98" w:rsidP="00220BDD">
      <w:pPr>
        <w:spacing w:line="276" w:lineRule="auto"/>
        <w:ind w:right="-720" w:hanging="720"/>
      </w:pPr>
      <w:r>
        <w:rPr>
          <w:noProof/>
          <w:lang w:eastAsia="zh-CN"/>
        </w:rPr>
        <w:lastRenderedPageBreak/>
        <w:drawing>
          <wp:inline distT="0" distB="0" distL="0" distR="0" wp14:anchorId="04A8AA8C" wp14:editId="19140A39">
            <wp:extent cx="2336756" cy="1765300"/>
            <wp:effectExtent l="0" t="0" r="6985" b="6350"/>
            <wp:docPr id="14" name="Picture 1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histogram&#10;&#10;Description automatically generated"/>
                    <pic:cNvPicPr/>
                  </pic:nvPicPr>
                  <pic:blipFill>
                    <a:blip r:embed="rId12"/>
                    <a:stretch>
                      <a:fillRect/>
                    </a:stretch>
                  </pic:blipFill>
                  <pic:spPr>
                    <a:xfrm>
                      <a:off x="0" y="0"/>
                      <a:ext cx="2347024" cy="1773057"/>
                    </a:xfrm>
                    <a:prstGeom prst="rect">
                      <a:avLst/>
                    </a:prstGeom>
                  </pic:spPr>
                </pic:pic>
              </a:graphicData>
            </a:graphic>
          </wp:inline>
        </w:drawing>
      </w:r>
      <w:r>
        <w:rPr>
          <w:noProof/>
          <w:lang w:eastAsia="zh-CN"/>
        </w:rPr>
        <w:drawing>
          <wp:inline distT="0" distB="0" distL="0" distR="0" wp14:anchorId="57EA5719" wp14:editId="43E98CB3">
            <wp:extent cx="4495800" cy="1706579"/>
            <wp:effectExtent l="0" t="0" r="0" b="8255"/>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a:blip r:embed="rId13"/>
                    <a:stretch>
                      <a:fillRect/>
                    </a:stretch>
                  </pic:blipFill>
                  <pic:spPr>
                    <a:xfrm>
                      <a:off x="0" y="0"/>
                      <a:ext cx="4498742" cy="1707696"/>
                    </a:xfrm>
                    <a:prstGeom prst="rect">
                      <a:avLst/>
                    </a:prstGeom>
                  </pic:spPr>
                </pic:pic>
              </a:graphicData>
            </a:graphic>
          </wp:inline>
        </w:drawing>
      </w:r>
    </w:p>
    <w:p w14:paraId="3FD4779A" w14:textId="413D5BA2" w:rsidR="00565344" w:rsidRDefault="002E1EB9" w:rsidP="00FC0274">
      <w:pPr>
        <w:spacing w:line="480" w:lineRule="auto"/>
        <w:ind w:left="360" w:right="360"/>
        <w:jc w:val="both"/>
        <w:rPr>
          <w:sz w:val="22"/>
        </w:rPr>
      </w:pPr>
      <w:r w:rsidRPr="000E4C9F">
        <w:rPr>
          <w:b/>
          <w:sz w:val="22"/>
        </w:rPr>
        <w:t>Figure SI-</w:t>
      </w:r>
      <w:r w:rsidR="00FE63E0">
        <w:rPr>
          <w:b/>
          <w:sz w:val="22"/>
        </w:rPr>
        <w:t>4</w:t>
      </w:r>
      <w:r w:rsidRPr="000E4C9F">
        <w:rPr>
          <w:b/>
          <w:sz w:val="22"/>
        </w:rPr>
        <w:t>.</w:t>
      </w:r>
      <w:r w:rsidR="00435A79" w:rsidRPr="000E4C9F">
        <w:rPr>
          <w:sz w:val="22"/>
        </w:rPr>
        <w:t xml:space="preserve"> Electrochemical results of all cells at different fabrication pressure</w:t>
      </w:r>
      <w:r w:rsidRPr="000E4C9F">
        <w:rPr>
          <w:sz w:val="22"/>
        </w:rPr>
        <w:t xml:space="preserve">. a) </w:t>
      </w:r>
      <w:r w:rsidR="002A7F72" w:rsidRPr="000E4C9F">
        <w:rPr>
          <w:sz w:val="22"/>
        </w:rPr>
        <w:t>at pressure 200MPa. b) at pressure 300MPa. c) at pressure 400MPa. d) at pressure 500MPa. e) at pressure 600MPa. f) at pressure 700MPa. g) at pressure 1000MPa</w:t>
      </w:r>
    </w:p>
    <w:p w14:paraId="69F12A25" w14:textId="63EAB48A" w:rsidR="00FC0274" w:rsidRDefault="00FC0274" w:rsidP="00FC0274">
      <w:pPr>
        <w:spacing w:line="480" w:lineRule="auto"/>
        <w:ind w:left="360" w:right="360"/>
        <w:jc w:val="both"/>
        <w:rPr>
          <w:sz w:val="22"/>
        </w:rPr>
      </w:pPr>
    </w:p>
    <w:p w14:paraId="3E1D0FF0" w14:textId="7BF9430D" w:rsidR="00FC0274" w:rsidRDefault="00FC0274" w:rsidP="00FC0274">
      <w:pPr>
        <w:spacing w:line="480" w:lineRule="auto"/>
        <w:ind w:left="360" w:right="360"/>
        <w:jc w:val="both"/>
        <w:rPr>
          <w:sz w:val="22"/>
        </w:rPr>
      </w:pPr>
    </w:p>
    <w:p w14:paraId="248E33E6" w14:textId="7E69C0DD" w:rsidR="00FC0274" w:rsidRDefault="00FC0274" w:rsidP="00FC0274">
      <w:pPr>
        <w:spacing w:line="480" w:lineRule="auto"/>
        <w:ind w:left="360" w:right="360"/>
        <w:jc w:val="both"/>
        <w:rPr>
          <w:sz w:val="22"/>
        </w:rPr>
      </w:pPr>
    </w:p>
    <w:p w14:paraId="3A18D4F9" w14:textId="65AF2381" w:rsidR="00FC0274" w:rsidRDefault="00FC0274" w:rsidP="00FC0274">
      <w:pPr>
        <w:spacing w:line="480" w:lineRule="auto"/>
        <w:ind w:left="360" w:right="360"/>
        <w:jc w:val="both"/>
        <w:rPr>
          <w:sz w:val="22"/>
        </w:rPr>
      </w:pPr>
    </w:p>
    <w:p w14:paraId="0AF1FDE8" w14:textId="00A6724B" w:rsidR="00FC0274" w:rsidRDefault="00FC0274" w:rsidP="00FC0274">
      <w:pPr>
        <w:spacing w:line="480" w:lineRule="auto"/>
        <w:ind w:left="360" w:right="360"/>
        <w:jc w:val="both"/>
        <w:rPr>
          <w:sz w:val="22"/>
        </w:rPr>
      </w:pPr>
    </w:p>
    <w:p w14:paraId="0C7B65E4" w14:textId="7500899C" w:rsidR="00FC0274" w:rsidRDefault="00FC0274" w:rsidP="00FC0274">
      <w:pPr>
        <w:spacing w:line="480" w:lineRule="auto"/>
        <w:ind w:left="360" w:right="360"/>
        <w:jc w:val="both"/>
        <w:rPr>
          <w:sz w:val="22"/>
        </w:rPr>
      </w:pPr>
    </w:p>
    <w:p w14:paraId="30AC0A57" w14:textId="5315739C" w:rsidR="00FC0274" w:rsidRDefault="00FC0274" w:rsidP="00FC0274">
      <w:pPr>
        <w:spacing w:line="480" w:lineRule="auto"/>
        <w:ind w:left="360" w:right="360"/>
        <w:jc w:val="both"/>
        <w:rPr>
          <w:sz w:val="22"/>
        </w:rPr>
      </w:pPr>
    </w:p>
    <w:p w14:paraId="790116DD" w14:textId="39D70B68" w:rsidR="00FC0274" w:rsidRDefault="00FC0274" w:rsidP="00FC0274">
      <w:pPr>
        <w:spacing w:line="480" w:lineRule="auto"/>
        <w:ind w:left="360" w:right="360"/>
        <w:jc w:val="both"/>
        <w:rPr>
          <w:sz w:val="22"/>
        </w:rPr>
      </w:pPr>
    </w:p>
    <w:p w14:paraId="09DD56A6" w14:textId="0B51C4D2" w:rsidR="00FC0274" w:rsidRDefault="00FC0274" w:rsidP="00FC0274">
      <w:pPr>
        <w:spacing w:line="480" w:lineRule="auto"/>
        <w:ind w:left="360" w:right="360"/>
        <w:jc w:val="both"/>
        <w:rPr>
          <w:sz w:val="22"/>
        </w:rPr>
      </w:pPr>
    </w:p>
    <w:p w14:paraId="5AF86DB3" w14:textId="07955BD3" w:rsidR="00FC0274" w:rsidRDefault="00FC0274" w:rsidP="00FC0274">
      <w:pPr>
        <w:spacing w:line="480" w:lineRule="auto"/>
        <w:ind w:left="360" w:right="360"/>
        <w:jc w:val="both"/>
        <w:rPr>
          <w:sz w:val="22"/>
        </w:rPr>
      </w:pPr>
    </w:p>
    <w:p w14:paraId="07F0616E" w14:textId="2BD68025" w:rsidR="00FC0274" w:rsidRDefault="00FC0274" w:rsidP="00FC0274">
      <w:pPr>
        <w:spacing w:line="480" w:lineRule="auto"/>
        <w:ind w:left="360" w:right="360"/>
        <w:jc w:val="both"/>
        <w:rPr>
          <w:sz w:val="22"/>
        </w:rPr>
      </w:pPr>
    </w:p>
    <w:p w14:paraId="5EFED458" w14:textId="71252A0E" w:rsidR="00FC0274" w:rsidRDefault="00FC0274" w:rsidP="00FC0274">
      <w:pPr>
        <w:spacing w:line="480" w:lineRule="auto"/>
        <w:ind w:left="360" w:right="360"/>
        <w:jc w:val="both"/>
        <w:rPr>
          <w:sz w:val="22"/>
        </w:rPr>
      </w:pPr>
    </w:p>
    <w:p w14:paraId="39CB3F1E" w14:textId="77777777" w:rsidR="00FC0274" w:rsidRPr="00FC0274" w:rsidRDefault="00FC0274" w:rsidP="00FC0274">
      <w:pPr>
        <w:spacing w:line="480" w:lineRule="auto"/>
        <w:ind w:left="360" w:right="360"/>
        <w:jc w:val="both"/>
        <w:rPr>
          <w:sz w:val="22"/>
        </w:rPr>
      </w:pPr>
    </w:p>
    <w:p w14:paraId="456E57B7" w14:textId="2F783B4B" w:rsidR="00BD2FAF" w:rsidRPr="00FE63E0" w:rsidRDefault="00FE63E0" w:rsidP="00FE63E0">
      <w:pPr>
        <w:pStyle w:val="ListParagraph"/>
        <w:numPr>
          <w:ilvl w:val="0"/>
          <w:numId w:val="15"/>
        </w:numPr>
        <w:spacing w:line="480" w:lineRule="auto"/>
        <w:ind w:left="360"/>
        <w:rPr>
          <w:b/>
        </w:rPr>
      </w:pPr>
      <w:r w:rsidRPr="00FE63E0">
        <w:rPr>
          <w:b/>
        </w:rPr>
        <w:lastRenderedPageBreak/>
        <w:t xml:space="preserve">The clean surface at counter electrode showing the </w:t>
      </w:r>
      <w:proofErr w:type="gramStart"/>
      <w:r w:rsidRPr="00FE63E0">
        <w:rPr>
          <w:b/>
        </w:rPr>
        <w:t>depletion</w:t>
      </w:r>
      <w:proofErr w:type="gramEnd"/>
    </w:p>
    <w:p w14:paraId="72EB50FA" w14:textId="0B196782" w:rsidR="004C6CE2" w:rsidRDefault="00FF0265" w:rsidP="009B3835">
      <w:pPr>
        <w:spacing w:line="480" w:lineRule="auto"/>
        <w:ind w:right="360" w:firstLine="360"/>
        <w:jc w:val="both"/>
        <w:rPr>
          <w:bCs/>
          <w:sz w:val="22"/>
        </w:rPr>
      </w:pPr>
      <w:r>
        <w:rPr>
          <w:bCs/>
          <w:sz w:val="22"/>
        </w:rPr>
        <w:t>The cells which have high density, greater than 95%, are determined to be non-percolating</w:t>
      </w:r>
      <w:r w:rsidR="004C6CE2">
        <w:rPr>
          <w:bCs/>
          <w:sz w:val="22"/>
        </w:rPr>
        <w:t>, w</w:t>
      </w:r>
      <w:r>
        <w:rPr>
          <w:bCs/>
          <w:sz w:val="22"/>
        </w:rPr>
        <w:t>hich means</w:t>
      </w:r>
      <w:r w:rsidR="004C6CE2">
        <w:rPr>
          <w:bCs/>
          <w:sz w:val="22"/>
        </w:rPr>
        <w:t xml:space="preserve"> the LPS pellet has pores that </w:t>
      </w:r>
      <w:proofErr w:type="gramStart"/>
      <w:r w:rsidR="004C6CE2">
        <w:rPr>
          <w:bCs/>
          <w:sz w:val="22"/>
        </w:rPr>
        <w:t>small</w:t>
      </w:r>
      <w:proofErr w:type="gramEnd"/>
      <w:r w:rsidR="004C6CE2">
        <w:rPr>
          <w:bCs/>
          <w:sz w:val="22"/>
        </w:rPr>
        <w:t xml:space="preserve"> and not connected. It is shown that, based on the lithium amount in the stripping side, the cells can survive more than 140 hours charging until depletion of the lithium. </w:t>
      </w:r>
      <w:r w:rsidR="004C6CE2" w:rsidRPr="004C6CE2">
        <w:rPr>
          <w:bCs/>
          <w:i/>
          <w:iCs/>
          <w:sz w:val="22"/>
        </w:rPr>
        <w:t>Figure SI-5</w:t>
      </w:r>
      <w:r w:rsidR="004C6CE2">
        <w:rPr>
          <w:bCs/>
          <w:sz w:val="22"/>
        </w:rPr>
        <w:t xml:space="preserve"> shows two disassembled LPS pellets, one pressed at 700 MPa and the other at 1 GPa. For both cells both the lithium stripping side and plating side are </w:t>
      </w:r>
      <w:r w:rsidR="00C10509">
        <w:rPr>
          <w:bCs/>
          <w:sz w:val="22"/>
        </w:rPr>
        <w:t>presented,</w:t>
      </w:r>
      <w:r w:rsidR="0069763F">
        <w:rPr>
          <w:bCs/>
          <w:sz w:val="22"/>
        </w:rPr>
        <w:t xml:space="preserve"> and lithium metal is fully depleted from the stripping side.</w:t>
      </w:r>
    </w:p>
    <w:p w14:paraId="5BF67A99" w14:textId="61031578" w:rsidR="00FE63E0" w:rsidRDefault="00233ED8" w:rsidP="0057582F">
      <w:pPr>
        <w:spacing w:line="480" w:lineRule="auto"/>
        <w:ind w:left="360" w:right="360" w:hanging="360"/>
        <w:jc w:val="center"/>
        <w:rPr>
          <w:b/>
          <w:sz w:val="22"/>
        </w:rPr>
      </w:pPr>
      <w:r w:rsidRPr="00233ED8">
        <w:rPr>
          <w:b/>
          <w:noProof/>
          <w:sz w:val="22"/>
          <w:lang w:eastAsia="zh-CN"/>
        </w:rPr>
        <w:drawing>
          <wp:inline distT="0" distB="0" distL="0" distR="0" wp14:anchorId="4E5B814C" wp14:editId="33115D53">
            <wp:extent cx="5943600" cy="3637915"/>
            <wp:effectExtent l="0" t="0" r="0" b="635"/>
            <wp:docPr id="94" name="Picture 93" descr="A picture containing text, game, indoor, remote&#10;&#10;Description automatically generated">
              <a:extLst xmlns:a="http://schemas.openxmlformats.org/drawingml/2006/main">
                <a:ext uri="{FF2B5EF4-FFF2-40B4-BE49-F238E27FC236}">
                  <a16:creationId xmlns:a16="http://schemas.microsoft.com/office/drawing/2014/main" id="{A01D08E2-93FF-4815-AA55-6B78E1BC61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3" descr="A picture containing text, game, indoor, remote&#10;&#10;Description automatically generated">
                      <a:extLst>
                        <a:ext uri="{FF2B5EF4-FFF2-40B4-BE49-F238E27FC236}">
                          <a16:creationId xmlns:a16="http://schemas.microsoft.com/office/drawing/2014/main" id="{A01D08E2-93FF-4815-AA55-6B78E1BC613D}"/>
                        </a:ext>
                      </a:extLst>
                    </pic:cNvPr>
                    <pic:cNvPicPr>
                      <a:picLocks noChangeAspect="1"/>
                    </pic:cNvPicPr>
                  </pic:nvPicPr>
                  <pic:blipFill>
                    <a:blip r:embed="rId14"/>
                    <a:stretch>
                      <a:fillRect/>
                    </a:stretch>
                  </pic:blipFill>
                  <pic:spPr>
                    <a:xfrm>
                      <a:off x="0" y="0"/>
                      <a:ext cx="5943600" cy="3637915"/>
                    </a:xfrm>
                    <a:prstGeom prst="rect">
                      <a:avLst/>
                    </a:prstGeom>
                  </pic:spPr>
                </pic:pic>
              </a:graphicData>
            </a:graphic>
          </wp:inline>
        </w:drawing>
      </w:r>
    </w:p>
    <w:p w14:paraId="3D7A43F8" w14:textId="7B9D1893" w:rsidR="00032DC9" w:rsidRDefault="00032DC9" w:rsidP="0057582F">
      <w:pPr>
        <w:spacing w:line="480" w:lineRule="auto"/>
        <w:ind w:left="540" w:right="540"/>
        <w:jc w:val="both"/>
      </w:pPr>
      <w:r w:rsidRPr="000E4C9F">
        <w:rPr>
          <w:b/>
          <w:sz w:val="22"/>
        </w:rPr>
        <w:t>Figure SI-</w:t>
      </w:r>
      <w:r w:rsidR="00FE63E0">
        <w:rPr>
          <w:b/>
          <w:sz w:val="22"/>
        </w:rPr>
        <w:t>5</w:t>
      </w:r>
      <w:r w:rsidRPr="000E4C9F">
        <w:rPr>
          <w:b/>
          <w:sz w:val="22"/>
        </w:rPr>
        <w:t>.</w:t>
      </w:r>
      <w:r w:rsidRPr="000E4C9F">
        <w:rPr>
          <w:sz w:val="22"/>
        </w:rPr>
        <w:t xml:space="preserve"> The LPS surfaces at the plating side and at the stripping side </w:t>
      </w:r>
      <w:r w:rsidR="0069763F">
        <w:rPr>
          <w:sz w:val="22"/>
        </w:rPr>
        <w:t xml:space="preserve">of </w:t>
      </w:r>
      <w:r w:rsidRPr="000E4C9F">
        <w:rPr>
          <w:sz w:val="22"/>
        </w:rPr>
        <w:t>the 700MPa</w:t>
      </w:r>
      <w:r w:rsidR="0069763F">
        <w:rPr>
          <w:sz w:val="22"/>
        </w:rPr>
        <w:t xml:space="preserve"> and 1GPa</w:t>
      </w:r>
      <w:r w:rsidRPr="000E4C9F">
        <w:rPr>
          <w:sz w:val="22"/>
        </w:rPr>
        <w:t xml:space="preserve"> cell</w:t>
      </w:r>
      <w:r w:rsidR="0069763F">
        <w:rPr>
          <w:sz w:val="22"/>
        </w:rPr>
        <w:t>s</w:t>
      </w:r>
      <w:r w:rsidRPr="000E4C9F">
        <w:rPr>
          <w:sz w:val="22"/>
        </w:rPr>
        <w:t xml:space="preserve">. </w:t>
      </w:r>
      <w:r w:rsidR="0069763F">
        <w:rPr>
          <w:sz w:val="22"/>
        </w:rPr>
        <w:t>The shiny metal</w:t>
      </w:r>
      <w:r w:rsidRPr="000E4C9F">
        <w:rPr>
          <w:sz w:val="22"/>
        </w:rPr>
        <w:t xml:space="preserve"> at the plating surface is the</w:t>
      </w:r>
      <w:r w:rsidR="0069763F">
        <w:rPr>
          <w:sz w:val="22"/>
        </w:rPr>
        <w:t xml:space="preserve"> 1/8-inch</w:t>
      </w:r>
      <w:r w:rsidRPr="000E4C9F">
        <w:rPr>
          <w:sz w:val="22"/>
        </w:rPr>
        <w:t xml:space="preserve"> </w:t>
      </w:r>
      <w:r w:rsidR="0069763F">
        <w:rPr>
          <w:sz w:val="22"/>
        </w:rPr>
        <w:t>lithium</w:t>
      </w:r>
      <w:r w:rsidRPr="000E4C9F">
        <w:rPr>
          <w:sz w:val="22"/>
        </w:rPr>
        <w:t xml:space="preserve"> metal.</w:t>
      </w:r>
    </w:p>
    <w:p w14:paraId="54E7E4E0" w14:textId="19CA2E2E" w:rsidR="00BD2FAF" w:rsidRDefault="00BD2FAF" w:rsidP="00435A79">
      <w:pPr>
        <w:spacing w:line="480" w:lineRule="auto"/>
      </w:pPr>
    </w:p>
    <w:p w14:paraId="7C5A5214" w14:textId="10E96D1A" w:rsidR="00FE63E0" w:rsidRDefault="00FE63E0" w:rsidP="00435A79">
      <w:pPr>
        <w:spacing w:line="480" w:lineRule="auto"/>
      </w:pPr>
    </w:p>
    <w:p w14:paraId="51DC5CD1" w14:textId="0DE1A0C2" w:rsidR="002271FF" w:rsidRDefault="002271FF" w:rsidP="00435A79">
      <w:pPr>
        <w:spacing w:line="480" w:lineRule="auto"/>
      </w:pPr>
    </w:p>
    <w:p w14:paraId="06990A99" w14:textId="5CE96C09" w:rsidR="00230391" w:rsidRDefault="00230391" w:rsidP="00230391">
      <w:pPr>
        <w:pStyle w:val="ListParagraph"/>
        <w:numPr>
          <w:ilvl w:val="0"/>
          <w:numId w:val="12"/>
        </w:numPr>
        <w:spacing w:line="480" w:lineRule="auto"/>
        <w:ind w:left="360" w:right="270"/>
        <w:jc w:val="both"/>
        <w:rPr>
          <w:b/>
        </w:rPr>
      </w:pPr>
      <w:r>
        <w:rPr>
          <w:b/>
        </w:rPr>
        <w:lastRenderedPageBreak/>
        <w:t>SEM</w:t>
      </w:r>
      <w:r w:rsidRPr="002D0E75">
        <w:rPr>
          <w:b/>
        </w:rPr>
        <w:t xml:space="preserve"> </w:t>
      </w:r>
      <w:r>
        <w:rPr>
          <w:b/>
        </w:rPr>
        <w:t>on the LPS pellet surface</w:t>
      </w:r>
    </w:p>
    <w:p w14:paraId="4F776078" w14:textId="0749D75A" w:rsidR="004F52AA" w:rsidRPr="00FD4F8C" w:rsidRDefault="00C10509" w:rsidP="00FD4F8C">
      <w:pPr>
        <w:pStyle w:val="ListParagraph"/>
        <w:spacing w:line="480" w:lineRule="auto"/>
        <w:ind w:left="0" w:right="270" w:firstLine="360"/>
        <w:jc w:val="both"/>
        <w:rPr>
          <w:bCs/>
        </w:rPr>
      </w:pPr>
      <w:r>
        <w:rPr>
          <w:bCs/>
        </w:rPr>
        <w:t xml:space="preserve">SEM were used on </w:t>
      </w:r>
      <w:r w:rsidR="00230391">
        <w:rPr>
          <w:bCs/>
        </w:rPr>
        <w:t>LPS pellets with different densities</w:t>
      </w:r>
      <w:r w:rsidR="00FD4F8C">
        <w:rPr>
          <w:bCs/>
        </w:rPr>
        <w:t xml:space="preserve"> to characterize</w:t>
      </w:r>
      <w:r>
        <w:rPr>
          <w:bCs/>
        </w:rPr>
        <w:t xml:space="preserve"> surface morphology. </w:t>
      </w:r>
      <w:r w:rsidRPr="00C10509">
        <w:rPr>
          <w:bCs/>
          <w:i/>
          <w:iCs/>
        </w:rPr>
        <w:t>Figure SI-</w:t>
      </w:r>
      <w:r w:rsidR="004F52AA">
        <w:rPr>
          <w:bCs/>
          <w:i/>
          <w:iCs/>
        </w:rPr>
        <w:t>6</w:t>
      </w:r>
      <w:r w:rsidR="00230391">
        <w:rPr>
          <w:bCs/>
        </w:rPr>
        <w:t xml:space="preserve"> shows </w:t>
      </w:r>
      <w:r w:rsidR="004F52AA" w:rsidRPr="00865AC9">
        <w:rPr>
          <w:color w:val="000000" w:themeColor="text1"/>
        </w:rPr>
        <w:t xml:space="preserve">SEM images of the surface of LPS pellets </w:t>
      </w:r>
      <w:r w:rsidR="004F52AA">
        <w:rPr>
          <w:color w:val="000000" w:themeColor="text1"/>
        </w:rPr>
        <w:t>at</w:t>
      </w:r>
      <w:r w:rsidR="004F52AA" w:rsidRPr="00865AC9">
        <w:rPr>
          <w:color w:val="000000" w:themeColor="text1"/>
        </w:rPr>
        <w:t xml:space="preserve"> three different </w:t>
      </w:r>
      <w:r w:rsidR="004F52AA">
        <w:rPr>
          <w:color w:val="000000" w:themeColor="text1"/>
        </w:rPr>
        <w:t>relative densities (</w:t>
      </w:r>
      <w:r w:rsidR="004F52AA">
        <w:t>LPS-89.2%, LPS-95.3%, and LPS-99.9%</w:t>
      </w:r>
      <w:r w:rsidR="004F52AA">
        <w:rPr>
          <w:color w:val="000000" w:themeColor="text1"/>
        </w:rPr>
        <w:t>)</w:t>
      </w:r>
      <w:r w:rsidR="004F52AA" w:rsidRPr="00865AC9">
        <w:rPr>
          <w:color w:val="000000" w:themeColor="text1"/>
        </w:rPr>
        <w:t>.</w:t>
      </w:r>
      <w:r w:rsidR="004F52AA">
        <w:rPr>
          <w:color w:val="000000" w:themeColor="text1"/>
        </w:rPr>
        <w:t xml:space="preserve"> It</w:t>
      </w:r>
      <w:r w:rsidR="004F52AA" w:rsidRPr="00865AC9">
        <w:rPr>
          <w:color w:val="000000" w:themeColor="text1"/>
        </w:rPr>
        <w:t xml:space="preserve"> clearly shows that the pore size on the pellet surface decreases as the pellet becomes denser. </w:t>
      </w:r>
      <w:r w:rsidR="004F52AA">
        <w:rPr>
          <w:rFonts w:hint="eastAsia"/>
          <w:color w:val="000000" w:themeColor="text1"/>
          <w:lang w:eastAsia="zh-CN"/>
        </w:rPr>
        <w:t>P</w:t>
      </w:r>
      <w:r w:rsidR="004F52AA" w:rsidRPr="00865AC9">
        <w:rPr>
          <w:color w:val="000000" w:themeColor="text1"/>
        </w:rPr>
        <w:t xml:space="preserve">ores </w:t>
      </w:r>
      <w:r w:rsidR="004F52AA">
        <w:rPr>
          <w:color w:val="000000" w:themeColor="text1"/>
        </w:rPr>
        <w:t xml:space="preserve">with diameter </w:t>
      </w:r>
      <w:r w:rsidR="004F52AA" w:rsidRPr="00865AC9">
        <w:rPr>
          <w:color w:val="000000" w:themeColor="text1"/>
        </w:rPr>
        <w:t>larger than</w:t>
      </w:r>
      <m:oMath>
        <m:r>
          <w:rPr>
            <w:rFonts w:ascii="Cambria Math" w:hAnsi="Cambria Math"/>
            <w:color w:val="000000" w:themeColor="text1"/>
          </w:rPr>
          <m:t xml:space="preserve"> 2 μm</m:t>
        </m:r>
      </m:oMath>
      <w:r w:rsidR="004F52AA" w:rsidRPr="00865AC9">
        <w:rPr>
          <w:color w:val="000000" w:themeColor="text1"/>
        </w:rPr>
        <w:t xml:space="preserve"> are frequently observed on the surface of </w:t>
      </w:r>
      <w:r w:rsidR="004F52AA">
        <w:t xml:space="preserve">LPS-89.2% </w:t>
      </w:r>
      <w:r w:rsidR="004F52AA" w:rsidRPr="00865AC9">
        <w:rPr>
          <w:color w:val="000000" w:themeColor="text1"/>
        </w:rPr>
        <w:t>pellet.</w:t>
      </w:r>
      <w:r w:rsidR="004F52AA">
        <w:rPr>
          <w:color w:val="000000" w:themeColor="text1"/>
        </w:rPr>
        <w:t xml:space="preserve"> These pores are not only interconnected on the surface, but also deep into the pellet (characterized by the dark area within the pores</w:t>
      </w:r>
      <w:r w:rsidR="004F52AA">
        <w:t>).</w:t>
      </w:r>
      <w:r w:rsidR="004F52AA" w:rsidRPr="00865AC9">
        <w:rPr>
          <w:color w:val="000000" w:themeColor="text1"/>
        </w:rPr>
        <w:t xml:space="preserve"> </w:t>
      </w:r>
      <w:r w:rsidR="004F52AA">
        <w:rPr>
          <w:color w:val="000000" w:themeColor="text1"/>
        </w:rPr>
        <w:t xml:space="preserve">In the </w:t>
      </w:r>
      <w:r w:rsidR="004F52AA">
        <w:t>LPS-95.3% pellet,</w:t>
      </w:r>
      <w:r w:rsidR="004F52AA">
        <w:rPr>
          <w:color w:val="000000" w:themeColor="text1"/>
        </w:rPr>
        <w:t xml:space="preserve"> b</w:t>
      </w:r>
      <w:r w:rsidR="004F52AA" w:rsidRPr="00865AC9">
        <w:rPr>
          <w:color w:val="000000" w:themeColor="text1"/>
        </w:rPr>
        <w:t xml:space="preserve">oth </w:t>
      </w:r>
      <w:r w:rsidR="004F52AA">
        <w:rPr>
          <w:color w:val="000000" w:themeColor="text1"/>
        </w:rPr>
        <w:t xml:space="preserve">the </w:t>
      </w:r>
      <w:r w:rsidR="004F52AA" w:rsidRPr="00865AC9">
        <w:rPr>
          <w:color w:val="000000" w:themeColor="text1"/>
        </w:rPr>
        <w:t xml:space="preserve">size </w:t>
      </w:r>
      <w:r w:rsidR="004F52AA">
        <w:rPr>
          <w:color w:val="000000" w:themeColor="text1"/>
        </w:rPr>
        <w:t>(</w:t>
      </w:r>
      <m:oMath>
        <m:r>
          <w:rPr>
            <w:rFonts w:ascii="Cambria Math" w:hAnsi="Cambria Math"/>
            <w:color w:val="000000" w:themeColor="text1"/>
          </w:rPr>
          <m:t>1~2 μm</m:t>
        </m:r>
      </m:oMath>
      <w:r w:rsidR="004F52AA">
        <w:rPr>
          <w:color w:val="000000" w:themeColor="text1"/>
        </w:rPr>
        <w:t xml:space="preserve">) and </w:t>
      </w:r>
      <w:r w:rsidR="004F52AA" w:rsidRPr="00865AC9">
        <w:rPr>
          <w:color w:val="000000" w:themeColor="text1"/>
        </w:rPr>
        <w:t>the number of connectin</w:t>
      </w:r>
      <w:r w:rsidR="004F52AA">
        <w:rPr>
          <w:color w:val="000000" w:themeColor="text1"/>
        </w:rPr>
        <w:t>g</w:t>
      </w:r>
      <w:r w:rsidR="004F52AA" w:rsidRPr="00865AC9">
        <w:rPr>
          <w:color w:val="000000" w:themeColor="text1"/>
        </w:rPr>
        <w:t xml:space="preserve"> pores are reduced</w:t>
      </w:r>
      <w:r w:rsidR="004F52AA">
        <w:rPr>
          <w:color w:val="000000" w:themeColor="text1"/>
        </w:rPr>
        <w:t>. Some pores are deep into the pellet while some only exist on the surface layer (characterized by the gray area within the pores)</w:t>
      </w:r>
      <w:r w:rsidR="004F52AA" w:rsidRPr="00865AC9">
        <w:rPr>
          <w:color w:val="000000" w:themeColor="text1"/>
        </w:rPr>
        <w:t xml:space="preserve">. No connected pores </w:t>
      </w:r>
      <w:r w:rsidR="004F52AA">
        <w:rPr>
          <w:color w:val="000000" w:themeColor="text1"/>
        </w:rPr>
        <w:t>(with diameter</w:t>
      </w:r>
      <m:oMath>
        <m:r>
          <w:rPr>
            <w:rFonts w:ascii="Cambria Math" w:hAnsi="Cambria Math"/>
            <w:color w:val="000000" w:themeColor="text1"/>
          </w:rPr>
          <m:t xml:space="preserve"> &lt;1 μm</m:t>
        </m:r>
      </m:oMath>
      <w:r w:rsidR="004F52AA">
        <w:rPr>
          <w:color w:val="000000" w:themeColor="text1"/>
        </w:rPr>
        <w:t xml:space="preserve">) </w:t>
      </w:r>
      <w:r w:rsidR="004F52AA" w:rsidRPr="00865AC9">
        <w:rPr>
          <w:color w:val="000000" w:themeColor="text1"/>
        </w:rPr>
        <w:t xml:space="preserve">were found on the surface of </w:t>
      </w:r>
      <w:r w:rsidR="004F52AA">
        <w:rPr>
          <w:color w:val="000000" w:themeColor="text1"/>
        </w:rPr>
        <w:t xml:space="preserve">the </w:t>
      </w:r>
      <w:r w:rsidR="004F52AA">
        <w:t>LPS-99.9% pellet, and all these pores are shallowly presented on the surface layer of the pellet</w:t>
      </w:r>
      <w:r w:rsidR="004F52AA" w:rsidRPr="00865AC9">
        <w:rPr>
          <w:color w:val="000000" w:themeColor="text1"/>
        </w:rPr>
        <w:t>.</w:t>
      </w:r>
      <w:r w:rsidR="004F52AA">
        <w:rPr>
          <w:color w:val="000000" w:themeColor="text1"/>
        </w:rPr>
        <w:t xml:space="preserve"> Notably, the images obtained can only represent the microstructure on the surface (or a thin surface layer) of the pellet. While the bulk microstructural properties inside the pellet may follow similar trend as that on the surface, more quantitative measurements are still needed.</w:t>
      </w:r>
    </w:p>
    <w:p w14:paraId="63265476" w14:textId="77777777" w:rsidR="00230391" w:rsidRDefault="00230391" w:rsidP="004F52AA">
      <w:pPr>
        <w:spacing w:after="0" w:line="480" w:lineRule="auto"/>
        <w:ind w:right="270"/>
        <w:jc w:val="both"/>
        <w:rPr>
          <w:b/>
        </w:rPr>
      </w:pPr>
      <w:r w:rsidRPr="002A51B0">
        <w:rPr>
          <w:b/>
          <w:noProof/>
          <w:lang w:eastAsia="zh-CN"/>
        </w:rPr>
        <w:drawing>
          <wp:inline distT="0" distB="0" distL="0" distR="0" wp14:anchorId="5256E1B6" wp14:editId="6A1DF707">
            <wp:extent cx="5943600" cy="2309689"/>
            <wp:effectExtent l="0" t="0" r="0" b="0"/>
            <wp:docPr id="9" name="Picture 9" descr="C:\Users\qhteme\gDrive\research\papers\Ing_0 - Effect of SE Pellet Density on the Failure of Solid-State batteries\figures\figure SI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hteme\gDrive\research\papers\Ing_0 - Effect of SE Pellet Density on the Failure of Solid-State batteries\figures\figure SI_7.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309689"/>
                    </a:xfrm>
                    <a:prstGeom prst="rect">
                      <a:avLst/>
                    </a:prstGeom>
                    <a:noFill/>
                    <a:ln>
                      <a:noFill/>
                    </a:ln>
                  </pic:spPr>
                </pic:pic>
              </a:graphicData>
            </a:graphic>
          </wp:inline>
        </w:drawing>
      </w:r>
    </w:p>
    <w:p w14:paraId="73EE89A6" w14:textId="332A33E8" w:rsidR="00D756D3" w:rsidRPr="00FD4F8C" w:rsidRDefault="00230391" w:rsidP="00FD4F8C">
      <w:pPr>
        <w:pStyle w:val="ListParagraph"/>
        <w:spacing w:line="480" w:lineRule="auto"/>
        <w:ind w:left="1080" w:right="270" w:hanging="1080"/>
        <w:jc w:val="center"/>
        <w:rPr>
          <w:sz w:val="22"/>
        </w:rPr>
      </w:pPr>
      <w:r w:rsidRPr="00946FCB">
        <w:rPr>
          <w:b/>
          <w:sz w:val="22"/>
        </w:rPr>
        <w:t>Figure SI-</w:t>
      </w:r>
      <w:r w:rsidR="004F52AA">
        <w:rPr>
          <w:b/>
          <w:sz w:val="22"/>
        </w:rPr>
        <w:t>6</w:t>
      </w:r>
      <w:r w:rsidRPr="00946FCB">
        <w:rPr>
          <w:b/>
          <w:sz w:val="22"/>
        </w:rPr>
        <w:t>.</w:t>
      </w:r>
      <w:r w:rsidRPr="00946FCB">
        <w:rPr>
          <w:sz w:val="22"/>
        </w:rPr>
        <w:t xml:space="preserve"> The </w:t>
      </w:r>
      <w:r>
        <w:rPr>
          <w:sz w:val="22"/>
        </w:rPr>
        <w:t>SEM results on the surface of LPS pellets.</w:t>
      </w:r>
    </w:p>
    <w:p w14:paraId="71B91108" w14:textId="2E092E78" w:rsidR="00D756D3" w:rsidRPr="00D756D3" w:rsidRDefault="00D756D3" w:rsidP="00D756D3">
      <w:pPr>
        <w:pStyle w:val="ListParagraph"/>
        <w:numPr>
          <w:ilvl w:val="0"/>
          <w:numId w:val="12"/>
        </w:numPr>
        <w:spacing w:line="480" w:lineRule="auto"/>
        <w:ind w:left="360" w:right="270"/>
        <w:jc w:val="both"/>
        <w:rPr>
          <w:sz w:val="22"/>
        </w:rPr>
      </w:pPr>
      <w:r>
        <w:rPr>
          <w:b/>
        </w:rPr>
        <w:lastRenderedPageBreak/>
        <w:t xml:space="preserve">High-resolution </w:t>
      </w:r>
      <w:r w:rsidRPr="00B2583A">
        <w:rPr>
          <w:b/>
        </w:rPr>
        <w:t xml:space="preserve">tomography </w:t>
      </w:r>
      <w:r>
        <w:rPr>
          <w:b/>
        </w:rPr>
        <w:t>reveals</w:t>
      </w:r>
      <w:r w:rsidRPr="00B2583A">
        <w:rPr>
          <w:b/>
        </w:rPr>
        <w:t xml:space="preserve"> </w:t>
      </w:r>
      <w:r>
        <w:rPr>
          <w:b/>
        </w:rPr>
        <w:t xml:space="preserve">local microstructure in the bulk LPS </w:t>
      </w:r>
      <w:proofErr w:type="gramStart"/>
      <w:r>
        <w:rPr>
          <w:b/>
        </w:rPr>
        <w:t>pellet</w:t>
      </w:r>
      <w:proofErr w:type="gramEnd"/>
    </w:p>
    <w:p w14:paraId="23141576" w14:textId="010DDF68" w:rsidR="00D756D3" w:rsidRDefault="00FD4F8C" w:rsidP="004F52AA">
      <w:pPr>
        <w:pStyle w:val="ListParagraph"/>
        <w:spacing w:line="480" w:lineRule="auto"/>
        <w:ind w:left="360" w:right="270" w:firstLine="360"/>
        <w:jc w:val="both"/>
        <w:rPr>
          <w:bCs/>
        </w:rPr>
      </w:pPr>
      <w:r w:rsidRPr="00D72961">
        <w:t xml:space="preserve">LPS pellets of varying densities </w:t>
      </w:r>
      <w:r>
        <w:t>were</w:t>
      </w:r>
      <w:r w:rsidRPr="00D72961">
        <w:t xml:space="preserve"> cut in the normal direction using FIB and characterized using SEM under a tilt angle of </w:t>
      </w:r>
      <m:oMath>
        <m:r>
          <w:rPr>
            <w:rFonts w:ascii="Cambria Math" w:hAnsi="Cambria Math"/>
          </w:rPr>
          <m:t>52°</m:t>
        </m:r>
      </m:oMath>
      <w:r w:rsidRPr="00D72961">
        <w:t xml:space="preserve">.The 3D pore microstructure </w:t>
      </w:r>
      <w:r>
        <w:t>at</w:t>
      </w:r>
      <w:r w:rsidRPr="00D72961">
        <w:t xml:space="preserve"> the bottom</w:t>
      </w:r>
      <w:r>
        <w:t xml:space="preserve"> </w:t>
      </w:r>
      <w:r w:rsidRPr="00D72961">
        <w:t xml:space="preserve">right (highlighted in yellow) </w:t>
      </w:r>
      <w:r>
        <w:t>was</w:t>
      </w:r>
      <w:r w:rsidRPr="00D72961">
        <w:t xml:space="preserve"> reconstructed from 100 cross-sectional slides along the milling direction.</w:t>
      </w:r>
      <w:r w:rsidR="000C5EBB">
        <w:t xml:space="preserve"> </w:t>
      </w:r>
      <w:r w:rsidR="00632DDD">
        <w:rPr>
          <w:bCs/>
        </w:rPr>
        <w:t xml:space="preserve">Figure SI-7 </w:t>
      </w:r>
      <w:r w:rsidR="00D756D3">
        <w:t xml:space="preserve">describes the general </w:t>
      </w:r>
      <w:r w:rsidR="00D756D3" w:rsidRPr="00632DDD">
        <w:t xml:space="preserve">procedure of </w:t>
      </w:r>
      <w:proofErr w:type="gramStart"/>
      <w:r w:rsidR="00D756D3" w:rsidRPr="00632DDD">
        <w:t>the characterization</w:t>
      </w:r>
      <w:proofErr w:type="gramEnd"/>
      <w:r w:rsidR="00D756D3" w:rsidRPr="00632DDD">
        <w:t xml:space="preserve">. The LPS pellet was cut in the normal direction with FIB and characterized with SEM tilted by an angle </w:t>
      </w:r>
      <m:oMath>
        <m:r>
          <w:rPr>
            <w:rFonts w:ascii="Cambria Math" w:hAnsi="Cambria Math"/>
          </w:rPr>
          <m:t>θ</m:t>
        </m:r>
      </m:oMath>
      <w:r w:rsidR="00D756D3" w:rsidRPr="00632DDD">
        <w:t xml:space="preserve"> (top-left image). The secondary electron image</w:t>
      </w:r>
      <w:r w:rsidR="00D756D3">
        <w:t xml:space="preserve"> (top-right</w:t>
      </w:r>
      <w:r w:rsidR="00632DDD">
        <w:t xml:space="preserve"> image</w:t>
      </w:r>
      <w:r w:rsidR="00D756D3">
        <w:t>) of the cross section (with size</w:t>
      </w:r>
      <m:oMath>
        <m:r>
          <m:rPr>
            <m:sty m:val="p"/>
          </m:rPr>
          <w:rPr>
            <w:rFonts w:ascii="Cambria Math" w:hAnsi="Cambria Math"/>
          </w:rPr>
          <m:t xml:space="preserve"> </m:t>
        </m:r>
        <m:r>
          <w:rPr>
            <w:rFonts w:ascii="Cambria Math" w:hAnsi="Cambria Math"/>
          </w:rPr>
          <m:t>50μm×50μm</m:t>
        </m:r>
      </m:oMath>
      <w:r w:rsidR="00D756D3">
        <w:t xml:space="preserve">) was captured and analyzed with the image processing software </w:t>
      </w:r>
      <w:r w:rsidR="00D756D3">
        <w:rPr>
          <w:rFonts w:hint="eastAsia"/>
          <w:lang w:eastAsia="zh-CN"/>
        </w:rPr>
        <w:t>Dr</w:t>
      </w:r>
      <w:r w:rsidR="00D756D3">
        <w:t xml:space="preserve">agonfly. </w:t>
      </w:r>
      <w:r w:rsidR="00D756D3">
        <w:fldChar w:fldCharType="begin"/>
      </w:r>
      <w:r w:rsidR="00D756D3">
        <w:instrText xml:space="preserve"> ADDIN EN.CITE &lt;EndNote&gt;&lt;Cite&gt;&lt;Author&gt;2020&lt;/Author&gt;&lt;Year&gt;2020&lt;/Year&gt;&lt;RecNum&gt;175&lt;/RecNum&gt;&lt;DisplayText&gt;&lt;style face="superscript"&gt;[37]&lt;/style&gt;&lt;/DisplayText&gt;&lt;record&gt;&lt;rec-number&gt;175&lt;/rec-number&gt;&lt;foreign-keys&gt;&lt;key app="EN" db-id="zfr2vz09jv5t9oers5wv95095zefvfre9tpe" timestamp="1646322119"&gt;175&lt;/key&gt;&lt;/foreign-keys&gt;&lt;ref-type name="Web Page"&gt;12&lt;/ref-type&gt;&lt;contributors&gt;&lt;authors&gt;&lt;author&gt;Dragonfly 2020&lt;/author&gt;&lt;/authors&gt;&lt;/contributors&gt;&lt;titles&gt;&lt;title&gt;Object Research Systems (ORS) Inc, Montreal, Canada&lt;/title&gt;&lt;/titles&gt;&lt;dates&gt;&lt;year&gt;2020&lt;/year&gt;&lt;/dates&gt;&lt;urls&gt;&lt;/urls&gt;&lt;/record&gt;&lt;/Cite&gt;&lt;/EndNote&gt;</w:instrText>
      </w:r>
      <w:r w:rsidR="00D756D3">
        <w:fldChar w:fldCharType="separate"/>
      </w:r>
      <w:r w:rsidR="00D756D3" w:rsidRPr="00F42FC7">
        <w:rPr>
          <w:noProof/>
          <w:vertAlign w:val="superscript"/>
        </w:rPr>
        <w:t>[37]</w:t>
      </w:r>
      <w:r w:rsidR="00D756D3">
        <w:fldChar w:fldCharType="end"/>
      </w:r>
      <w:r w:rsidR="00D756D3" w:rsidRPr="00716F32">
        <w:rPr>
          <w:i/>
          <w:color w:val="FF0000"/>
        </w:rPr>
        <w:t xml:space="preserve"> </w:t>
      </w:r>
      <w:r w:rsidR="00D756D3">
        <w:t>Multiple cross-sectional slides along the “milling direction” were obtained and analyzed following the same procedure, with final images shown in the bottom-left. The black area in the sequential images represent the pores and the gray area is the LPS material. The 3D structure is constructed from these images (bottom-right image). Pores are highlighted in yellow and LPS material in blue.</w:t>
      </w:r>
    </w:p>
    <w:p w14:paraId="39C5ACCD" w14:textId="0EB76710" w:rsidR="00D756D3" w:rsidRPr="0057582F" w:rsidRDefault="0057582F" w:rsidP="0057582F">
      <w:pPr>
        <w:pStyle w:val="ListParagraph"/>
        <w:spacing w:line="480" w:lineRule="auto"/>
        <w:ind w:left="360" w:right="270" w:hanging="360"/>
        <w:jc w:val="center"/>
        <w:rPr>
          <w:bCs/>
        </w:rPr>
      </w:pPr>
      <w:r w:rsidRPr="0057582F">
        <w:rPr>
          <w:bCs/>
          <w:noProof/>
          <w:lang w:eastAsia="zh-CN"/>
        </w:rPr>
        <w:drawing>
          <wp:inline distT="0" distB="0" distL="0" distR="0" wp14:anchorId="2E130324" wp14:editId="78012A27">
            <wp:extent cx="4457700" cy="3090198"/>
            <wp:effectExtent l="0" t="0" r="0" b="0"/>
            <wp:docPr id="7" name="Picture 7" descr="C:\Users\qhteme\gDrive\research\papers\Ing_0 - Effect of SE Pellet Density on the Failure of Solid-State batteries\figures\figure SI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hteme\gDrive\research\papers\Ing_0 - Effect of SE Pellet Density on the Failure of Solid-State batteries\figures\figure SI_7.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67826" cy="3097218"/>
                    </a:xfrm>
                    <a:prstGeom prst="rect">
                      <a:avLst/>
                    </a:prstGeom>
                    <a:noFill/>
                    <a:ln>
                      <a:noFill/>
                    </a:ln>
                  </pic:spPr>
                </pic:pic>
              </a:graphicData>
            </a:graphic>
          </wp:inline>
        </w:drawing>
      </w:r>
    </w:p>
    <w:p w14:paraId="124CD4E9" w14:textId="449A69EC" w:rsidR="004F52AA" w:rsidRDefault="004F52AA" w:rsidP="00AD7409">
      <w:pPr>
        <w:pStyle w:val="ListParagraph"/>
        <w:spacing w:line="480" w:lineRule="auto"/>
        <w:ind w:left="360" w:right="270" w:hanging="360"/>
        <w:jc w:val="center"/>
        <w:rPr>
          <w:sz w:val="22"/>
        </w:rPr>
      </w:pPr>
      <w:r>
        <w:rPr>
          <w:bCs/>
        </w:rPr>
        <w:t xml:space="preserve">Figure SI-7 </w:t>
      </w:r>
      <w:r w:rsidR="00AD7409" w:rsidRPr="00D72961">
        <w:rPr>
          <w:sz w:val="22"/>
        </w:rPr>
        <w:t>General characterization procedure</w:t>
      </w:r>
    </w:p>
    <w:p w14:paraId="72DE4B30" w14:textId="6E0F0A4D" w:rsidR="000E4288" w:rsidRDefault="000E4288" w:rsidP="000E4288">
      <w:pPr>
        <w:pStyle w:val="ListParagraph"/>
        <w:spacing w:line="480" w:lineRule="auto"/>
        <w:ind w:left="0" w:right="270" w:firstLine="270"/>
        <w:jc w:val="both"/>
      </w:pPr>
      <w:r>
        <w:lastRenderedPageBreak/>
        <w:t xml:space="preserve">A house-developed MATLAB code is applied to the 3D tomography images for a more quantitative analysis. The pore size, porosity, and the connectivity (defined as the ratio between the largest pore volume over the total pore volume) of the three pellets in Figure 3 are calculated statistically in </w:t>
      </w:r>
      <w:r w:rsidRPr="005649CC">
        <w:rPr>
          <w:i/>
          <w:color w:val="FF0000"/>
        </w:rPr>
        <w:t>Figure SI-</w:t>
      </w:r>
      <w:r>
        <w:rPr>
          <w:i/>
          <w:color w:val="FF0000"/>
        </w:rPr>
        <w:t>8</w:t>
      </w:r>
      <w:r>
        <w:t>.</w:t>
      </w:r>
    </w:p>
    <w:p w14:paraId="520B1CF7" w14:textId="0F630647" w:rsidR="00917B2F" w:rsidRPr="004F52AA" w:rsidRDefault="00917B2F" w:rsidP="000E4288">
      <w:pPr>
        <w:pStyle w:val="ListParagraph"/>
        <w:spacing w:line="480" w:lineRule="auto"/>
        <w:ind w:left="0" w:right="270" w:firstLine="270"/>
        <w:jc w:val="both"/>
        <w:rPr>
          <w:bCs/>
        </w:rPr>
      </w:pPr>
      <w:r>
        <w:t>In summary, a range of pore size with</w:t>
      </w:r>
      <m:oMath>
        <m:r>
          <m:rPr>
            <m:sty m:val="p"/>
          </m:rPr>
          <w:rPr>
            <w:rFonts w:ascii="Cambria Math" w:hAnsi="Cambria Math"/>
          </w:rPr>
          <m:t xml:space="preserve"> 1~2 </m:t>
        </m:r>
        <m:r>
          <w:rPr>
            <w:rFonts w:ascii="Cambria Math" w:hAnsi="Cambria Math"/>
          </w:rPr>
          <m:t>μm</m:t>
        </m:r>
      </m:oMath>
      <w:r>
        <w:t xml:space="preserve">, </w:t>
      </w:r>
      <m:oMath>
        <m:r>
          <m:rPr>
            <m:sty m:val="p"/>
          </m:rPr>
          <w:rPr>
            <w:rFonts w:ascii="Cambria Math" w:hAnsi="Cambria Math"/>
          </w:rPr>
          <m:t xml:space="preserve">0.2~0.8 </m:t>
        </m:r>
        <m:r>
          <w:rPr>
            <w:rFonts w:ascii="Cambria Math" w:hAnsi="Cambria Math"/>
          </w:rPr>
          <m:t>μm</m:t>
        </m:r>
      </m:oMath>
      <w:r>
        <w:t xml:space="preserve"> and </w:t>
      </w:r>
      <m:oMath>
        <m:r>
          <m:rPr>
            <m:sty m:val="p"/>
          </m:rPr>
          <w:rPr>
            <w:rFonts w:ascii="Cambria Math" w:hAnsi="Cambria Math"/>
          </w:rPr>
          <m:t xml:space="preserve">&lt;0.1 </m:t>
        </m:r>
        <m:r>
          <w:rPr>
            <w:rFonts w:ascii="Cambria Math" w:hAnsi="Cambria Math"/>
          </w:rPr>
          <m:t>μm</m:t>
        </m:r>
      </m:oMath>
      <w:r>
        <w:t xml:space="preserve"> are observed in the LPS-81.3%, LPS-89.5%, and LPS-100%, respectively. The porosity of these three pellets </w:t>
      </w:r>
      <w:proofErr w:type="gramStart"/>
      <w:r>
        <w:t>are</w:t>
      </w:r>
      <w:proofErr w:type="gramEnd"/>
      <w:r>
        <w:t xml:space="preserve"> 8.43%, 2.28%, and 0.02%, respectively; and their connectivity values are 76.8%, 4.88%, and 3.34%, respectively.</w:t>
      </w:r>
    </w:p>
    <w:p w14:paraId="5F57CE50" w14:textId="46B53B0D" w:rsidR="00936EBD" w:rsidRDefault="00511C6F" w:rsidP="008D50F2">
      <w:pPr>
        <w:pStyle w:val="ListParagraph"/>
        <w:spacing w:line="480" w:lineRule="auto"/>
        <w:ind w:left="0" w:right="270"/>
        <w:jc w:val="center"/>
        <w:rPr>
          <w:b/>
          <w:sz w:val="22"/>
        </w:rPr>
      </w:pPr>
      <w:r w:rsidRPr="00511C6F">
        <w:rPr>
          <w:b/>
          <w:noProof/>
          <w:sz w:val="22"/>
          <w:lang w:eastAsia="zh-CN"/>
        </w:rPr>
        <w:drawing>
          <wp:inline distT="0" distB="0" distL="0" distR="0" wp14:anchorId="68A8C080" wp14:editId="4CE26B76">
            <wp:extent cx="5943600" cy="2703310"/>
            <wp:effectExtent l="0" t="0" r="0" b="0"/>
            <wp:docPr id="8" name="Picture 8" descr="C:\Users\qhteme\gDrive\research\papers\Ing_0 - Effect of SE Pellet Density on the Failure of Solid-State batteries\figures\figure SI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hteme\gDrive\research\papers\Ing_0 - Effect of SE Pellet Density on the Failure of Solid-State batteries\figures\figure SI_6.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2703310"/>
                    </a:xfrm>
                    <a:prstGeom prst="rect">
                      <a:avLst/>
                    </a:prstGeom>
                    <a:noFill/>
                    <a:ln>
                      <a:noFill/>
                    </a:ln>
                  </pic:spPr>
                </pic:pic>
              </a:graphicData>
            </a:graphic>
          </wp:inline>
        </w:drawing>
      </w:r>
    </w:p>
    <w:p w14:paraId="7C58BBDC" w14:textId="37B104D3" w:rsidR="00946FCB" w:rsidRDefault="00946FCB" w:rsidP="004F52AA">
      <w:pPr>
        <w:pStyle w:val="ListParagraph"/>
        <w:spacing w:line="480" w:lineRule="auto"/>
        <w:ind w:left="1080" w:right="270"/>
        <w:jc w:val="center"/>
      </w:pPr>
      <w:r w:rsidRPr="00946FCB">
        <w:rPr>
          <w:b/>
          <w:sz w:val="22"/>
        </w:rPr>
        <w:t>Figure SI-</w:t>
      </w:r>
      <w:r w:rsidR="008131E3">
        <w:rPr>
          <w:b/>
          <w:sz w:val="22"/>
        </w:rPr>
        <w:t>8</w:t>
      </w:r>
      <w:r w:rsidRPr="00946FCB">
        <w:rPr>
          <w:b/>
          <w:sz w:val="22"/>
        </w:rPr>
        <w:t>.</w:t>
      </w:r>
      <w:r w:rsidRPr="00946FCB">
        <w:rPr>
          <w:sz w:val="22"/>
        </w:rPr>
        <w:t xml:space="preserve"> The </w:t>
      </w:r>
      <w:r w:rsidR="008D50F2">
        <w:rPr>
          <w:sz w:val="22"/>
        </w:rPr>
        <w:t xml:space="preserve">statistics of voids </w:t>
      </w:r>
      <w:r w:rsidR="008131E3">
        <w:rPr>
          <w:sz w:val="22"/>
        </w:rPr>
        <w:t xml:space="preserve">in </w:t>
      </w:r>
      <w:r w:rsidR="008131E3">
        <w:rPr>
          <w:bCs/>
        </w:rPr>
        <w:t>pores with different densities</w:t>
      </w:r>
      <w:r w:rsidR="008D50F2">
        <w:rPr>
          <w:sz w:val="22"/>
        </w:rPr>
        <w:t>.</w:t>
      </w:r>
    </w:p>
    <w:p w14:paraId="7C5B910A" w14:textId="64F47D66" w:rsidR="0071122C" w:rsidRDefault="0071122C" w:rsidP="0071122C">
      <w:pPr>
        <w:spacing w:line="480" w:lineRule="auto"/>
        <w:ind w:right="360"/>
        <w:jc w:val="both"/>
        <w:rPr>
          <w:sz w:val="22"/>
        </w:rPr>
      </w:pPr>
    </w:p>
    <w:p w14:paraId="127BA752" w14:textId="2CCEB288" w:rsidR="00917B2F" w:rsidRDefault="00917B2F" w:rsidP="0071122C">
      <w:pPr>
        <w:spacing w:line="480" w:lineRule="auto"/>
        <w:ind w:right="360"/>
        <w:jc w:val="both"/>
        <w:rPr>
          <w:sz w:val="22"/>
        </w:rPr>
      </w:pPr>
    </w:p>
    <w:p w14:paraId="10A3D8A9" w14:textId="78BB8948" w:rsidR="00917B2F" w:rsidRDefault="00917B2F" w:rsidP="0071122C">
      <w:pPr>
        <w:spacing w:line="480" w:lineRule="auto"/>
        <w:ind w:right="360"/>
        <w:jc w:val="both"/>
        <w:rPr>
          <w:sz w:val="22"/>
        </w:rPr>
      </w:pPr>
    </w:p>
    <w:p w14:paraId="4D8E90B5" w14:textId="71524BD7" w:rsidR="00917B2F" w:rsidRDefault="00917B2F" w:rsidP="0071122C">
      <w:pPr>
        <w:spacing w:line="480" w:lineRule="auto"/>
        <w:ind w:right="360"/>
        <w:jc w:val="both"/>
        <w:rPr>
          <w:sz w:val="22"/>
        </w:rPr>
      </w:pPr>
    </w:p>
    <w:p w14:paraId="7D345A02" w14:textId="77777777" w:rsidR="00917B2F" w:rsidRPr="00105F30" w:rsidRDefault="00917B2F" w:rsidP="0071122C">
      <w:pPr>
        <w:spacing w:line="480" w:lineRule="auto"/>
        <w:ind w:right="360"/>
        <w:jc w:val="both"/>
        <w:rPr>
          <w:sz w:val="22"/>
        </w:rPr>
      </w:pPr>
    </w:p>
    <w:p w14:paraId="5FD82DCF" w14:textId="77777777" w:rsidR="0071122C" w:rsidRDefault="0071122C" w:rsidP="0071122C">
      <w:pPr>
        <w:pStyle w:val="ListParagraph"/>
        <w:numPr>
          <w:ilvl w:val="0"/>
          <w:numId w:val="14"/>
        </w:numPr>
        <w:spacing w:line="480" w:lineRule="auto"/>
        <w:ind w:left="360" w:right="360"/>
        <w:jc w:val="both"/>
        <w:rPr>
          <w:b/>
        </w:rPr>
      </w:pPr>
      <w:r>
        <w:rPr>
          <w:b/>
        </w:rPr>
        <w:lastRenderedPageBreak/>
        <w:t>The permeability tests and analysis</w:t>
      </w:r>
    </w:p>
    <w:p w14:paraId="03623DBD" w14:textId="526691B2" w:rsidR="0071122C" w:rsidRDefault="0071122C" w:rsidP="0071122C">
      <w:pPr>
        <w:pStyle w:val="ListParagraph"/>
        <w:spacing w:line="480" w:lineRule="auto"/>
        <w:ind w:left="0" w:right="360" w:firstLine="360"/>
        <w:jc w:val="both"/>
        <w:rPr>
          <w:color w:val="FF0000"/>
          <w:lang w:eastAsia="zh-CN"/>
        </w:rPr>
      </w:pPr>
      <w:r>
        <w:t>The p</w:t>
      </w:r>
      <w:r w:rsidRPr="00D72961">
        <w:t xml:space="preserve">ore connectivity </w:t>
      </w:r>
      <w:r>
        <w:t>was</w:t>
      </w:r>
      <w:r w:rsidRPr="00D72961">
        <w:t xml:space="preserve"> </w:t>
      </w:r>
      <w:r>
        <w:t xml:space="preserve">also </w:t>
      </w:r>
      <w:r w:rsidRPr="00D72961">
        <w:t xml:space="preserve">quantified using </w:t>
      </w:r>
      <w:r>
        <w:t>the apparatus shown in Figure SI-</w:t>
      </w:r>
      <w:r w:rsidR="004F52AA">
        <w:t>8</w:t>
      </w:r>
      <w:r w:rsidRPr="00D72961">
        <w:t>.</w:t>
      </w:r>
      <w:r w:rsidRPr="00D72961">
        <w:rPr>
          <w:color w:val="FF0000"/>
          <w:lang w:eastAsia="zh-CN"/>
        </w:rPr>
        <w:t xml:space="preserve"> </w:t>
      </w:r>
    </w:p>
    <w:p w14:paraId="6AE71F79" w14:textId="77777777" w:rsidR="0071122C" w:rsidRPr="00656242" w:rsidRDefault="0071122C" w:rsidP="0071122C">
      <w:pPr>
        <w:pStyle w:val="ListParagraph"/>
        <w:spacing w:line="480" w:lineRule="auto"/>
        <w:ind w:left="0" w:firstLine="360"/>
        <w:jc w:val="both"/>
        <w:rPr>
          <w:lang w:eastAsia="zh-CN"/>
        </w:rPr>
      </w:pPr>
      <w:r w:rsidRPr="00656242">
        <w:t xml:space="preserve">The quantitative pellet permeability can be calculated using the modified Darcy’s law by considering the Klinkenberg effect due to the compressible </w:t>
      </w:r>
      <w:proofErr w:type="spellStart"/>
      <w:r w:rsidRPr="00656242">
        <w:t>Ar</w:t>
      </w:r>
      <w:proofErr w:type="spellEnd"/>
      <w:r w:rsidRPr="00656242">
        <w:t xml:space="preserve"> </w:t>
      </w:r>
      <w:r w:rsidRPr="00656242">
        <w:fldChar w:fldCharType="begin"/>
      </w:r>
      <w:r w:rsidRPr="00656242">
        <w:instrText xml:space="preserve"> ADDIN EN.CITE &lt;EndNote&gt;&lt;Cite&gt;&lt;Author&gt;Shugard&lt;/Author&gt;&lt;Year&gt;2014&lt;/Year&gt;&lt;RecNum&gt;173&lt;/RecNum&gt;&lt;DisplayText&gt;&lt;style face="superscript"&gt;[32, 33]&lt;/style&gt;&lt;/DisplayText&gt;&lt;record&gt;&lt;rec-number&gt;173&lt;/rec-number&gt;&lt;foreign-keys&gt;&lt;key app="EN" db-id="zfr2vz09jv5t9oers5wv95095zefvfre9tpe" timestamp="1645968681"&gt;173&lt;/key&gt;&lt;/foreign-keys&gt;&lt;ref-type name="Report"&gt;27&lt;/ref-type&gt;&lt;contributors&gt;&lt;authors&gt;&lt;author&gt;Shugard, Andrew D.&lt;/author&gt;&lt;author&gt;Robinson, David B.&lt;/author&gt;&lt;/authors&gt;&lt;/contributors&gt;&lt;titles&gt;&lt;title&gt;A simple model of gas flow in a porous powder compact&lt;/title&gt;&lt;/titles&gt;&lt;dates&gt;&lt;year&gt;2014&lt;/year&gt;&lt;/dates&gt;&lt;publisher&gt;Sandia National Lab.(SNL-CA), Livermore, CA (United States)&lt;/publisher&gt;&lt;urls&gt;&lt;/urls&gt;&lt;/record&gt;&lt;/Cite&gt;&lt;Cite&gt;&lt;Author&gt;Wu&lt;/Author&gt;&lt;Year&gt;1998&lt;/Year&gt;&lt;RecNum&gt;172&lt;/RecNum&gt;&lt;record&gt;&lt;rec-number&gt;172&lt;/rec-number&gt;&lt;foreign-keys&gt;&lt;key app="EN" db-id="zfr2vz09jv5t9oers5wv95095zefvfre9tpe" timestamp="1645968664"&gt;172&lt;/key&gt;&lt;/foreign-keys&gt;&lt;ref-type name="Journal Article"&gt;17&lt;/ref-type&gt;&lt;contributors&gt;&lt;authors&gt;&lt;author&gt;Wu, Yu-Shu&lt;/author&gt;&lt;author&gt;Pruess, Karsten&lt;/author&gt;&lt;/authors&gt;&lt;/contributors&gt;&lt;titles&gt;&lt;title&gt;Gas flow in porous media with Klinkenberg effects&lt;/title&gt;&lt;secondary-title&gt;Transport in porous Media&lt;/secondary-title&gt;&lt;/titles&gt;&lt;periodical&gt;&lt;full-title&gt;Transport in porous Media&lt;/full-title&gt;&lt;/periodical&gt;&lt;pages&gt;117-137&lt;/pages&gt;&lt;volume&gt;32&lt;/volume&gt;&lt;number&gt;1&lt;/number&gt;&lt;dates&gt;&lt;year&gt;1998&lt;/year&gt;&lt;/dates&gt;&lt;publisher&gt;Springer&lt;/publisher&gt;&lt;isbn&gt;1573-1634&lt;/isbn&gt;&lt;urls&gt;&lt;/urls&gt;&lt;/record&gt;&lt;/Cite&gt;&lt;/EndNote&gt;</w:instrText>
      </w:r>
      <w:r w:rsidRPr="00656242">
        <w:fldChar w:fldCharType="separate"/>
      </w:r>
      <w:r w:rsidRPr="00656242">
        <w:rPr>
          <w:noProof/>
          <w:vertAlign w:val="superscript"/>
        </w:rPr>
        <w:t>[32, 33]</w:t>
      </w:r>
      <w:r w:rsidRPr="00656242">
        <w:fldChar w:fldCharType="end"/>
      </w:r>
      <w:r w:rsidRPr="00656242">
        <w:t>. In summary, Darcy’s equation describes the linear relation between the flowrate (</w:t>
      </w:r>
      <m:oMath>
        <m:r>
          <w:rPr>
            <w:rFonts w:ascii="Cambria Math" w:hAnsi="Cambria Math"/>
          </w:rPr>
          <m:t>Q</m:t>
        </m:r>
      </m:oMath>
      <w:r w:rsidRPr="00656242">
        <w:t>) and the pressure drop (</w:t>
      </w:r>
      <m:oMath>
        <m:r>
          <w:rPr>
            <w:rFonts w:ascii="Cambria Math" w:hAnsi="Cambria Math"/>
          </w:rPr>
          <m:t>∆P</m:t>
        </m:r>
      </m:oMath>
      <w:r w:rsidRPr="00656242">
        <w:t>) across the pellet thickness</w:t>
      </w:r>
      <m:oMath>
        <m:r>
          <w:rPr>
            <w:rFonts w:ascii="Cambria Math" w:hAnsi="Cambria Math"/>
          </w:rPr>
          <m:t xml:space="preserve"> (L=2mm)</m:t>
        </m:r>
      </m:oMath>
      <w:r w:rsidRPr="00656242">
        <w:t>:</w:t>
      </w:r>
      <m:oMath>
        <m:r>
          <w:rPr>
            <w:rFonts w:ascii="Cambria Math" w:hAnsi="Cambria Math"/>
          </w:rPr>
          <m:t xml:space="preserve">  </m:t>
        </m:r>
        <m:f>
          <m:fPr>
            <m:ctrlPr>
              <w:rPr>
                <w:rFonts w:ascii="Cambria Math" w:hAnsi="Cambria Math"/>
                <w:i/>
              </w:rPr>
            </m:ctrlPr>
          </m:fPr>
          <m:num>
            <m:r>
              <w:rPr>
                <w:rFonts w:ascii="Cambria Math" w:hAnsi="Cambria Math"/>
              </w:rPr>
              <m:t>Q</m:t>
            </m:r>
          </m:num>
          <m:den>
            <m:r>
              <w:rPr>
                <w:rFonts w:ascii="Cambria Math" w:hAnsi="Cambria Math"/>
                <w:lang w:eastAsia="zh-CN"/>
              </w:rPr>
              <m:t>A</m:t>
            </m:r>
          </m:den>
        </m:f>
        <m:r>
          <w:rPr>
            <w:rFonts w:ascii="Cambria Math" w:hAnsi="Cambria Math"/>
          </w:rPr>
          <m:t>= -</m:t>
        </m:r>
        <m:f>
          <m:fPr>
            <m:ctrlPr>
              <w:rPr>
                <w:rFonts w:ascii="Cambria Math" w:hAnsi="Cambria Math"/>
                <w:i/>
              </w:rPr>
            </m:ctrlPr>
          </m:fPr>
          <m:num>
            <m:r>
              <w:rPr>
                <w:rFonts w:ascii="Cambria Math" w:hAnsi="Cambria Math"/>
              </w:rPr>
              <m:t>k</m:t>
            </m:r>
          </m:num>
          <m:den>
            <m:r>
              <w:rPr>
                <w:rFonts w:ascii="Cambria Math" w:hAnsi="Cambria Math"/>
              </w:rPr>
              <m:t>μL</m:t>
            </m:r>
          </m:den>
        </m:f>
        <m:r>
          <w:rPr>
            <w:rFonts w:ascii="Cambria Math" w:hAnsi="Cambria Math"/>
          </w:rPr>
          <m:t>∆P</m:t>
        </m:r>
      </m:oMath>
      <w:r w:rsidRPr="00656242">
        <w:t xml:space="preserve">, where </w:t>
      </w:r>
      <m:oMath>
        <m:r>
          <w:rPr>
            <w:rFonts w:ascii="Cambria Math" w:hAnsi="Cambria Math"/>
            <w:lang w:eastAsia="zh-CN"/>
          </w:rPr>
          <m:t>A</m:t>
        </m:r>
      </m:oMath>
      <w:r w:rsidRPr="00656242">
        <w:rPr>
          <w:lang w:eastAsia="zh-CN"/>
        </w:rPr>
        <w:t xml:space="preserve"> is the cross-sectional area of the top tube,</w:t>
      </w:r>
      <w:r w:rsidRPr="00656242">
        <w:t xml:space="preserve"> </w:t>
      </w:r>
      <m:oMath>
        <m:r>
          <w:rPr>
            <w:rFonts w:ascii="Cambria Math" w:hAnsi="Cambria Math"/>
          </w:rPr>
          <m:t>k</m:t>
        </m:r>
      </m:oMath>
      <w:r w:rsidRPr="00656242">
        <w:t xml:space="preserve"> is the pellet permeability, and </w:t>
      </w:r>
      <m:oMath>
        <m:r>
          <w:rPr>
            <w:rFonts w:ascii="Cambria Math" w:hAnsi="Cambria Math"/>
          </w:rPr>
          <m:t>μ</m:t>
        </m:r>
      </m:oMath>
      <w:r w:rsidRPr="00656242">
        <w:t xml:space="preserve"> is the dynamic viscosity of the Ar gas within the LPS pellet (</w:t>
      </w:r>
      <m:oMath>
        <m:sSub>
          <m:sSubPr>
            <m:ctrlPr>
              <w:rPr>
                <w:rFonts w:ascii="Cambria Math" w:hAnsi="Cambria Math"/>
                <w:i/>
              </w:rPr>
            </m:ctrlPr>
          </m:sSubPr>
          <m:e>
            <m:r>
              <w:rPr>
                <w:rFonts w:ascii="Cambria Math" w:hAnsi="Cambria Math"/>
              </w:rPr>
              <m:t>μ</m:t>
            </m:r>
          </m:e>
          <m:sub>
            <m:r>
              <w:rPr>
                <w:rFonts w:ascii="Cambria Math" w:hAnsi="Cambria Math"/>
              </w:rPr>
              <m:t>Ar</m:t>
            </m:r>
          </m:sub>
        </m:sSub>
        <m:r>
          <w:rPr>
            <w:rFonts w:ascii="Cambria Math" w:hAnsi="Cambria Math"/>
          </w:rPr>
          <m:t>=2.23×</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Pa ⋅s</m:t>
        </m:r>
      </m:oMath>
      <w:r w:rsidRPr="00656242">
        <w:t xml:space="preserve">). </w:t>
      </w:r>
      <w:r w:rsidRPr="00656242">
        <w:fldChar w:fldCharType="begin"/>
      </w:r>
      <w:r w:rsidRPr="00656242">
        <w:instrText xml:space="preserve"> ADDIN EN.CITE &lt;EndNote&gt;&lt;Cite&gt;&lt;Author&gt;Vogel&lt;/Author&gt;&lt;Year&gt;2010&lt;/Year&gt;&lt;RecNum&gt;174&lt;/RecNum&gt;&lt;DisplayText&gt;&lt;style face="superscript"&gt;[34]&lt;/style&gt;&lt;/DisplayText&gt;&lt;record&gt;&lt;rec-number&gt;174&lt;/rec-number&gt;&lt;foreign-keys&gt;&lt;key app="EN" db-id="zfr2vz09jv5t9oers5wv95095zefvfre9tpe" timestamp="1645969217"&gt;174&lt;/key&gt;&lt;/foreign-keys&gt;&lt;ref-type name="Journal Article"&gt;17&lt;/ref-type&gt;&lt;contributors&gt;&lt;authors&gt;&lt;author&gt;Vogel, E.&lt;/author&gt;&lt;/authors&gt;&lt;/contributors&gt;&lt;titles&gt;&lt;title&gt;Reference viscosity of argon at low density in the temperature range from 290 K to 680 K&lt;/title&gt;&lt;secondary-title&gt;International Journal of Thermophysics&lt;/secondary-title&gt;&lt;/titles&gt;&lt;periodical&gt;&lt;full-title&gt;International Journal of Thermophysics&lt;/full-title&gt;&lt;/periodical&gt;&lt;pages&gt;447-461&lt;/pages&gt;&lt;volume&gt;31&lt;/volume&gt;&lt;number&gt;3&lt;/number&gt;&lt;dates&gt;&lt;year&gt;2010&lt;/year&gt;&lt;/dates&gt;&lt;publisher&gt;Springer&lt;/publisher&gt;&lt;isbn&gt;1572-9567&lt;/isbn&gt;&lt;urls&gt;&lt;/urls&gt;&lt;/record&gt;&lt;/Cite&gt;&lt;/EndNote&gt;</w:instrText>
      </w:r>
      <w:r w:rsidRPr="00656242">
        <w:fldChar w:fldCharType="separate"/>
      </w:r>
      <w:r w:rsidRPr="00656242">
        <w:rPr>
          <w:vertAlign w:val="superscript"/>
        </w:rPr>
        <w:t>[34]</w:t>
      </w:r>
      <w:r w:rsidRPr="00656242">
        <w:fldChar w:fldCharType="end"/>
      </w:r>
      <w:r w:rsidRPr="00656242">
        <w:t xml:space="preserve"> </w:t>
      </w:r>
      <w:r w:rsidRPr="00656242">
        <w:rPr>
          <w:rFonts w:eastAsiaTheme="minorEastAsia"/>
        </w:rPr>
        <w:t xml:space="preserve">The permeability of the four pellets in Figure 3f can therefore be extrapolated </w:t>
      </w:r>
      <w:bookmarkStart w:id="1" w:name="_Hlk118460604"/>
      <w:r w:rsidRPr="00656242">
        <w:rPr>
          <w:rFonts w:eastAsiaTheme="minorEastAsia"/>
        </w:rPr>
        <w:t>as</w:t>
      </w:r>
      <m:oMath>
        <m:r>
          <w:rPr>
            <w:rFonts w:ascii="Cambria Math" w:eastAsiaTheme="minorEastAsia"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82%</m:t>
            </m:r>
          </m:sub>
        </m:sSub>
        <m:r>
          <w:rPr>
            <w:rFonts w:ascii="Cambria Math" w:hAnsi="Cambria Math"/>
          </w:rPr>
          <m:t>=1.50×</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μ</m:t>
        </m:r>
        <m:sSup>
          <m:sSupPr>
            <m:ctrlPr>
              <w:rPr>
                <w:rFonts w:ascii="Cambria Math" w:hAnsi="Cambria Math"/>
                <w:i/>
              </w:rPr>
            </m:ctrlPr>
          </m:sSupPr>
          <m:e>
            <m:r>
              <w:rPr>
                <w:rFonts w:ascii="Cambria Math" w:hAnsi="Cambria Math"/>
              </w:rPr>
              <m:t>m</m:t>
            </m:r>
          </m:e>
          <m:sup>
            <m:r>
              <w:rPr>
                <w:rFonts w:ascii="Cambria Math" w:hAnsi="Cambria Math"/>
              </w:rPr>
              <m:t>2</m:t>
            </m:r>
          </m:sup>
        </m:sSup>
      </m:oMath>
      <w:r w:rsidRPr="00656242">
        <w:rPr>
          <w:rFonts w:eastAsiaTheme="minorEastAsia"/>
        </w:rPr>
        <w:t xml:space="preserve">, </w:t>
      </w:r>
      <m:oMath>
        <m:sSub>
          <m:sSubPr>
            <m:ctrlPr>
              <w:rPr>
                <w:rFonts w:ascii="Cambria Math" w:hAnsi="Cambria Math"/>
                <w:i/>
              </w:rPr>
            </m:ctrlPr>
          </m:sSubPr>
          <m:e>
            <m:r>
              <w:rPr>
                <w:rFonts w:ascii="Cambria Math" w:hAnsi="Cambria Math"/>
              </w:rPr>
              <m:t>k</m:t>
            </m:r>
          </m:e>
          <m:sub>
            <m:r>
              <w:rPr>
                <w:rFonts w:ascii="Cambria Math" w:hAnsi="Cambria Math"/>
              </w:rPr>
              <m:t>89%</m:t>
            </m:r>
          </m:sub>
        </m:sSub>
        <m:r>
          <w:rPr>
            <w:rFonts w:ascii="Cambria Math" w:hAnsi="Cambria Math"/>
          </w:rPr>
          <m:t>=3.86×</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μ</m:t>
        </m:r>
        <m:sSup>
          <m:sSupPr>
            <m:ctrlPr>
              <w:rPr>
                <w:rFonts w:ascii="Cambria Math" w:hAnsi="Cambria Math"/>
                <w:i/>
              </w:rPr>
            </m:ctrlPr>
          </m:sSupPr>
          <m:e>
            <m:r>
              <w:rPr>
                <w:rFonts w:ascii="Cambria Math" w:hAnsi="Cambria Math"/>
              </w:rPr>
              <m:t>m</m:t>
            </m:r>
          </m:e>
          <m:sup>
            <m:r>
              <w:rPr>
                <w:rFonts w:ascii="Cambria Math" w:hAnsi="Cambria Math"/>
              </w:rPr>
              <m:t>2</m:t>
            </m:r>
          </m:sup>
        </m:sSup>
      </m:oMath>
      <w:r w:rsidRPr="00656242">
        <w:rPr>
          <w:rFonts w:eastAsiaTheme="minorEastAsia"/>
        </w:rPr>
        <w:t xml:space="preserve">, </w:t>
      </w:r>
      <m:oMath>
        <m:sSub>
          <m:sSubPr>
            <m:ctrlPr>
              <w:rPr>
                <w:rFonts w:ascii="Cambria Math" w:hAnsi="Cambria Math"/>
                <w:i/>
              </w:rPr>
            </m:ctrlPr>
          </m:sSubPr>
          <m:e>
            <m:r>
              <w:rPr>
                <w:rFonts w:ascii="Cambria Math" w:hAnsi="Cambria Math"/>
              </w:rPr>
              <m:t>k</m:t>
            </m:r>
          </m:e>
          <m:sub>
            <m:r>
              <w:rPr>
                <w:rFonts w:ascii="Cambria Math" w:hAnsi="Cambria Math"/>
              </w:rPr>
              <m:t>95%</m:t>
            </m:r>
          </m:sub>
        </m:sSub>
        <m:r>
          <w:rPr>
            <w:rFonts w:ascii="Cambria Math" w:hAnsi="Cambria Math"/>
          </w:rPr>
          <m:t>=1.82×</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μ</m:t>
        </m:r>
        <m:sSup>
          <m:sSupPr>
            <m:ctrlPr>
              <w:rPr>
                <w:rFonts w:ascii="Cambria Math" w:hAnsi="Cambria Math"/>
                <w:i/>
              </w:rPr>
            </m:ctrlPr>
          </m:sSupPr>
          <m:e>
            <m:r>
              <w:rPr>
                <w:rFonts w:ascii="Cambria Math" w:hAnsi="Cambria Math"/>
              </w:rPr>
              <m:t>m</m:t>
            </m:r>
          </m:e>
          <m:sup>
            <m:r>
              <w:rPr>
                <w:rFonts w:ascii="Cambria Math" w:hAnsi="Cambria Math"/>
              </w:rPr>
              <m:t>2</m:t>
            </m:r>
          </m:sup>
        </m:sSup>
      </m:oMath>
      <w:r w:rsidRPr="00656242">
        <w:rPr>
          <w:rFonts w:eastAsiaTheme="minorEastAsia"/>
        </w:rPr>
        <w:t xml:space="preserve">, and </w:t>
      </w:r>
      <m:oMath>
        <m:sSub>
          <m:sSubPr>
            <m:ctrlPr>
              <w:rPr>
                <w:rFonts w:ascii="Cambria Math" w:hAnsi="Cambria Math"/>
                <w:i/>
              </w:rPr>
            </m:ctrlPr>
          </m:sSubPr>
          <m:e>
            <m:r>
              <w:rPr>
                <w:rFonts w:ascii="Cambria Math" w:hAnsi="Cambria Math"/>
              </w:rPr>
              <m:t>k</m:t>
            </m:r>
          </m:e>
          <m:sub>
            <m:r>
              <w:rPr>
                <w:rFonts w:ascii="Cambria Math" w:hAnsi="Cambria Math"/>
              </w:rPr>
              <m:t>99%</m:t>
            </m:r>
          </m:sub>
        </m:sSub>
        <m:r>
          <w:rPr>
            <w:rFonts w:ascii="Cambria Math" w:hAnsi="Cambria Math" w:hint="eastAsia"/>
          </w:rPr>
          <m:t>≈</m:t>
        </m:r>
        <m:r>
          <w:rPr>
            <w:rFonts w:ascii="Cambria Math" w:hAnsi="Cambria Math"/>
          </w:rPr>
          <m:t>0</m:t>
        </m:r>
      </m:oMath>
      <w:r w:rsidRPr="00656242">
        <w:rPr>
          <w:rFonts w:eastAsiaTheme="minorEastAsia"/>
        </w:rPr>
        <w:t>.</w:t>
      </w:r>
    </w:p>
    <w:bookmarkEnd w:id="1"/>
    <w:p w14:paraId="3FAF5E6B" w14:textId="77777777" w:rsidR="0071122C" w:rsidRPr="0047282F" w:rsidRDefault="0071122C" w:rsidP="0071122C">
      <w:pPr>
        <w:pStyle w:val="ListParagraph"/>
        <w:spacing w:after="240" w:line="480" w:lineRule="auto"/>
        <w:ind w:left="0" w:firstLine="360"/>
        <w:contextualSpacing w:val="0"/>
        <w:jc w:val="both"/>
      </w:pPr>
      <w:r w:rsidRPr="00656242">
        <w:t>The pellet permeability (</w:t>
      </w:r>
      <m:oMath>
        <m:r>
          <w:rPr>
            <w:rFonts w:ascii="Cambria Math" w:hAnsi="Cambria Math"/>
          </w:rPr>
          <m:t>k</m:t>
        </m:r>
      </m:oMath>
      <w:r w:rsidRPr="00656242">
        <w:t>) can further be related to the microstructural parameters through the Carman–Kozeny relation:</w:t>
      </w:r>
      <m:oMath>
        <m:r>
          <w:rPr>
            <w:rFonts w:ascii="Cambria Math" w:hAnsi="Cambria Math"/>
          </w:rPr>
          <m:t xml:space="preserve"> k=</m:t>
        </m:r>
        <m:f>
          <m:fPr>
            <m:ctrlPr>
              <w:rPr>
                <w:rFonts w:ascii="Cambria Math" w:hAnsi="Cambria Math"/>
                <w:i/>
              </w:rPr>
            </m:ctrlPr>
          </m:fPr>
          <m:num>
            <m:sSup>
              <m:sSupPr>
                <m:ctrlPr>
                  <w:rPr>
                    <w:rFonts w:ascii="Cambria Math" w:hAnsi="Cambria Math"/>
                    <w:i/>
                  </w:rPr>
                </m:ctrlPr>
              </m:sSupPr>
              <m:e>
                <m:r>
                  <w:rPr>
                    <w:rFonts w:ascii="Cambria Math" w:hAnsi="Cambria Math"/>
                  </w:rPr>
                  <m:t>d</m:t>
                </m:r>
              </m:e>
              <m:sup>
                <m:r>
                  <w:rPr>
                    <w:rFonts w:ascii="Cambria Math" w:hAnsi="Cambria Math"/>
                  </w:rPr>
                  <m:t>2</m:t>
                </m:r>
              </m:sup>
            </m:sSup>
          </m:num>
          <m:den>
            <m:r>
              <w:rPr>
                <w:rFonts w:ascii="Cambria Math" w:hAnsi="Cambria Math"/>
              </w:rPr>
              <m:t>72</m:t>
            </m:r>
          </m:den>
        </m:f>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1-ρ</m:t>
                    </m:r>
                  </m:e>
                </m:d>
              </m:e>
              <m:sup>
                <m:r>
                  <w:rPr>
                    <w:rFonts w:ascii="Cambria Math" w:hAnsi="Cambria Math"/>
                  </w:rPr>
                  <m:t>3</m:t>
                </m:r>
              </m:sup>
            </m:sSup>
          </m:num>
          <m:den>
            <m:sSup>
              <m:sSupPr>
                <m:ctrlPr>
                  <w:rPr>
                    <w:rFonts w:ascii="Cambria Math" w:hAnsi="Cambria Math"/>
                    <w:i/>
                  </w:rPr>
                </m:ctrlPr>
              </m:sSupPr>
              <m:e>
                <m:r>
                  <w:rPr>
                    <w:rFonts w:ascii="Cambria Math" w:hAnsi="Cambria Math"/>
                  </w:rPr>
                  <m:t>ρ</m:t>
                </m:r>
              </m:e>
              <m:sup>
                <m:r>
                  <w:rPr>
                    <w:rFonts w:ascii="Cambria Math" w:hAnsi="Cambria Math"/>
                  </w:rPr>
                  <m:t>2</m:t>
                </m:r>
              </m:sup>
            </m:sSup>
            <m:sSup>
              <m:sSupPr>
                <m:ctrlPr>
                  <w:rPr>
                    <w:rFonts w:ascii="Cambria Math" w:hAnsi="Cambria Math"/>
                    <w:i/>
                  </w:rPr>
                </m:ctrlPr>
              </m:sSupPr>
              <m:e>
                <m:r>
                  <w:rPr>
                    <w:rFonts w:ascii="Cambria Math" w:hAnsi="Cambria Math"/>
                  </w:rPr>
                  <m:t>τ</m:t>
                </m:r>
              </m:e>
              <m:sup>
                <m:r>
                  <w:rPr>
                    <w:rFonts w:ascii="Cambria Math" w:hAnsi="Cambria Math"/>
                  </w:rPr>
                  <m:t>2</m:t>
                </m:r>
              </m:sup>
            </m:sSup>
          </m:den>
        </m:f>
      </m:oMath>
      <w:r w:rsidRPr="00656242">
        <w:t xml:space="preserve">, where </w:t>
      </w:r>
      <m:oMath>
        <m:r>
          <w:rPr>
            <w:rFonts w:ascii="Cambria Math" w:hAnsi="Cambria Math"/>
          </w:rPr>
          <m:t>d</m:t>
        </m:r>
      </m:oMath>
      <w:r w:rsidRPr="00656242">
        <w:t xml:space="preserve"> is the pore diameter, </w:t>
      </w:r>
      <m:oMath>
        <m:r>
          <w:rPr>
            <w:rFonts w:ascii="Cambria Math" w:hAnsi="Cambria Math"/>
          </w:rPr>
          <m:t>ρ</m:t>
        </m:r>
      </m:oMath>
      <w:r w:rsidRPr="00656242">
        <w:t xml:space="preserve"> is the pellet density, and </w:t>
      </w:r>
      <m:oMath>
        <m:r>
          <w:rPr>
            <w:rFonts w:ascii="Cambria Math" w:hAnsi="Cambria Math"/>
          </w:rPr>
          <m:t>τ</m:t>
        </m:r>
      </m:oMath>
      <w:r w:rsidRPr="00656242">
        <w:t xml:space="preserve"> is the tortuosity</w:t>
      </w:r>
      <w:r w:rsidRPr="00656242">
        <w:rPr>
          <w:color w:val="000000" w:themeColor="text1"/>
        </w:rPr>
        <w:t xml:space="preserve">. </w:t>
      </w:r>
      <w:r w:rsidRPr="00656242">
        <w:rPr>
          <w:i/>
          <w:color w:val="000000" w:themeColor="text1"/>
        </w:rPr>
        <w:fldChar w:fldCharType="begin"/>
      </w:r>
      <w:r w:rsidRPr="00656242">
        <w:rPr>
          <w:i/>
          <w:color w:val="000000" w:themeColor="text1"/>
        </w:rPr>
        <w:instrText xml:space="preserve"> ADDIN EN.CITE &lt;EndNote&gt;&lt;Cite&gt;&lt;Author&gt;Costa&lt;/Author&gt;&lt;Year&gt;2006&lt;/Year&gt;&lt;RecNum&gt;170&lt;/RecNum&gt;&lt;DisplayText&gt;&lt;style face="superscript"&gt;[35, 36]&lt;/style&gt;&lt;/DisplayText&gt;&lt;record&gt;&lt;rec-number&gt;170&lt;/rec-number&gt;&lt;foreign-keys&gt;&lt;key app="EN" db-id="zfr2vz09jv5t9oers5wv95095zefvfre9tpe" timestamp="1645967673"&gt;170&lt;/key&gt;&lt;/foreign-keys&gt;&lt;ref-type name="Journal Article"&gt;17&lt;/ref-type&gt;&lt;contributors&gt;&lt;authors&gt;&lt;author&gt;Costa, Antonio&lt;/author&gt;&lt;/authors&gt;&lt;/contributors&gt;&lt;titles&gt;&lt;title&gt;Permeability</w:instrText>
      </w:r>
      <w:r w:rsidRPr="00656242">
        <w:rPr>
          <w:rFonts w:hint="eastAsia"/>
          <w:i/>
          <w:color w:val="000000" w:themeColor="text1"/>
        </w:rPr>
        <w:instrText>‐</w:instrText>
      </w:r>
      <w:r w:rsidRPr="00656242">
        <w:rPr>
          <w:i/>
          <w:color w:val="000000" w:themeColor="text1"/>
        </w:rPr>
        <w:instrText>porosity relationship: A reexamination of the Kozeny</w:instrText>
      </w:r>
      <w:r w:rsidRPr="00656242">
        <w:rPr>
          <w:rFonts w:hint="eastAsia"/>
          <w:i/>
          <w:color w:val="000000" w:themeColor="text1"/>
        </w:rPr>
        <w:instrText>‐</w:instrText>
      </w:r>
      <w:r w:rsidRPr="00656242">
        <w:rPr>
          <w:i/>
          <w:color w:val="000000" w:themeColor="text1"/>
        </w:rPr>
        <w:instrText>Carman equation based on a fractal pore</w:instrText>
      </w:r>
      <w:r w:rsidRPr="00656242">
        <w:rPr>
          <w:rFonts w:hint="eastAsia"/>
          <w:i/>
          <w:color w:val="000000" w:themeColor="text1"/>
        </w:rPr>
        <w:instrText>‐</w:instrText>
      </w:r>
      <w:r w:rsidRPr="00656242">
        <w:rPr>
          <w:i/>
          <w:color w:val="000000" w:themeColor="text1"/>
        </w:rPr>
        <w:instrText>space geometry assumption&lt;/title&gt;&lt;secondary-title&gt;Geophysical research letters&lt;/secondary-title&gt;&lt;/titles&gt;&lt;periodical&gt;&lt;full-title&gt;Geophysical research letters&lt;/full-title&gt;&lt;/periodical&gt;&lt;volume&gt;33&lt;/volume&gt;&lt;number&gt;2&lt;/number&gt;&lt;dates&gt;&lt;year&gt;2006&lt;/year&gt;&lt;/dates&gt;&lt;publisher&gt;Wiley Online Library&lt;/publisher&gt;&lt;isbn&gt;0094-8276&lt;/isbn&gt;&lt;urls&gt;&lt;/urls&gt;&lt;/record&gt;&lt;/Cite&gt;&lt;Cite&gt;&lt;Author&gt;Graczyk&lt;/Author&gt;&lt;Year&gt;2020&lt;/Year&gt;&lt;RecNum&gt;171&lt;/RecNum&gt;&lt;record&gt;&lt;rec-number&gt;171&lt;/rec-number&gt;&lt;foreign-keys&gt;&lt;key app="EN" db-id="zfr2vz09jv5t9oers5wv95095zefvfre9tpe" timestamp="1645967684"&gt;171&lt;/key&gt;&lt;/foreign-keys&gt;&lt;ref-type name="Journal Article"&gt;17&lt;/ref-type&gt;&lt;contributors&gt;&lt;authors&gt;&lt;author&gt;Graczyk, Krzysztof M.&lt;/author&gt;&lt;author&gt;Matyka, Maciej&lt;/author&gt;&lt;/authors&gt;&lt;/contributors&gt;&lt;titles&gt;&lt;title&gt;Predicting porosity, permeability, and tortuosity of porous media from images by deep learning&lt;/title&gt;&lt;secondary-title&gt;Scientific reports&lt;/secondary-title&gt;&lt;/titles&gt;&lt;periodical&gt;&lt;full-title&gt;Scientific reports&lt;/full-title&gt;&lt;/periodical&gt;&lt;pages&gt;1-11&lt;/pages&gt;&lt;volume&gt;10&lt;/volume&gt;&lt;number&gt;1&lt;/number&gt;&lt;dates&gt;&lt;year&gt;2020&lt;/year&gt;&lt;/dates&gt;&lt;publisher&gt;Nature Publishing Group&lt;/publisher&gt;&lt;isbn&gt;2045-2322&lt;/isbn&gt;&lt;urls&gt;&lt;/urls&gt;&lt;/record&gt;&lt;/Cite&gt;&lt;/EndNote&gt;</w:instrText>
      </w:r>
      <w:r w:rsidRPr="00656242">
        <w:rPr>
          <w:i/>
          <w:color w:val="000000" w:themeColor="text1"/>
        </w:rPr>
        <w:fldChar w:fldCharType="separate"/>
      </w:r>
      <w:r w:rsidRPr="00656242">
        <w:rPr>
          <w:i/>
          <w:noProof/>
          <w:color w:val="000000" w:themeColor="text1"/>
          <w:vertAlign w:val="superscript"/>
        </w:rPr>
        <w:t>[35, 36]</w:t>
      </w:r>
      <w:r w:rsidRPr="00656242">
        <w:rPr>
          <w:i/>
          <w:color w:val="000000" w:themeColor="text1"/>
        </w:rPr>
        <w:fldChar w:fldCharType="end"/>
      </w:r>
      <w:r w:rsidRPr="00656242">
        <w:rPr>
          <w:color w:val="000000" w:themeColor="text1"/>
        </w:rPr>
        <w:t xml:space="preserve"> With the pore size (</w:t>
      </w:r>
      <m:oMath>
        <m:r>
          <w:rPr>
            <w:rFonts w:ascii="Cambria Math" w:hAnsi="Cambria Math"/>
            <w:color w:val="000000" w:themeColor="text1"/>
          </w:rPr>
          <m:t>0.2–1.2 μm</m:t>
        </m:r>
      </m:oMath>
      <w:r w:rsidRPr="00656242">
        <w:rPr>
          <w:color w:val="000000" w:themeColor="text1"/>
        </w:rPr>
        <w:t>) and permeability obtained in Figure 3, it is possible to evaluate the tortuosity of the LPS pellets at different densities</w:t>
      </w:r>
      <w:bookmarkStart w:id="2" w:name="_Hlk118460680"/>
      <w:r w:rsidRPr="00656242">
        <w:rPr>
          <w:color w:val="000000" w:themeColor="text1"/>
        </w:rPr>
        <w:t>:</w:t>
      </w:r>
      <m:oMath>
        <m:r>
          <w:rPr>
            <w:rFonts w:ascii="Cambria Math" w:hAnsi="Cambria Math"/>
            <w:color w:val="000000" w:themeColor="text1"/>
          </w:rPr>
          <m:t xml:space="preserve"> </m:t>
        </m:r>
        <m:sSub>
          <m:sSubPr>
            <m:ctrlPr>
              <w:rPr>
                <w:rFonts w:ascii="Cambria Math" w:hAnsi="Cambria Math"/>
                <w:i/>
              </w:rPr>
            </m:ctrlPr>
          </m:sSubPr>
          <m:e>
            <m:r>
              <w:rPr>
                <w:rFonts w:ascii="Cambria Math" w:hAnsi="Cambria Math"/>
              </w:rPr>
              <m:t>τ</m:t>
            </m:r>
          </m:e>
          <m:sub>
            <m:r>
              <w:rPr>
                <w:rFonts w:ascii="Cambria Math" w:hAnsi="Cambria Math"/>
              </w:rPr>
              <m:t>82%</m:t>
            </m:r>
          </m:sub>
        </m:sSub>
        <m:r>
          <w:rPr>
            <w:rFonts w:ascii="Cambria Math" w:hAnsi="Cambria Math"/>
          </w:rPr>
          <m:t>=1.06</m:t>
        </m:r>
      </m:oMath>
      <w:r w:rsidRPr="00656242">
        <w:rPr>
          <w:rFonts w:eastAsiaTheme="minorEastAsia"/>
        </w:rPr>
        <w:t xml:space="preserve">, </w:t>
      </w:r>
      <m:oMath>
        <m:sSub>
          <m:sSubPr>
            <m:ctrlPr>
              <w:rPr>
                <w:rFonts w:ascii="Cambria Math" w:hAnsi="Cambria Math"/>
                <w:i/>
              </w:rPr>
            </m:ctrlPr>
          </m:sSubPr>
          <m:e>
            <m:r>
              <w:rPr>
                <w:rFonts w:ascii="Cambria Math" w:hAnsi="Cambria Math"/>
              </w:rPr>
              <m:t>τ</m:t>
            </m:r>
          </m:e>
          <m:sub>
            <m:r>
              <w:rPr>
                <w:rFonts w:ascii="Cambria Math" w:hAnsi="Cambria Math"/>
              </w:rPr>
              <m:t>89%</m:t>
            </m:r>
          </m:sub>
        </m:sSub>
        <m:r>
          <w:rPr>
            <w:rFonts w:ascii="Cambria Math" w:hAnsi="Cambria Math"/>
          </w:rPr>
          <m:t>=1.34</m:t>
        </m:r>
      </m:oMath>
      <w:r w:rsidRPr="00656242">
        <w:rPr>
          <w:rFonts w:eastAsiaTheme="minorEastAsia"/>
        </w:rPr>
        <w:t xml:space="preserve">, and </w:t>
      </w:r>
      <m:oMath>
        <m:sSub>
          <m:sSubPr>
            <m:ctrlPr>
              <w:rPr>
                <w:rFonts w:ascii="Cambria Math" w:hAnsi="Cambria Math"/>
                <w:i/>
              </w:rPr>
            </m:ctrlPr>
          </m:sSubPr>
          <m:e>
            <m:r>
              <w:rPr>
                <w:rFonts w:ascii="Cambria Math" w:hAnsi="Cambria Math"/>
              </w:rPr>
              <m:t>τ</m:t>
            </m:r>
          </m:e>
          <m:sub>
            <m:r>
              <w:rPr>
                <w:rFonts w:ascii="Cambria Math" w:hAnsi="Cambria Math"/>
              </w:rPr>
              <m:t>95%</m:t>
            </m:r>
          </m:sub>
        </m:sSub>
        <m:r>
          <w:rPr>
            <w:rFonts w:ascii="Cambria Math" w:hAnsi="Cambria Math"/>
          </w:rPr>
          <m:t>=1.94</m:t>
        </m:r>
      </m:oMath>
      <w:bookmarkEnd w:id="2"/>
      <w:r w:rsidRPr="00656242">
        <w:rPr>
          <w:rFonts w:eastAsiaTheme="minorEastAsia"/>
        </w:rPr>
        <w:t xml:space="preserve">. The percolating pore network becomes more tortuous as the LPS density increases, providing a longer growth path for the Li dendrite. However, the effect of this length increase (doubled from </w:t>
      </w:r>
      <w:r w:rsidRPr="00656242">
        <w:t>LPS-82% to LPS-95% based on the tortuosity value</w:t>
      </w:r>
      <w:r w:rsidRPr="00656242">
        <w:rPr>
          <w:rFonts w:eastAsiaTheme="minorEastAsia"/>
        </w:rPr>
        <w:t>) on dendrite growth is much smaller than the effect of the pore size decrease, as will be discussed in the modeling section. Moreover, the Carman–Kozeny equation used here was derived with the assumption of</w:t>
      </w:r>
      <w:r w:rsidRPr="00656242">
        <w:t xml:space="preserve"> cylindrical pores. The real pore network within the LPS pellet can be much more complicated with varying tortuosity.</w:t>
      </w:r>
    </w:p>
    <w:p w14:paraId="45C5F348" w14:textId="77777777" w:rsidR="0071122C" w:rsidRDefault="0071122C" w:rsidP="0071122C">
      <w:pPr>
        <w:pStyle w:val="ListParagraph"/>
        <w:spacing w:line="480" w:lineRule="auto"/>
        <w:ind w:left="360" w:right="360"/>
        <w:jc w:val="center"/>
        <w:rPr>
          <w:b/>
        </w:rPr>
      </w:pPr>
      <w:r w:rsidRPr="00934320">
        <w:rPr>
          <w:b/>
          <w:noProof/>
          <w:lang w:eastAsia="zh-CN"/>
        </w:rPr>
        <w:lastRenderedPageBreak/>
        <w:drawing>
          <wp:inline distT="0" distB="0" distL="0" distR="0" wp14:anchorId="2DDF750B" wp14:editId="7099FD29">
            <wp:extent cx="3823468" cy="3585210"/>
            <wp:effectExtent l="0" t="0" r="0" b="0"/>
            <wp:docPr id="2" name="Picture 2" descr="C:\Users\qhteme\gDrive\research\papers\Ing_0 - Effect of SE Pellet Density on the Failure of Solid-State batteries\figures\figure SI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hteme\gDrive\research\papers\Ing_0 - Effect of SE Pellet Density on the Failure of Solid-State batteries\figures\figure SI_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30876" cy="3592157"/>
                    </a:xfrm>
                    <a:prstGeom prst="rect">
                      <a:avLst/>
                    </a:prstGeom>
                    <a:noFill/>
                    <a:ln>
                      <a:noFill/>
                    </a:ln>
                  </pic:spPr>
                </pic:pic>
              </a:graphicData>
            </a:graphic>
          </wp:inline>
        </w:drawing>
      </w:r>
    </w:p>
    <w:p w14:paraId="372E0AA8" w14:textId="05502925" w:rsidR="0071122C" w:rsidRDefault="0071122C" w:rsidP="0071122C">
      <w:pPr>
        <w:pStyle w:val="ListParagraph"/>
        <w:spacing w:line="480" w:lineRule="auto"/>
        <w:ind w:left="360" w:right="360"/>
        <w:jc w:val="center"/>
        <w:rPr>
          <w:sz w:val="22"/>
        </w:rPr>
      </w:pPr>
      <w:r w:rsidRPr="008C2FE9">
        <w:rPr>
          <w:b/>
          <w:sz w:val="22"/>
        </w:rPr>
        <w:t>Figure SI-</w:t>
      </w:r>
      <w:r w:rsidR="007D5D6C">
        <w:rPr>
          <w:b/>
          <w:sz w:val="22"/>
        </w:rPr>
        <w:t>9</w:t>
      </w:r>
      <w:r w:rsidRPr="008C2FE9">
        <w:rPr>
          <w:b/>
          <w:sz w:val="22"/>
        </w:rPr>
        <w:t>.</w:t>
      </w:r>
      <w:r w:rsidRPr="008C2FE9">
        <w:rPr>
          <w:sz w:val="22"/>
        </w:rPr>
        <w:t xml:space="preserve"> </w:t>
      </w:r>
      <w:r w:rsidRPr="00D72961">
        <w:rPr>
          <w:sz w:val="22"/>
        </w:rPr>
        <w:t>Schematic of in-house-designed apparatus for permeability test</w:t>
      </w:r>
      <w:r>
        <w:rPr>
          <w:sz w:val="22"/>
        </w:rPr>
        <w:t>.</w:t>
      </w:r>
    </w:p>
    <w:p w14:paraId="24B5DAED" w14:textId="6F471827" w:rsidR="007D5D6C" w:rsidRDefault="007D5D6C" w:rsidP="0071122C">
      <w:pPr>
        <w:pStyle w:val="ListParagraph"/>
        <w:spacing w:line="480" w:lineRule="auto"/>
        <w:ind w:left="360" w:right="360"/>
        <w:jc w:val="center"/>
        <w:rPr>
          <w:sz w:val="22"/>
        </w:rPr>
      </w:pPr>
    </w:p>
    <w:p w14:paraId="1576745A" w14:textId="7C5A4E9F" w:rsidR="007D5D6C" w:rsidRDefault="007D5D6C" w:rsidP="0071122C">
      <w:pPr>
        <w:pStyle w:val="ListParagraph"/>
        <w:spacing w:line="480" w:lineRule="auto"/>
        <w:ind w:left="360" w:right="360"/>
        <w:jc w:val="center"/>
        <w:rPr>
          <w:sz w:val="22"/>
        </w:rPr>
      </w:pPr>
    </w:p>
    <w:p w14:paraId="2F87373A" w14:textId="715E8382" w:rsidR="007D5D6C" w:rsidRDefault="007D5D6C" w:rsidP="0071122C">
      <w:pPr>
        <w:pStyle w:val="ListParagraph"/>
        <w:spacing w:line="480" w:lineRule="auto"/>
        <w:ind w:left="360" w:right="360"/>
        <w:jc w:val="center"/>
        <w:rPr>
          <w:sz w:val="22"/>
        </w:rPr>
      </w:pPr>
    </w:p>
    <w:p w14:paraId="51E81174" w14:textId="4EF27977" w:rsidR="007D5D6C" w:rsidRDefault="007D5D6C" w:rsidP="0071122C">
      <w:pPr>
        <w:pStyle w:val="ListParagraph"/>
        <w:spacing w:line="480" w:lineRule="auto"/>
        <w:ind w:left="360" w:right="360"/>
        <w:jc w:val="center"/>
        <w:rPr>
          <w:sz w:val="22"/>
        </w:rPr>
      </w:pPr>
    </w:p>
    <w:p w14:paraId="472A9A67" w14:textId="487248E5" w:rsidR="007D5D6C" w:rsidRDefault="007D5D6C" w:rsidP="0071122C">
      <w:pPr>
        <w:pStyle w:val="ListParagraph"/>
        <w:spacing w:line="480" w:lineRule="auto"/>
        <w:ind w:left="360" w:right="360"/>
        <w:jc w:val="center"/>
        <w:rPr>
          <w:sz w:val="22"/>
        </w:rPr>
      </w:pPr>
    </w:p>
    <w:p w14:paraId="63634D1C" w14:textId="739215CB" w:rsidR="007D5D6C" w:rsidRDefault="007D5D6C" w:rsidP="0071122C">
      <w:pPr>
        <w:pStyle w:val="ListParagraph"/>
        <w:spacing w:line="480" w:lineRule="auto"/>
        <w:ind w:left="360" w:right="360"/>
        <w:jc w:val="center"/>
        <w:rPr>
          <w:sz w:val="22"/>
        </w:rPr>
      </w:pPr>
    </w:p>
    <w:p w14:paraId="465AF8CB" w14:textId="2B075AE4" w:rsidR="007D5D6C" w:rsidRDefault="007D5D6C" w:rsidP="0071122C">
      <w:pPr>
        <w:pStyle w:val="ListParagraph"/>
        <w:spacing w:line="480" w:lineRule="auto"/>
        <w:ind w:left="360" w:right="360"/>
        <w:jc w:val="center"/>
        <w:rPr>
          <w:sz w:val="22"/>
        </w:rPr>
      </w:pPr>
    </w:p>
    <w:p w14:paraId="543699D2" w14:textId="4DB7E195" w:rsidR="007D5D6C" w:rsidRDefault="007D5D6C" w:rsidP="0071122C">
      <w:pPr>
        <w:pStyle w:val="ListParagraph"/>
        <w:spacing w:line="480" w:lineRule="auto"/>
        <w:ind w:left="360" w:right="360"/>
        <w:jc w:val="center"/>
        <w:rPr>
          <w:sz w:val="22"/>
        </w:rPr>
      </w:pPr>
    </w:p>
    <w:p w14:paraId="2255F83B" w14:textId="5720C6E0" w:rsidR="007D5D6C" w:rsidRDefault="007D5D6C" w:rsidP="0071122C">
      <w:pPr>
        <w:pStyle w:val="ListParagraph"/>
        <w:spacing w:line="480" w:lineRule="auto"/>
        <w:ind w:left="360" w:right="360"/>
        <w:jc w:val="center"/>
        <w:rPr>
          <w:sz w:val="22"/>
        </w:rPr>
      </w:pPr>
    </w:p>
    <w:p w14:paraId="1F7A583E" w14:textId="33980656" w:rsidR="007D5D6C" w:rsidRDefault="007D5D6C" w:rsidP="0071122C">
      <w:pPr>
        <w:pStyle w:val="ListParagraph"/>
        <w:spacing w:line="480" w:lineRule="auto"/>
        <w:ind w:left="360" w:right="360"/>
        <w:jc w:val="center"/>
        <w:rPr>
          <w:sz w:val="22"/>
        </w:rPr>
      </w:pPr>
    </w:p>
    <w:p w14:paraId="6A37D37A" w14:textId="7AB8DF09" w:rsidR="007D5D6C" w:rsidRDefault="007D5D6C" w:rsidP="0071122C">
      <w:pPr>
        <w:pStyle w:val="ListParagraph"/>
        <w:spacing w:line="480" w:lineRule="auto"/>
        <w:ind w:left="360" w:right="360"/>
        <w:jc w:val="center"/>
        <w:rPr>
          <w:sz w:val="22"/>
        </w:rPr>
      </w:pPr>
    </w:p>
    <w:p w14:paraId="215155CE" w14:textId="48558B4A" w:rsidR="007D5D6C" w:rsidRDefault="007D5D6C" w:rsidP="0071122C">
      <w:pPr>
        <w:pStyle w:val="ListParagraph"/>
        <w:spacing w:line="480" w:lineRule="auto"/>
        <w:ind w:left="360" w:right="360"/>
        <w:jc w:val="center"/>
        <w:rPr>
          <w:sz w:val="22"/>
        </w:rPr>
      </w:pPr>
    </w:p>
    <w:p w14:paraId="14CD6C5A" w14:textId="77777777" w:rsidR="007D5D6C" w:rsidRPr="0071122C" w:rsidRDefault="007D5D6C" w:rsidP="0071122C">
      <w:pPr>
        <w:pStyle w:val="ListParagraph"/>
        <w:spacing w:line="480" w:lineRule="auto"/>
        <w:ind w:left="360" w:right="360"/>
        <w:jc w:val="center"/>
        <w:rPr>
          <w:sz w:val="22"/>
        </w:rPr>
      </w:pPr>
    </w:p>
    <w:p w14:paraId="1E00F63E" w14:textId="085B71EB" w:rsidR="00792E99" w:rsidRDefault="00792E99" w:rsidP="00792E99">
      <w:pPr>
        <w:pStyle w:val="ListParagraph"/>
        <w:numPr>
          <w:ilvl w:val="0"/>
          <w:numId w:val="12"/>
        </w:numPr>
        <w:spacing w:line="480" w:lineRule="auto"/>
        <w:ind w:left="360" w:right="270"/>
        <w:jc w:val="both"/>
        <w:rPr>
          <w:b/>
        </w:rPr>
      </w:pPr>
      <w:r w:rsidRPr="002D0E75">
        <w:rPr>
          <w:b/>
        </w:rPr>
        <w:lastRenderedPageBreak/>
        <w:t xml:space="preserve">The </w:t>
      </w:r>
      <w:r>
        <w:rPr>
          <w:b/>
        </w:rPr>
        <w:t>morphology of Li filament within the pore network</w:t>
      </w:r>
    </w:p>
    <w:p w14:paraId="55A2463E" w14:textId="24EA6921" w:rsidR="00573A6F" w:rsidRPr="00573A6F" w:rsidRDefault="0034317A" w:rsidP="00C10509">
      <w:pPr>
        <w:pStyle w:val="ListParagraph"/>
        <w:spacing w:line="480" w:lineRule="auto"/>
        <w:ind w:left="0" w:firstLine="360"/>
        <w:jc w:val="both"/>
        <w:rPr>
          <w:bCs/>
          <w:sz w:val="22"/>
        </w:rPr>
      </w:pPr>
      <w:r>
        <w:rPr>
          <w:bCs/>
          <w:sz w:val="22"/>
        </w:rPr>
        <w:t>A postmortem LPS pellet in t</w:t>
      </w:r>
      <w:r w:rsidR="00590C29">
        <w:rPr>
          <w:bCs/>
          <w:sz w:val="22"/>
        </w:rPr>
        <w:t>he percolating range (LPS-81.3%</w:t>
      </w:r>
      <w:r>
        <w:rPr>
          <w:bCs/>
          <w:sz w:val="22"/>
        </w:rPr>
        <w:t xml:space="preserve">) is examined using the SEM to determine the lithium plating behavior inside the pellet. </w:t>
      </w:r>
      <w:r w:rsidRPr="0034317A">
        <w:rPr>
          <w:bCs/>
          <w:i/>
          <w:iCs/>
          <w:sz w:val="22"/>
        </w:rPr>
        <w:t>Figure SI-</w:t>
      </w:r>
      <w:r w:rsidR="00590C29">
        <w:rPr>
          <w:bCs/>
          <w:i/>
          <w:iCs/>
          <w:sz w:val="22"/>
        </w:rPr>
        <w:t>10</w:t>
      </w:r>
      <w:r>
        <w:rPr>
          <w:bCs/>
          <w:sz w:val="22"/>
        </w:rPr>
        <w:t xml:space="preserve"> shows the existence of two plating mechanisms. At first lithium is plated in the pores as depicted below, then lithium plates within the particle boundaries.</w:t>
      </w:r>
    </w:p>
    <w:p w14:paraId="379D25A2" w14:textId="038C5AFD" w:rsidR="009D0DE9" w:rsidRPr="006575A8" w:rsidRDefault="002D20FD" w:rsidP="00590C29">
      <w:pPr>
        <w:pStyle w:val="ListParagraph"/>
        <w:spacing w:line="480" w:lineRule="auto"/>
        <w:ind w:left="1080" w:right="270" w:hanging="1080"/>
        <w:jc w:val="center"/>
        <w:rPr>
          <w:b/>
          <w:sz w:val="22"/>
        </w:rPr>
      </w:pPr>
      <w:r w:rsidRPr="002D20FD">
        <w:rPr>
          <w:b/>
          <w:noProof/>
          <w:sz w:val="22"/>
          <w:lang w:eastAsia="zh-CN"/>
        </w:rPr>
        <w:drawing>
          <wp:inline distT="0" distB="0" distL="0" distR="0" wp14:anchorId="3A8B48B8" wp14:editId="0F2F5E6B">
            <wp:extent cx="5457825" cy="5401878"/>
            <wp:effectExtent l="0" t="0" r="0" b="8890"/>
            <wp:docPr id="12" name="Picture 2" descr="Map&#10;&#10;Description automatically generated">
              <a:extLst xmlns:a="http://schemas.openxmlformats.org/drawingml/2006/main">
                <a:ext uri="{FF2B5EF4-FFF2-40B4-BE49-F238E27FC236}">
                  <a16:creationId xmlns:a16="http://schemas.microsoft.com/office/drawing/2014/main" id="{28C7872B-36C7-4A49-9109-41F1FEBA93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descr="Map&#10;&#10;Description automatically generated">
                      <a:extLst>
                        <a:ext uri="{FF2B5EF4-FFF2-40B4-BE49-F238E27FC236}">
                          <a16:creationId xmlns:a16="http://schemas.microsoft.com/office/drawing/2014/main" id="{28C7872B-36C7-4A49-9109-41F1FEBA93C3}"/>
                        </a:ext>
                      </a:extLst>
                    </pic:cNvPr>
                    <pic:cNvPicPr>
                      <a:picLocks noChangeAspect="1"/>
                    </pic:cNvPicPr>
                  </pic:nvPicPr>
                  <pic:blipFill>
                    <a:blip r:embed="rId19"/>
                    <a:stretch>
                      <a:fillRect/>
                    </a:stretch>
                  </pic:blipFill>
                  <pic:spPr>
                    <a:xfrm>
                      <a:off x="0" y="0"/>
                      <a:ext cx="5459334" cy="5403371"/>
                    </a:xfrm>
                    <a:prstGeom prst="rect">
                      <a:avLst/>
                    </a:prstGeom>
                  </pic:spPr>
                </pic:pic>
              </a:graphicData>
            </a:graphic>
          </wp:inline>
        </w:drawing>
      </w:r>
    </w:p>
    <w:p w14:paraId="1513B274" w14:textId="02B46C37" w:rsidR="009D0DE9" w:rsidRDefault="009D0DE9" w:rsidP="00590C29">
      <w:pPr>
        <w:pStyle w:val="ListParagraph"/>
        <w:spacing w:line="480" w:lineRule="auto"/>
        <w:ind w:left="1080" w:right="270" w:hanging="1080"/>
        <w:jc w:val="center"/>
      </w:pPr>
      <w:r w:rsidRPr="00946FCB">
        <w:rPr>
          <w:b/>
          <w:sz w:val="22"/>
        </w:rPr>
        <w:t>Figure SI-</w:t>
      </w:r>
      <w:r w:rsidR="00590C29">
        <w:rPr>
          <w:b/>
          <w:sz w:val="22"/>
        </w:rPr>
        <w:t>10</w:t>
      </w:r>
      <w:r w:rsidRPr="00946FCB">
        <w:rPr>
          <w:b/>
          <w:sz w:val="22"/>
        </w:rPr>
        <w:t>.</w:t>
      </w:r>
      <w:r w:rsidRPr="00946FCB">
        <w:rPr>
          <w:sz w:val="22"/>
        </w:rPr>
        <w:t xml:space="preserve"> The </w:t>
      </w:r>
      <w:r>
        <w:rPr>
          <w:sz w:val="22"/>
        </w:rPr>
        <w:t>SEM results of Li filament.</w:t>
      </w:r>
    </w:p>
    <w:p w14:paraId="41EE00D7" w14:textId="0283EFA9" w:rsidR="00656242" w:rsidRPr="00656242" w:rsidRDefault="00656242" w:rsidP="00590C29">
      <w:pPr>
        <w:spacing w:after="240" w:line="480" w:lineRule="auto"/>
        <w:jc w:val="both"/>
      </w:pPr>
    </w:p>
    <w:p w14:paraId="1D8F85D9" w14:textId="0226160F" w:rsidR="00937E84" w:rsidRDefault="00937E84" w:rsidP="00937E84">
      <w:pPr>
        <w:pStyle w:val="ListParagraph"/>
        <w:numPr>
          <w:ilvl w:val="0"/>
          <w:numId w:val="12"/>
        </w:numPr>
        <w:spacing w:line="480" w:lineRule="auto"/>
        <w:ind w:left="360" w:right="270"/>
        <w:jc w:val="both"/>
        <w:rPr>
          <w:b/>
        </w:rPr>
      </w:pPr>
      <w:r w:rsidRPr="002D0E75">
        <w:rPr>
          <w:b/>
        </w:rPr>
        <w:lastRenderedPageBreak/>
        <w:t xml:space="preserve">The </w:t>
      </w:r>
      <w:r>
        <w:rPr>
          <w:b/>
        </w:rPr>
        <w:t>effect of electronic conductivity</w:t>
      </w:r>
    </w:p>
    <w:p w14:paraId="203F6276" w14:textId="15944FB8" w:rsidR="0008462F" w:rsidRDefault="0008462F" w:rsidP="0008462F">
      <w:pPr>
        <w:pStyle w:val="ListParagraph"/>
        <w:spacing w:line="480" w:lineRule="auto"/>
        <w:ind w:left="0" w:firstLine="360"/>
        <w:jc w:val="both"/>
        <w:rPr>
          <w:bCs/>
        </w:rPr>
      </w:pPr>
      <w:r w:rsidRPr="008A6ECF">
        <w:t xml:space="preserve">It has been reported that the addition of </w:t>
      </w:r>
      <m:oMath>
        <m:sSub>
          <m:sSubPr>
            <m:ctrlPr>
              <w:rPr>
                <w:rFonts w:ascii="Cambria Math" w:hAnsi="Cambria Math"/>
                <w:bCs/>
                <w:i/>
              </w:rPr>
            </m:ctrlPr>
          </m:sSubPr>
          <m:e>
            <m:r>
              <w:rPr>
                <w:rFonts w:ascii="Cambria Math" w:hAnsi="Cambria Math"/>
              </w:rPr>
              <m:t>Li</m:t>
            </m:r>
          </m:e>
          <m:sub>
            <m:r>
              <w:rPr>
                <w:rFonts w:ascii="Cambria Math" w:hAnsi="Cambria Math"/>
              </w:rPr>
              <m:t>3</m:t>
            </m:r>
          </m:sub>
        </m:sSub>
        <m:r>
          <w:rPr>
            <w:rFonts w:ascii="Cambria Math" w:hAnsi="Cambria Math"/>
          </w:rPr>
          <m:t>N</m:t>
        </m:r>
      </m:oMath>
      <w:r w:rsidRPr="008A6ECF">
        <w:rPr>
          <w:bCs/>
        </w:rPr>
        <w:t xml:space="preserve"> and </w:t>
      </w:r>
      <m:oMath>
        <m:r>
          <w:rPr>
            <w:rFonts w:ascii="Cambria Math" w:hAnsi="Cambria Math"/>
          </w:rPr>
          <m:t>LiF</m:t>
        </m:r>
      </m:oMath>
      <w:r w:rsidRPr="008A6ECF">
        <w:rPr>
          <w:bCs/>
        </w:rPr>
        <w:t xml:space="preserve"> buffer layer (BL) between </w:t>
      </w:r>
      <w:r>
        <w:rPr>
          <w:bCs/>
        </w:rPr>
        <w:t xml:space="preserve">the </w:t>
      </w:r>
      <w:r w:rsidRPr="008A6ECF">
        <w:rPr>
          <w:bCs/>
        </w:rPr>
        <w:t>Li</w:t>
      </w:r>
      <w:r>
        <w:rPr>
          <w:bCs/>
        </w:rPr>
        <w:t xml:space="preserve"> </w:t>
      </w:r>
      <w:r w:rsidRPr="008A6ECF">
        <w:rPr>
          <w:bCs/>
        </w:rPr>
        <w:t xml:space="preserve">metal and SE can increase </w:t>
      </w:r>
      <w:r>
        <w:rPr>
          <w:bCs/>
        </w:rPr>
        <w:t xml:space="preserve">the </w:t>
      </w:r>
      <w:r w:rsidRPr="008A6ECF">
        <w:rPr>
          <w:bCs/>
        </w:rPr>
        <w:t xml:space="preserve">cyclability in argyrodite cells because the </w:t>
      </w:r>
      <w:r>
        <w:rPr>
          <w:bCs/>
        </w:rPr>
        <w:t>BL</w:t>
      </w:r>
      <w:r w:rsidRPr="008A6ECF">
        <w:rPr>
          <w:bCs/>
        </w:rPr>
        <w:t xml:space="preserve"> is believed to greatly reduce </w:t>
      </w:r>
      <w:r>
        <w:rPr>
          <w:bCs/>
        </w:rPr>
        <w:t xml:space="preserve">the </w:t>
      </w:r>
      <w:r w:rsidRPr="008A6ECF">
        <w:rPr>
          <w:bCs/>
        </w:rPr>
        <w:t xml:space="preserve">electronic conductivity and neutralize </w:t>
      </w:r>
      <w:r>
        <w:rPr>
          <w:bCs/>
        </w:rPr>
        <w:t xml:space="preserve">the </w:t>
      </w:r>
      <w:r w:rsidRPr="008A6ECF">
        <w:rPr>
          <w:bCs/>
        </w:rPr>
        <w:t xml:space="preserve">chemical reaction. This </w:t>
      </w:r>
      <w:r>
        <w:rPr>
          <w:bCs/>
        </w:rPr>
        <w:t xml:space="preserve">finding </w:t>
      </w:r>
      <w:r w:rsidRPr="008A6ECF">
        <w:rPr>
          <w:bCs/>
        </w:rPr>
        <w:t>prompted the evaluation of our percolation hypothesis by mimicking the results presented in</w:t>
      </w:r>
      <w:r>
        <w:rPr>
          <w:bCs/>
        </w:rPr>
        <w:t xml:space="preserve"> the work of</w:t>
      </w:r>
      <w:r w:rsidRPr="008A6ECF">
        <w:rPr>
          <w:bCs/>
        </w:rPr>
        <w:t xml:space="preserve"> Ji et</w:t>
      </w:r>
      <w:r>
        <w:rPr>
          <w:bCs/>
        </w:rPr>
        <w:t xml:space="preserve"> </w:t>
      </w:r>
      <w:r w:rsidRPr="008A6ECF">
        <w:rPr>
          <w:bCs/>
        </w:rPr>
        <w:t xml:space="preserve">al. </w:t>
      </w:r>
      <w:r w:rsidRPr="008A6ECF">
        <w:rPr>
          <w:bCs/>
        </w:rPr>
        <w:fldChar w:fldCharType="begin"/>
      </w:r>
      <w:r w:rsidRPr="008A6ECF">
        <w:rPr>
          <w:bCs/>
        </w:rPr>
        <w:instrText xml:space="preserve"> ADDIN EN.CITE &lt;EndNote&gt;&lt;Cite&gt;&lt;Author&gt;Ji&lt;/Author&gt;&lt;Year&gt;2020&lt;/Year&gt;&lt;RecNum&gt;193&lt;/RecNum&gt;&lt;DisplayText&gt;&lt;style face="superscript"&gt;[27]&lt;/style&gt;&lt;/DisplayText&gt;&lt;record&gt;&lt;rec-number&gt;193&lt;/rec-number&gt;&lt;foreign-keys&gt;&lt;key app="EN" db-id="zfr2vz09jv5t9oers5wv95095zefvfre9tpe" timestamp="1646676808"&gt;193&lt;/key&gt;&lt;/foreign-keys&gt;&lt;ref-type name="Journal Article"&gt;17&lt;/ref-type&gt;&lt;contributors&gt;&lt;authors&gt;&lt;author&gt;Ji, Xiao&lt;/author&gt;&lt;author&gt;Hou, Singyuk&lt;/author&gt;&lt;author&gt;Wang, Pengfei&lt;/author&gt;&lt;author&gt;He, Xinzi&lt;/author&gt;&lt;author&gt;Piao, Nan&lt;/author&gt;&lt;author&gt;Chen, Ji&lt;/author&gt;&lt;author&gt;Fan, Xiulin&lt;/author&gt;&lt;author&gt;Wang, Chunsheng&lt;/author&gt;&lt;/authors&gt;&lt;/contributors&gt;&lt;titles&gt;&lt;title&gt;Solid‐State Electrolyte Design for Lithium Dendrite Suppression&lt;/title&gt;&lt;secondary-title&gt;Advanced Materials&lt;/secondary-title&gt;&lt;/titles&gt;&lt;periodical&gt;&lt;full-title&gt;Advanced Materials&lt;/full-title&gt;&lt;/periodical&gt;&lt;pages&gt;2002741&lt;/pages&gt;&lt;volume&gt;32&lt;/volume&gt;&lt;number&gt;46&lt;/number&gt;&lt;dates&gt;&lt;year&gt;2020&lt;/year&gt;&lt;/dates&gt;&lt;publisher&gt;Wiley Online Library&lt;/publisher&gt;&lt;isbn&gt;0935-9648&lt;/isbn&gt;&lt;urls&gt;&lt;/urls&gt;&lt;/record&gt;&lt;/Cite&gt;&lt;/EndNote&gt;</w:instrText>
      </w:r>
      <w:r w:rsidRPr="008A6ECF">
        <w:rPr>
          <w:bCs/>
        </w:rPr>
        <w:fldChar w:fldCharType="separate"/>
      </w:r>
      <w:r w:rsidRPr="008A6ECF">
        <w:rPr>
          <w:bCs/>
          <w:vertAlign w:val="superscript"/>
        </w:rPr>
        <w:t>[27]</w:t>
      </w:r>
      <w:r w:rsidRPr="008A6ECF">
        <w:rPr>
          <w:bCs/>
        </w:rPr>
        <w:fldChar w:fldCharType="end"/>
      </w:r>
      <w:r w:rsidRPr="008A6ECF">
        <w:rPr>
          <w:bCs/>
        </w:rPr>
        <w:t>. Two cells were cycled at the same densities using the same cycling condition</w:t>
      </w:r>
      <w:r>
        <w:rPr>
          <w:bCs/>
        </w:rPr>
        <w:t xml:space="preserve">s of </w:t>
      </w:r>
      <w:r w:rsidRPr="008A6ECF">
        <w:rPr>
          <w:bCs/>
        </w:rPr>
        <w:t>0.2 mA/cm</w:t>
      </w:r>
      <w:r w:rsidRPr="008A6ECF">
        <w:rPr>
          <w:bCs/>
          <w:vertAlign w:val="superscript"/>
        </w:rPr>
        <w:t>2</w:t>
      </w:r>
      <w:r w:rsidRPr="008A6ECF">
        <w:rPr>
          <w:bCs/>
        </w:rPr>
        <w:t xml:space="preserve"> for </w:t>
      </w:r>
      <w:r>
        <w:rPr>
          <w:bCs/>
        </w:rPr>
        <w:t>1-h</w:t>
      </w:r>
      <w:r w:rsidRPr="008A6ECF">
        <w:rPr>
          <w:bCs/>
        </w:rPr>
        <w:t xml:space="preserve"> charge and discharge. Indeed, as </w:t>
      </w:r>
      <w:r>
        <w:rPr>
          <w:bCs/>
        </w:rPr>
        <w:t>shown</w:t>
      </w:r>
      <w:r w:rsidRPr="008A6ECF">
        <w:rPr>
          <w:bCs/>
        </w:rPr>
        <w:t xml:space="preserve"> in </w:t>
      </w:r>
      <w:r>
        <w:rPr>
          <w:bCs/>
        </w:rPr>
        <w:t>F</w:t>
      </w:r>
      <w:r w:rsidRPr="008A6ECF">
        <w:rPr>
          <w:bCs/>
        </w:rPr>
        <w:t xml:space="preserve">igure </w:t>
      </w:r>
      <w:r>
        <w:rPr>
          <w:bCs/>
        </w:rPr>
        <w:t>SI-</w:t>
      </w:r>
      <w:r w:rsidR="00590C29">
        <w:rPr>
          <w:bCs/>
        </w:rPr>
        <w:t>11</w:t>
      </w:r>
      <w:r w:rsidRPr="008A6ECF">
        <w:rPr>
          <w:bCs/>
        </w:rPr>
        <w:t xml:space="preserve">, the </w:t>
      </w:r>
      <w:r>
        <w:rPr>
          <w:bCs/>
        </w:rPr>
        <w:t>BL</w:t>
      </w:r>
      <w:r w:rsidRPr="008A6ECF">
        <w:rPr>
          <w:bCs/>
        </w:rPr>
        <w:t xml:space="preserve"> increase</w:t>
      </w:r>
      <w:r>
        <w:rPr>
          <w:bCs/>
        </w:rPr>
        <w:t>d the</w:t>
      </w:r>
      <w:r w:rsidRPr="008A6ECF">
        <w:rPr>
          <w:bCs/>
        </w:rPr>
        <w:t xml:space="preserve"> cyclability of </w:t>
      </w:r>
      <w:r>
        <w:rPr>
          <w:bCs/>
        </w:rPr>
        <w:t xml:space="preserve">the </w:t>
      </w:r>
      <w:r w:rsidRPr="008A6ECF">
        <w:rPr>
          <w:bCs/>
        </w:rPr>
        <w:t>cells even in the pore</w:t>
      </w:r>
      <w:r>
        <w:rPr>
          <w:bCs/>
        </w:rPr>
        <w:t>-</w:t>
      </w:r>
      <w:r w:rsidRPr="008A6ECF">
        <w:rPr>
          <w:bCs/>
        </w:rPr>
        <w:t xml:space="preserve">percolating region. This is </w:t>
      </w:r>
      <w:r>
        <w:rPr>
          <w:bCs/>
        </w:rPr>
        <w:t>because of the</w:t>
      </w:r>
      <w:r w:rsidRPr="008A6ECF">
        <w:rPr>
          <w:bCs/>
        </w:rPr>
        <w:t xml:space="preserve"> stable interface between </w:t>
      </w:r>
      <w:r>
        <w:rPr>
          <w:bCs/>
        </w:rPr>
        <w:t xml:space="preserve">the </w:t>
      </w:r>
      <w:r w:rsidRPr="008A6ECF">
        <w:rPr>
          <w:bCs/>
        </w:rPr>
        <w:t>Li</w:t>
      </w:r>
      <w:r w:rsidRPr="008A6ECF">
        <w:rPr>
          <w:bCs/>
          <w:vertAlign w:val="subscript"/>
        </w:rPr>
        <w:t>3</w:t>
      </w:r>
      <w:r w:rsidRPr="008A6ECF">
        <w:rPr>
          <w:bCs/>
        </w:rPr>
        <w:t>N</w:t>
      </w:r>
      <w:r>
        <w:rPr>
          <w:bCs/>
        </w:rPr>
        <w:t>–</w:t>
      </w:r>
      <w:r w:rsidRPr="008A6ECF">
        <w:rPr>
          <w:bCs/>
        </w:rPr>
        <w:t>LiF buffer layer and Li</w:t>
      </w:r>
      <w:r>
        <w:rPr>
          <w:bCs/>
        </w:rPr>
        <w:t xml:space="preserve"> </w:t>
      </w:r>
      <w:r w:rsidRPr="008A6ECF">
        <w:rPr>
          <w:bCs/>
        </w:rPr>
        <w:t>metal. The cycling performance is related to the stable plating of Li</w:t>
      </w:r>
      <w:r>
        <w:rPr>
          <w:bCs/>
        </w:rPr>
        <w:t xml:space="preserve"> </w:t>
      </w:r>
      <w:r w:rsidRPr="008A6ECF">
        <w:rPr>
          <w:bCs/>
        </w:rPr>
        <w:t>metal</w:t>
      </w:r>
      <w:r>
        <w:rPr>
          <w:bCs/>
        </w:rPr>
        <w:t xml:space="preserve">, </w:t>
      </w:r>
      <w:r w:rsidRPr="008A6ECF">
        <w:rPr>
          <w:bCs/>
        </w:rPr>
        <w:t>which does not react with the buffer layer, contrary to the known continuous reaction of Li</w:t>
      </w:r>
      <w:r>
        <w:rPr>
          <w:bCs/>
        </w:rPr>
        <w:t xml:space="preserve"> </w:t>
      </w:r>
      <w:r w:rsidRPr="008A6ECF">
        <w:rPr>
          <w:bCs/>
        </w:rPr>
        <w:t xml:space="preserve">metal and LPS. However, as </w:t>
      </w:r>
      <w:r>
        <w:rPr>
          <w:bCs/>
        </w:rPr>
        <w:t>shown</w:t>
      </w:r>
      <w:r w:rsidRPr="008A6ECF">
        <w:rPr>
          <w:bCs/>
        </w:rPr>
        <w:t xml:space="preserve"> in </w:t>
      </w:r>
      <w:r>
        <w:rPr>
          <w:bCs/>
        </w:rPr>
        <w:t>F</w:t>
      </w:r>
      <w:r w:rsidRPr="008A6ECF">
        <w:rPr>
          <w:bCs/>
        </w:rPr>
        <w:t xml:space="preserve">igure </w:t>
      </w:r>
      <w:r w:rsidR="00B738F9">
        <w:rPr>
          <w:bCs/>
        </w:rPr>
        <w:t>SI-</w:t>
      </w:r>
      <w:r w:rsidR="00590C29">
        <w:rPr>
          <w:bCs/>
        </w:rPr>
        <w:t>11</w:t>
      </w:r>
      <w:r w:rsidR="00B738F9">
        <w:rPr>
          <w:bCs/>
        </w:rPr>
        <w:t xml:space="preserve"> b</w:t>
      </w:r>
      <w:r w:rsidRPr="008A6ECF">
        <w:rPr>
          <w:bCs/>
        </w:rPr>
        <w:t>, when the cell is tested using the long</w:t>
      </w:r>
      <w:r>
        <w:rPr>
          <w:bCs/>
        </w:rPr>
        <w:t>-</w:t>
      </w:r>
      <w:r w:rsidRPr="008A6ECF">
        <w:rPr>
          <w:bCs/>
        </w:rPr>
        <w:t xml:space="preserve">charging criteria, the cell with </w:t>
      </w:r>
      <w:r>
        <w:rPr>
          <w:bCs/>
        </w:rPr>
        <w:t>the BL</w:t>
      </w:r>
      <w:r w:rsidRPr="008A6ECF">
        <w:rPr>
          <w:bCs/>
        </w:rPr>
        <w:t xml:space="preserve"> behaves </w:t>
      </w:r>
      <w:proofErr w:type="gramStart"/>
      <w:r>
        <w:rPr>
          <w:bCs/>
        </w:rPr>
        <w:t>similar to</w:t>
      </w:r>
      <w:proofErr w:type="gramEnd"/>
      <w:r w:rsidRPr="008A6ECF">
        <w:rPr>
          <w:bCs/>
        </w:rPr>
        <w:t xml:space="preserve"> the cells without </w:t>
      </w:r>
      <w:r>
        <w:rPr>
          <w:bCs/>
        </w:rPr>
        <w:t>the BL</w:t>
      </w:r>
      <w:r w:rsidRPr="008A6ECF">
        <w:rPr>
          <w:bCs/>
        </w:rPr>
        <w:t>. Li</w:t>
      </w:r>
      <w:r>
        <w:rPr>
          <w:bCs/>
        </w:rPr>
        <w:t xml:space="preserve"> </w:t>
      </w:r>
      <w:r w:rsidRPr="008A6ECF">
        <w:rPr>
          <w:bCs/>
        </w:rPr>
        <w:t>metal still plates inside the percolating pores</w:t>
      </w:r>
      <w:r>
        <w:rPr>
          <w:bCs/>
        </w:rPr>
        <w:t>,</w:t>
      </w:r>
      <w:r w:rsidRPr="008A6ECF">
        <w:rPr>
          <w:bCs/>
        </w:rPr>
        <w:t xml:space="preserve"> and the cell is shorted after 19 h. Although isolating chemical reactions and reducing electronic conductivity helps to increase cyclability, it does not prevent the deposition of </w:t>
      </w:r>
      <w:r>
        <w:rPr>
          <w:bCs/>
        </w:rPr>
        <w:t>lithium metal in percolated pores.</w:t>
      </w:r>
    </w:p>
    <w:p w14:paraId="26D3FD44" w14:textId="32F21F8D" w:rsidR="00937E84" w:rsidRDefault="00931293" w:rsidP="00590C29">
      <w:pPr>
        <w:pStyle w:val="ListParagraph"/>
        <w:spacing w:line="480" w:lineRule="auto"/>
        <w:ind w:left="0"/>
        <w:jc w:val="center"/>
        <w:rPr>
          <w:b/>
        </w:rPr>
      </w:pPr>
      <w:r w:rsidRPr="00931293">
        <w:rPr>
          <w:b/>
          <w:noProof/>
          <w:lang w:eastAsia="zh-CN"/>
        </w:rPr>
        <w:drawing>
          <wp:inline distT="0" distB="0" distL="0" distR="0" wp14:anchorId="49176066" wp14:editId="5717E59B">
            <wp:extent cx="5732890" cy="2317080"/>
            <wp:effectExtent l="0" t="0" r="1270" b="0"/>
            <wp:docPr id="10" name="Picture 10" descr="C:\Users\qhteme\gDrive\research\papers\Ing_0 - Effect of SE Pellet Density on the Failure of Solid-State batteries\figures\figure SI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hteme\gDrive\research\papers\Ing_0 - Effect of SE Pellet Density on the Failure of Solid-State batteries\figures\figure SI_9.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78256" cy="2335416"/>
                    </a:xfrm>
                    <a:prstGeom prst="rect">
                      <a:avLst/>
                    </a:prstGeom>
                    <a:noFill/>
                    <a:ln>
                      <a:noFill/>
                    </a:ln>
                  </pic:spPr>
                </pic:pic>
              </a:graphicData>
            </a:graphic>
          </wp:inline>
        </w:drawing>
      </w:r>
    </w:p>
    <w:p w14:paraId="657B9491" w14:textId="1645C319" w:rsidR="00C6295F" w:rsidRPr="0008462F" w:rsidRDefault="00931293" w:rsidP="00590C29">
      <w:pPr>
        <w:pStyle w:val="ListParagraph"/>
        <w:spacing w:line="480" w:lineRule="auto"/>
        <w:ind w:left="1080" w:right="270" w:hanging="1080"/>
        <w:jc w:val="center"/>
        <w:rPr>
          <w:sz w:val="22"/>
        </w:rPr>
      </w:pPr>
      <w:r w:rsidRPr="00946FCB">
        <w:rPr>
          <w:b/>
          <w:sz w:val="22"/>
        </w:rPr>
        <w:t>Figure SI-</w:t>
      </w:r>
      <w:r w:rsidR="00590C29">
        <w:rPr>
          <w:b/>
          <w:sz w:val="22"/>
        </w:rPr>
        <w:t>11</w:t>
      </w:r>
      <w:r w:rsidRPr="00946FCB">
        <w:rPr>
          <w:b/>
          <w:sz w:val="22"/>
        </w:rPr>
        <w:t>.</w:t>
      </w:r>
      <w:r w:rsidRPr="00946FCB">
        <w:rPr>
          <w:sz w:val="22"/>
        </w:rPr>
        <w:t xml:space="preserve"> The </w:t>
      </w:r>
      <w:r>
        <w:rPr>
          <w:sz w:val="22"/>
        </w:rPr>
        <w:t xml:space="preserve">controlling experiment by adding a buffer </w:t>
      </w:r>
      <w:proofErr w:type="gramStart"/>
      <w:r>
        <w:rPr>
          <w:sz w:val="22"/>
        </w:rPr>
        <w:t>layer</w:t>
      </w:r>
      <w:proofErr w:type="gramEnd"/>
    </w:p>
    <w:p w14:paraId="2561F6E3" w14:textId="7FA674F3" w:rsidR="00931293" w:rsidRDefault="00C6295F" w:rsidP="00C6295F">
      <w:pPr>
        <w:pStyle w:val="ListParagraph"/>
        <w:numPr>
          <w:ilvl w:val="0"/>
          <w:numId w:val="12"/>
        </w:numPr>
        <w:spacing w:line="480" w:lineRule="auto"/>
        <w:ind w:left="360" w:right="270"/>
        <w:jc w:val="both"/>
        <w:rPr>
          <w:b/>
        </w:rPr>
      </w:pPr>
      <w:r w:rsidRPr="002D0E75">
        <w:rPr>
          <w:b/>
        </w:rPr>
        <w:lastRenderedPageBreak/>
        <w:t xml:space="preserve">The </w:t>
      </w:r>
      <w:r>
        <w:rPr>
          <w:b/>
        </w:rPr>
        <w:t xml:space="preserve">short circuit of cell with dense LPS pellet under increasing current </w:t>
      </w:r>
      <w:proofErr w:type="gramStart"/>
      <w:r>
        <w:rPr>
          <w:b/>
        </w:rPr>
        <w:t>density</w:t>
      </w:r>
      <w:proofErr w:type="gramEnd"/>
    </w:p>
    <w:p w14:paraId="2FE186B0" w14:textId="27B39992" w:rsidR="00B738F9" w:rsidRPr="00B738F9" w:rsidRDefault="00B738F9" w:rsidP="00B738F9">
      <w:pPr>
        <w:spacing w:line="480" w:lineRule="auto"/>
        <w:ind w:right="270"/>
        <w:jc w:val="both"/>
        <w:rPr>
          <w:bCs/>
        </w:rPr>
      </w:pPr>
      <w:r w:rsidRPr="00B738F9">
        <w:rPr>
          <w:bCs/>
        </w:rPr>
        <w:t xml:space="preserve">Figure </w:t>
      </w:r>
      <w:r>
        <w:rPr>
          <w:bCs/>
        </w:rPr>
        <w:t>SI-1</w:t>
      </w:r>
      <w:r w:rsidR="00C45A83">
        <w:rPr>
          <w:bCs/>
        </w:rPr>
        <w:t>2 shows</w:t>
      </w:r>
      <w:r w:rsidRPr="00B738F9">
        <w:rPr>
          <w:bCs/>
        </w:rPr>
        <w:t xml:space="preserve"> the </w:t>
      </w:r>
      <w:r>
        <w:rPr>
          <w:bCs/>
        </w:rPr>
        <w:t>cell in the non-percolating range short as current density is increased.</w:t>
      </w:r>
      <w:r w:rsidRPr="00B738F9">
        <w:rPr>
          <w:bCs/>
        </w:rPr>
        <w:t xml:space="preserve"> </w:t>
      </w:r>
      <w:proofErr w:type="gramStart"/>
      <w:r w:rsidRPr="00B738F9">
        <w:rPr>
          <w:bCs/>
        </w:rPr>
        <w:t>the</w:t>
      </w:r>
      <w:proofErr w:type="gramEnd"/>
      <w:r w:rsidRPr="00B738F9">
        <w:rPr>
          <w:bCs/>
        </w:rPr>
        <w:t xml:space="preserve"> SE fracture should not be caused by mechanical shearing of isolated pores; however, the high hydrostatic pressure developed after Li metal fills isolated pores.</w:t>
      </w:r>
    </w:p>
    <w:p w14:paraId="60A0DAC8" w14:textId="5BBB23F6" w:rsidR="00937E84" w:rsidRDefault="00C6295F" w:rsidP="00C45A83">
      <w:pPr>
        <w:spacing w:line="480" w:lineRule="auto"/>
        <w:ind w:right="270"/>
        <w:jc w:val="center"/>
        <w:rPr>
          <w:b/>
        </w:rPr>
      </w:pPr>
      <w:r w:rsidRPr="00C6295F">
        <w:rPr>
          <w:b/>
          <w:noProof/>
          <w:lang w:eastAsia="zh-CN"/>
        </w:rPr>
        <w:drawing>
          <wp:inline distT="0" distB="0" distL="0" distR="0" wp14:anchorId="36037FFA" wp14:editId="4D38306C">
            <wp:extent cx="5486400" cy="3444875"/>
            <wp:effectExtent l="0" t="0" r="0" b="0"/>
            <wp:docPr id="11" name="Picture 11" descr="C:\Users\qhteme\gDrive\research\papers\Ing_0 - Effect of SE Pellet Density on the Failure of Solid-State batteries\figures\figure SI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hteme\gDrive\research\papers\Ing_0 - Effect of SE Pellet Density on the Failure of Solid-State batteries\figures\figure SI_10.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90778" cy="3447624"/>
                    </a:xfrm>
                    <a:prstGeom prst="rect">
                      <a:avLst/>
                    </a:prstGeom>
                    <a:noFill/>
                    <a:ln>
                      <a:noFill/>
                    </a:ln>
                  </pic:spPr>
                </pic:pic>
              </a:graphicData>
            </a:graphic>
          </wp:inline>
        </w:drawing>
      </w:r>
    </w:p>
    <w:p w14:paraId="29C3110A" w14:textId="0743D4BA" w:rsidR="00C6295F" w:rsidRDefault="00C6295F" w:rsidP="00C45A83">
      <w:pPr>
        <w:pStyle w:val="ListParagraph"/>
        <w:spacing w:line="480" w:lineRule="auto"/>
        <w:ind w:left="1080" w:right="270" w:hanging="1080"/>
        <w:jc w:val="center"/>
        <w:rPr>
          <w:sz w:val="22"/>
        </w:rPr>
      </w:pPr>
      <w:r w:rsidRPr="00946FCB">
        <w:rPr>
          <w:b/>
          <w:sz w:val="22"/>
        </w:rPr>
        <w:t>Figure SI-</w:t>
      </w:r>
      <w:r>
        <w:rPr>
          <w:b/>
          <w:sz w:val="22"/>
        </w:rPr>
        <w:t>1</w:t>
      </w:r>
      <w:r w:rsidR="00C45A83">
        <w:rPr>
          <w:b/>
          <w:sz w:val="22"/>
        </w:rPr>
        <w:t>2</w:t>
      </w:r>
      <w:r w:rsidRPr="00946FCB">
        <w:rPr>
          <w:b/>
          <w:sz w:val="22"/>
        </w:rPr>
        <w:t>.</w:t>
      </w:r>
      <w:r w:rsidRPr="00946FCB">
        <w:rPr>
          <w:sz w:val="22"/>
        </w:rPr>
        <w:t xml:space="preserve"> The </w:t>
      </w:r>
      <w:r>
        <w:rPr>
          <w:sz w:val="22"/>
        </w:rPr>
        <w:t>controlling experiment by adding a buffer layer.</w:t>
      </w:r>
    </w:p>
    <w:p w14:paraId="355F72C7" w14:textId="77777777" w:rsidR="00C6295F" w:rsidRPr="00775952" w:rsidRDefault="00C6295F" w:rsidP="00775952">
      <w:pPr>
        <w:spacing w:line="480" w:lineRule="auto"/>
        <w:ind w:right="270"/>
        <w:jc w:val="both"/>
        <w:rPr>
          <w:b/>
        </w:rPr>
      </w:pPr>
    </w:p>
    <w:sectPr w:rsidR="00C6295F" w:rsidRPr="00775952">
      <w:head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DB1912" w14:textId="77777777" w:rsidR="00EA013F" w:rsidRDefault="00EA013F" w:rsidP="002153FC">
      <w:pPr>
        <w:spacing w:after="0" w:line="240" w:lineRule="auto"/>
      </w:pPr>
      <w:r>
        <w:separator/>
      </w:r>
    </w:p>
  </w:endnote>
  <w:endnote w:type="continuationSeparator" w:id="0">
    <w:p w14:paraId="3401F80A" w14:textId="77777777" w:rsidR="00EA013F" w:rsidRDefault="00EA013F" w:rsidP="002153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4BEAB1" w14:textId="77777777" w:rsidR="00EA013F" w:rsidRDefault="00EA013F" w:rsidP="002153FC">
      <w:pPr>
        <w:spacing w:after="0" w:line="240" w:lineRule="auto"/>
      </w:pPr>
      <w:r>
        <w:separator/>
      </w:r>
    </w:p>
  </w:footnote>
  <w:footnote w:type="continuationSeparator" w:id="0">
    <w:p w14:paraId="037F3B7E" w14:textId="77777777" w:rsidR="00EA013F" w:rsidRDefault="00EA013F" w:rsidP="002153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3F259" w14:textId="2B0AAF0F" w:rsidR="00A353DE" w:rsidRDefault="00A91F28" w:rsidP="00A353DE">
    <w:pPr>
      <w:pStyle w:val="Header"/>
      <w:jc w:val="center"/>
    </w:pPr>
    <w:r>
      <w:t>Support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03842"/>
    <w:multiLevelType w:val="hybridMultilevel"/>
    <w:tmpl w:val="E0DE4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AC6FAB"/>
    <w:multiLevelType w:val="hybridMultilevel"/>
    <w:tmpl w:val="BDC485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9A2212"/>
    <w:multiLevelType w:val="hybridMultilevel"/>
    <w:tmpl w:val="A5C04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5D6204"/>
    <w:multiLevelType w:val="hybridMultilevel"/>
    <w:tmpl w:val="07B2A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E379D6"/>
    <w:multiLevelType w:val="hybridMultilevel"/>
    <w:tmpl w:val="A2309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F32395"/>
    <w:multiLevelType w:val="hybridMultilevel"/>
    <w:tmpl w:val="838CFD34"/>
    <w:lvl w:ilvl="0" w:tplc="78DC3106">
      <w:start w:val="1"/>
      <w:numFmt w:val="bullet"/>
      <w:lvlText w:val=""/>
      <w:lvlJc w:val="left"/>
      <w:pPr>
        <w:ind w:left="720" w:hanging="360"/>
      </w:pPr>
      <w:rPr>
        <w:rFonts w:ascii="Symbol" w:hAnsi="Symbo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1C1582"/>
    <w:multiLevelType w:val="hybridMultilevel"/>
    <w:tmpl w:val="7F78BA5E"/>
    <w:lvl w:ilvl="0" w:tplc="04090003">
      <w:start w:val="1"/>
      <w:numFmt w:val="bullet"/>
      <w:lvlText w:val="o"/>
      <w:lvlJc w:val="left"/>
      <w:pPr>
        <w:ind w:left="720" w:hanging="360"/>
      </w:pPr>
      <w:rPr>
        <w:rFonts w:ascii="Courier New" w:hAnsi="Courier New" w:cs="Courier New"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617A37"/>
    <w:multiLevelType w:val="hybridMultilevel"/>
    <w:tmpl w:val="E736A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7E1323"/>
    <w:multiLevelType w:val="hybridMultilevel"/>
    <w:tmpl w:val="BF2813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6563901"/>
    <w:multiLevelType w:val="hybridMultilevel"/>
    <w:tmpl w:val="02FE10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1A2766"/>
    <w:multiLevelType w:val="hybridMultilevel"/>
    <w:tmpl w:val="38DEFBD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start w:val="1"/>
      <w:numFmt w:val="bullet"/>
      <w:lvlText w:val=""/>
      <w:lvlJc w:val="left"/>
      <w:pPr>
        <w:ind w:left="2970" w:hanging="360"/>
      </w:pPr>
      <w:rPr>
        <w:rFonts w:ascii="Symbol" w:hAnsi="Symbol" w:hint="default"/>
      </w:rPr>
    </w:lvl>
    <w:lvl w:ilvl="4" w:tplc="04090003">
      <w:start w:val="1"/>
      <w:numFmt w:val="bullet"/>
      <w:lvlText w:val="o"/>
      <w:lvlJc w:val="left"/>
      <w:pPr>
        <w:ind w:left="3690" w:hanging="360"/>
      </w:pPr>
      <w:rPr>
        <w:rFonts w:ascii="Courier New" w:hAnsi="Courier New" w:cs="Courier New" w:hint="default"/>
      </w:rPr>
    </w:lvl>
    <w:lvl w:ilvl="5" w:tplc="04090005">
      <w:start w:val="1"/>
      <w:numFmt w:val="bullet"/>
      <w:lvlText w:val=""/>
      <w:lvlJc w:val="left"/>
      <w:pPr>
        <w:ind w:left="4410" w:hanging="360"/>
      </w:pPr>
      <w:rPr>
        <w:rFonts w:ascii="Wingdings" w:hAnsi="Wingdings" w:hint="default"/>
      </w:rPr>
    </w:lvl>
    <w:lvl w:ilvl="6" w:tplc="04090001">
      <w:start w:val="1"/>
      <w:numFmt w:val="bullet"/>
      <w:lvlText w:val=""/>
      <w:lvlJc w:val="left"/>
      <w:pPr>
        <w:ind w:left="5130" w:hanging="360"/>
      </w:pPr>
      <w:rPr>
        <w:rFonts w:ascii="Symbol" w:hAnsi="Symbol" w:hint="default"/>
      </w:rPr>
    </w:lvl>
    <w:lvl w:ilvl="7" w:tplc="04090003">
      <w:start w:val="1"/>
      <w:numFmt w:val="bullet"/>
      <w:lvlText w:val="o"/>
      <w:lvlJc w:val="left"/>
      <w:pPr>
        <w:ind w:left="5850" w:hanging="360"/>
      </w:pPr>
      <w:rPr>
        <w:rFonts w:ascii="Courier New" w:hAnsi="Courier New" w:cs="Courier New" w:hint="default"/>
      </w:rPr>
    </w:lvl>
    <w:lvl w:ilvl="8" w:tplc="04090005">
      <w:start w:val="1"/>
      <w:numFmt w:val="bullet"/>
      <w:lvlText w:val=""/>
      <w:lvlJc w:val="left"/>
      <w:pPr>
        <w:ind w:left="6570" w:hanging="360"/>
      </w:pPr>
      <w:rPr>
        <w:rFonts w:ascii="Wingdings" w:hAnsi="Wingdings" w:hint="default"/>
      </w:rPr>
    </w:lvl>
  </w:abstractNum>
  <w:abstractNum w:abstractNumId="11" w15:restartNumberingAfterBreak="0">
    <w:nsid w:val="71C97D9F"/>
    <w:multiLevelType w:val="hybridMultilevel"/>
    <w:tmpl w:val="04EE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C20F91"/>
    <w:multiLevelType w:val="hybridMultilevel"/>
    <w:tmpl w:val="9DB49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51441FC"/>
    <w:multiLevelType w:val="hybridMultilevel"/>
    <w:tmpl w:val="DAFA3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0B0504"/>
    <w:multiLevelType w:val="hybridMultilevel"/>
    <w:tmpl w:val="BD785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29255231">
    <w:abstractNumId w:val="10"/>
  </w:num>
  <w:num w:numId="2" w16cid:durableId="1085609523">
    <w:abstractNumId w:val="10"/>
  </w:num>
  <w:num w:numId="3" w16cid:durableId="1917740623">
    <w:abstractNumId w:val="1"/>
  </w:num>
  <w:num w:numId="4" w16cid:durableId="962006884">
    <w:abstractNumId w:val="9"/>
  </w:num>
  <w:num w:numId="5" w16cid:durableId="1269267246">
    <w:abstractNumId w:val="2"/>
  </w:num>
  <w:num w:numId="6" w16cid:durableId="1178692304">
    <w:abstractNumId w:val="4"/>
  </w:num>
  <w:num w:numId="7" w16cid:durableId="863598617">
    <w:abstractNumId w:val="7"/>
  </w:num>
  <w:num w:numId="8" w16cid:durableId="721518099">
    <w:abstractNumId w:val="0"/>
  </w:num>
  <w:num w:numId="9" w16cid:durableId="2111468736">
    <w:abstractNumId w:val="13"/>
  </w:num>
  <w:num w:numId="10" w16cid:durableId="2131507641">
    <w:abstractNumId w:val="5"/>
  </w:num>
  <w:num w:numId="11" w16cid:durableId="1708990362">
    <w:abstractNumId w:val="6"/>
  </w:num>
  <w:num w:numId="12" w16cid:durableId="252058230">
    <w:abstractNumId w:val="14"/>
  </w:num>
  <w:num w:numId="13" w16cid:durableId="1663073227">
    <w:abstractNumId w:val="3"/>
  </w:num>
  <w:num w:numId="14" w16cid:durableId="1252928636">
    <w:abstractNumId w:val="8"/>
  </w:num>
  <w:num w:numId="15" w16cid:durableId="2079013777">
    <w:abstractNumId w:val="11"/>
  </w:num>
  <w:num w:numId="16" w16cid:durableId="156644839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2C1"/>
    <w:rsid w:val="00001F36"/>
    <w:rsid w:val="000068FE"/>
    <w:rsid w:val="00017137"/>
    <w:rsid w:val="0002197F"/>
    <w:rsid w:val="00022A4B"/>
    <w:rsid w:val="000232E1"/>
    <w:rsid w:val="000256E6"/>
    <w:rsid w:val="000319FF"/>
    <w:rsid w:val="00032DC9"/>
    <w:rsid w:val="0003718C"/>
    <w:rsid w:val="00041C08"/>
    <w:rsid w:val="00053265"/>
    <w:rsid w:val="00061B10"/>
    <w:rsid w:val="00066599"/>
    <w:rsid w:val="00073206"/>
    <w:rsid w:val="000769EB"/>
    <w:rsid w:val="00082A03"/>
    <w:rsid w:val="00083175"/>
    <w:rsid w:val="0008462F"/>
    <w:rsid w:val="00090D1A"/>
    <w:rsid w:val="000931B6"/>
    <w:rsid w:val="00093321"/>
    <w:rsid w:val="000A4EA7"/>
    <w:rsid w:val="000A6DF8"/>
    <w:rsid w:val="000B36BE"/>
    <w:rsid w:val="000B4D24"/>
    <w:rsid w:val="000C5EBB"/>
    <w:rsid w:val="000D13EE"/>
    <w:rsid w:val="000D44CC"/>
    <w:rsid w:val="000E0955"/>
    <w:rsid w:val="000E4288"/>
    <w:rsid w:val="000E4C9F"/>
    <w:rsid w:val="000E4D05"/>
    <w:rsid w:val="000E728D"/>
    <w:rsid w:val="00100CB5"/>
    <w:rsid w:val="00105F30"/>
    <w:rsid w:val="00111850"/>
    <w:rsid w:val="0012249C"/>
    <w:rsid w:val="00124FEC"/>
    <w:rsid w:val="00161118"/>
    <w:rsid w:val="0016151A"/>
    <w:rsid w:val="00164D68"/>
    <w:rsid w:val="001716CE"/>
    <w:rsid w:val="00172BED"/>
    <w:rsid w:val="00186518"/>
    <w:rsid w:val="00187D18"/>
    <w:rsid w:val="0019163F"/>
    <w:rsid w:val="00191AD6"/>
    <w:rsid w:val="001940C0"/>
    <w:rsid w:val="001A1EA0"/>
    <w:rsid w:val="001A506C"/>
    <w:rsid w:val="001A7DC4"/>
    <w:rsid w:val="001B1B97"/>
    <w:rsid w:val="001B1D67"/>
    <w:rsid w:val="001B3DCD"/>
    <w:rsid w:val="001C5C13"/>
    <w:rsid w:val="001D267D"/>
    <w:rsid w:val="001D2A2A"/>
    <w:rsid w:val="001D58EF"/>
    <w:rsid w:val="002153FC"/>
    <w:rsid w:val="00220BDD"/>
    <w:rsid w:val="002226A3"/>
    <w:rsid w:val="002254DB"/>
    <w:rsid w:val="00225A66"/>
    <w:rsid w:val="00225C1F"/>
    <w:rsid w:val="002271FF"/>
    <w:rsid w:val="00230391"/>
    <w:rsid w:val="00233ED8"/>
    <w:rsid w:val="00242516"/>
    <w:rsid w:val="00251985"/>
    <w:rsid w:val="00261E28"/>
    <w:rsid w:val="0027205F"/>
    <w:rsid w:val="00274728"/>
    <w:rsid w:val="0028214F"/>
    <w:rsid w:val="00284497"/>
    <w:rsid w:val="002846DA"/>
    <w:rsid w:val="0029342B"/>
    <w:rsid w:val="0029566A"/>
    <w:rsid w:val="00296B7F"/>
    <w:rsid w:val="002A51B0"/>
    <w:rsid w:val="002A5B98"/>
    <w:rsid w:val="002A7F72"/>
    <w:rsid w:val="002B5B09"/>
    <w:rsid w:val="002B5FA1"/>
    <w:rsid w:val="002C1816"/>
    <w:rsid w:val="002C61BB"/>
    <w:rsid w:val="002D0E75"/>
    <w:rsid w:val="002D20FD"/>
    <w:rsid w:val="002D7C9B"/>
    <w:rsid w:val="002E1EB9"/>
    <w:rsid w:val="002F1D4E"/>
    <w:rsid w:val="002F24DA"/>
    <w:rsid w:val="002F2D5F"/>
    <w:rsid w:val="002F4115"/>
    <w:rsid w:val="00304B12"/>
    <w:rsid w:val="003054CC"/>
    <w:rsid w:val="00311A80"/>
    <w:rsid w:val="00312900"/>
    <w:rsid w:val="00315DE7"/>
    <w:rsid w:val="003175B3"/>
    <w:rsid w:val="00322EC1"/>
    <w:rsid w:val="0033324C"/>
    <w:rsid w:val="0034091B"/>
    <w:rsid w:val="00342483"/>
    <w:rsid w:val="0034317A"/>
    <w:rsid w:val="003507AA"/>
    <w:rsid w:val="00354F79"/>
    <w:rsid w:val="00375995"/>
    <w:rsid w:val="00384C6B"/>
    <w:rsid w:val="00391930"/>
    <w:rsid w:val="00392615"/>
    <w:rsid w:val="003A4765"/>
    <w:rsid w:val="003C332D"/>
    <w:rsid w:val="003C6CB2"/>
    <w:rsid w:val="003D00F3"/>
    <w:rsid w:val="003D0C81"/>
    <w:rsid w:val="003E0754"/>
    <w:rsid w:val="003E1D55"/>
    <w:rsid w:val="003E31B7"/>
    <w:rsid w:val="003E4901"/>
    <w:rsid w:val="003F0F3A"/>
    <w:rsid w:val="003F400B"/>
    <w:rsid w:val="003F4629"/>
    <w:rsid w:val="003F7261"/>
    <w:rsid w:val="0040152B"/>
    <w:rsid w:val="00404064"/>
    <w:rsid w:val="00410E06"/>
    <w:rsid w:val="00413E4F"/>
    <w:rsid w:val="004211D4"/>
    <w:rsid w:val="00423271"/>
    <w:rsid w:val="0042549E"/>
    <w:rsid w:val="00435627"/>
    <w:rsid w:val="00435A79"/>
    <w:rsid w:val="00452565"/>
    <w:rsid w:val="004534B0"/>
    <w:rsid w:val="00455EFD"/>
    <w:rsid w:val="004717FB"/>
    <w:rsid w:val="0047282F"/>
    <w:rsid w:val="00474DCD"/>
    <w:rsid w:val="00476AFB"/>
    <w:rsid w:val="0048786E"/>
    <w:rsid w:val="00490778"/>
    <w:rsid w:val="0049575D"/>
    <w:rsid w:val="004A34C5"/>
    <w:rsid w:val="004B1480"/>
    <w:rsid w:val="004B6731"/>
    <w:rsid w:val="004C0971"/>
    <w:rsid w:val="004C6CE2"/>
    <w:rsid w:val="004D4748"/>
    <w:rsid w:val="004E0F01"/>
    <w:rsid w:val="004E6CB0"/>
    <w:rsid w:val="004F3626"/>
    <w:rsid w:val="004F42E9"/>
    <w:rsid w:val="004F52AA"/>
    <w:rsid w:val="004F7092"/>
    <w:rsid w:val="00510E82"/>
    <w:rsid w:val="00511C6F"/>
    <w:rsid w:val="00533068"/>
    <w:rsid w:val="00533FD7"/>
    <w:rsid w:val="00544227"/>
    <w:rsid w:val="00546FE5"/>
    <w:rsid w:val="00551003"/>
    <w:rsid w:val="00553E23"/>
    <w:rsid w:val="00554EC9"/>
    <w:rsid w:val="00565344"/>
    <w:rsid w:val="00573122"/>
    <w:rsid w:val="005733E1"/>
    <w:rsid w:val="00573A6F"/>
    <w:rsid w:val="0057582F"/>
    <w:rsid w:val="00581736"/>
    <w:rsid w:val="005852A4"/>
    <w:rsid w:val="00590C29"/>
    <w:rsid w:val="00595BD2"/>
    <w:rsid w:val="005A6130"/>
    <w:rsid w:val="005B0623"/>
    <w:rsid w:val="005B7A79"/>
    <w:rsid w:val="005C029D"/>
    <w:rsid w:val="005C4F5B"/>
    <w:rsid w:val="005C52AA"/>
    <w:rsid w:val="005D2246"/>
    <w:rsid w:val="005D4C96"/>
    <w:rsid w:val="005D4E4D"/>
    <w:rsid w:val="005D5EF7"/>
    <w:rsid w:val="005E2603"/>
    <w:rsid w:val="005E6BE8"/>
    <w:rsid w:val="005F4406"/>
    <w:rsid w:val="00601F23"/>
    <w:rsid w:val="00604F8C"/>
    <w:rsid w:val="00615042"/>
    <w:rsid w:val="00622773"/>
    <w:rsid w:val="00626748"/>
    <w:rsid w:val="00632DDD"/>
    <w:rsid w:val="00634B10"/>
    <w:rsid w:val="00645D83"/>
    <w:rsid w:val="00651870"/>
    <w:rsid w:val="00653B3D"/>
    <w:rsid w:val="00656242"/>
    <w:rsid w:val="006575A8"/>
    <w:rsid w:val="00662080"/>
    <w:rsid w:val="00670838"/>
    <w:rsid w:val="0067178A"/>
    <w:rsid w:val="006768D5"/>
    <w:rsid w:val="00677F49"/>
    <w:rsid w:val="0069763F"/>
    <w:rsid w:val="006A13AE"/>
    <w:rsid w:val="006A2ECF"/>
    <w:rsid w:val="006A3550"/>
    <w:rsid w:val="006B0CD6"/>
    <w:rsid w:val="006B4390"/>
    <w:rsid w:val="006D3A8C"/>
    <w:rsid w:val="006D46ED"/>
    <w:rsid w:val="006E75F2"/>
    <w:rsid w:val="006F2B4D"/>
    <w:rsid w:val="006F71EA"/>
    <w:rsid w:val="00710975"/>
    <w:rsid w:val="0071122C"/>
    <w:rsid w:val="007251CD"/>
    <w:rsid w:val="00727A98"/>
    <w:rsid w:val="00736EB5"/>
    <w:rsid w:val="00747EAC"/>
    <w:rsid w:val="00775952"/>
    <w:rsid w:val="007769CF"/>
    <w:rsid w:val="0078043F"/>
    <w:rsid w:val="007841D3"/>
    <w:rsid w:val="00792E99"/>
    <w:rsid w:val="007930AF"/>
    <w:rsid w:val="00793E45"/>
    <w:rsid w:val="007A54D9"/>
    <w:rsid w:val="007C3841"/>
    <w:rsid w:val="007D303A"/>
    <w:rsid w:val="007D46EC"/>
    <w:rsid w:val="007D4999"/>
    <w:rsid w:val="007D4C5B"/>
    <w:rsid w:val="007D5D6C"/>
    <w:rsid w:val="007F35B7"/>
    <w:rsid w:val="007F525C"/>
    <w:rsid w:val="008034E1"/>
    <w:rsid w:val="008064DC"/>
    <w:rsid w:val="00806FB8"/>
    <w:rsid w:val="0081176E"/>
    <w:rsid w:val="0081307C"/>
    <w:rsid w:val="008131E3"/>
    <w:rsid w:val="0081434F"/>
    <w:rsid w:val="00822395"/>
    <w:rsid w:val="0082339F"/>
    <w:rsid w:val="00832649"/>
    <w:rsid w:val="008360DA"/>
    <w:rsid w:val="008377D1"/>
    <w:rsid w:val="008540F8"/>
    <w:rsid w:val="00856412"/>
    <w:rsid w:val="00860620"/>
    <w:rsid w:val="00861D44"/>
    <w:rsid w:val="00866589"/>
    <w:rsid w:val="008723D8"/>
    <w:rsid w:val="0087741D"/>
    <w:rsid w:val="0088054B"/>
    <w:rsid w:val="00885D24"/>
    <w:rsid w:val="00887A36"/>
    <w:rsid w:val="00893079"/>
    <w:rsid w:val="00897A15"/>
    <w:rsid w:val="008A70FD"/>
    <w:rsid w:val="008B09ED"/>
    <w:rsid w:val="008C2FE9"/>
    <w:rsid w:val="008C4ED7"/>
    <w:rsid w:val="008C6067"/>
    <w:rsid w:val="008D3AF8"/>
    <w:rsid w:val="008D4234"/>
    <w:rsid w:val="008D50F2"/>
    <w:rsid w:val="008E1417"/>
    <w:rsid w:val="008F1B98"/>
    <w:rsid w:val="008F734C"/>
    <w:rsid w:val="00900DD5"/>
    <w:rsid w:val="00903D4B"/>
    <w:rsid w:val="0090682F"/>
    <w:rsid w:val="00912BDA"/>
    <w:rsid w:val="00913892"/>
    <w:rsid w:val="00917B2F"/>
    <w:rsid w:val="0092205A"/>
    <w:rsid w:val="0092321C"/>
    <w:rsid w:val="00931293"/>
    <w:rsid w:val="00933666"/>
    <w:rsid w:val="00934320"/>
    <w:rsid w:val="00936EBD"/>
    <w:rsid w:val="00937E84"/>
    <w:rsid w:val="00940CE5"/>
    <w:rsid w:val="009412BA"/>
    <w:rsid w:val="009440DE"/>
    <w:rsid w:val="00946FCB"/>
    <w:rsid w:val="00954F18"/>
    <w:rsid w:val="009572C1"/>
    <w:rsid w:val="009602B0"/>
    <w:rsid w:val="00966B92"/>
    <w:rsid w:val="009706FA"/>
    <w:rsid w:val="00974E1E"/>
    <w:rsid w:val="0097563A"/>
    <w:rsid w:val="00980729"/>
    <w:rsid w:val="009862EA"/>
    <w:rsid w:val="00996039"/>
    <w:rsid w:val="009A6EEB"/>
    <w:rsid w:val="009B21B2"/>
    <w:rsid w:val="009B2ECE"/>
    <w:rsid w:val="009B3835"/>
    <w:rsid w:val="009B4386"/>
    <w:rsid w:val="009B6D02"/>
    <w:rsid w:val="009B773B"/>
    <w:rsid w:val="009D0DE9"/>
    <w:rsid w:val="009D3C51"/>
    <w:rsid w:val="009D4CF3"/>
    <w:rsid w:val="009D6F14"/>
    <w:rsid w:val="009E33D4"/>
    <w:rsid w:val="009F292D"/>
    <w:rsid w:val="00A004F8"/>
    <w:rsid w:val="00A00FB4"/>
    <w:rsid w:val="00A01C09"/>
    <w:rsid w:val="00A06DAB"/>
    <w:rsid w:val="00A105DF"/>
    <w:rsid w:val="00A14902"/>
    <w:rsid w:val="00A14ABE"/>
    <w:rsid w:val="00A24628"/>
    <w:rsid w:val="00A353DE"/>
    <w:rsid w:val="00A40E77"/>
    <w:rsid w:val="00A41BEF"/>
    <w:rsid w:val="00A5040E"/>
    <w:rsid w:val="00A52658"/>
    <w:rsid w:val="00A52C00"/>
    <w:rsid w:val="00A52FFD"/>
    <w:rsid w:val="00A5314B"/>
    <w:rsid w:val="00A543FC"/>
    <w:rsid w:val="00A600E1"/>
    <w:rsid w:val="00A642EE"/>
    <w:rsid w:val="00A7542B"/>
    <w:rsid w:val="00A77640"/>
    <w:rsid w:val="00A81C3B"/>
    <w:rsid w:val="00A8558A"/>
    <w:rsid w:val="00A8753E"/>
    <w:rsid w:val="00A87796"/>
    <w:rsid w:val="00A90830"/>
    <w:rsid w:val="00A9164F"/>
    <w:rsid w:val="00A91F28"/>
    <w:rsid w:val="00A967E0"/>
    <w:rsid w:val="00A96A19"/>
    <w:rsid w:val="00AB5787"/>
    <w:rsid w:val="00AC0DDC"/>
    <w:rsid w:val="00AD7409"/>
    <w:rsid w:val="00AE1DDA"/>
    <w:rsid w:val="00AE34C1"/>
    <w:rsid w:val="00AF3DFB"/>
    <w:rsid w:val="00AF4BD5"/>
    <w:rsid w:val="00B02253"/>
    <w:rsid w:val="00B114A5"/>
    <w:rsid w:val="00B11C40"/>
    <w:rsid w:val="00B222E6"/>
    <w:rsid w:val="00B234C6"/>
    <w:rsid w:val="00B32E34"/>
    <w:rsid w:val="00B34367"/>
    <w:rsid w:val="00B4615D"/>
    <w:rsid w:val="00B52184"/>
    <w:rsid w:val="00B5462E"/>
    <w:rsid w:val="00B712F8"/>
    <w:rsid w:val="00B71994"/>
    <w:rsid w:val="00B738F9"/>
    <w:rsid w:val="00B818CD"/>
    <w:rsid w:val="00B8511E"/>
    <w:rsid w:val="00BA21BA"/>
    <w:rsid w:val="00BA3BAD"/>
    <w:rsid w:val="00BA4E71"/>
    <w:rsid w:val="00BC7554"/>
    <w:rsid w:val="00BD2FAF"/>
    <w:rsid w:val="00BD5904"/>
    <w:rsid w:val="00BE329A"/>
    <w:rsid w:val="00BF04EF"/>
    <w:rsid w:val="00BF1B12"/>
    <w:rsid w:val="00BF7119"/>
    <w:rsid w:val="00C05DF3"/>
    <w:rsid w:val="00C101D5"/>
    <w:rsid w:val="00C10509"/>
    <w:rsid w:val="00C1710F"/>
    <w:rsid w:val="00C264A8"/>
    <w:rsid w:val="00C30FF8"/>
    <w:rsid w:val="00C3320C"/>
    <w:rsid w:val="00C34A08"/>
    <w:rsid w:val="00C40FB0"/>
    <w:rsid w:val="00C41283"/>
    <w:rsid w:val="00C45A83"/>
    <w:rsid w:val="00C473C6"/>
    <w:rsid w:val="00C57247"/>
    <w:rsid w:val="00C57348"/>
    <w:rsid w:val="00C6295F"/>
    <w:rsid w:val="00C71D35"/>
    <w:rsid w:val="00C7392A"/>
    <w:rsid w:val="00C835DD"/>
    <w:rsid w:val="00C91845"/>
    <w:rsid w:val="00C9517B"/>
    <w:rsid w:val="00C961AE"/>
    <w:rsid w:val="00CA06C7"/>
    <w:rsid w:val="00CA5A6A"/>
    <w:rsid w:val="00CD0CD8"/>
    <w:rsid w:val="00CD2264"/>
    <w:rsid w:val="00CE3BE1"/>
    <w:rsid w:val="00CE510A"/>
    <w:rsid w:val="00CF3225"/>
    <w:rsid w:val="00CF4D02"/>
    <w:rsid w:val="00D07DB8"/>
    <w:rsid w:val="00D17CAA"/>
    <w:rsid w:val="00D271FE"/>
    <w:rsid w:val="00D37756"/>
    <w:rsid w:val="00D4158E"/>
    <w:rsid w:val="00D4331C"/>
    <w:rsid w:val="00D52B04"/>
    <w:rsid w:val="00D55D9E"/>
    <w:rsid w:val="00D563EE"/>
    <w:rsid w:val="00D635C6"/>
    <w:rsid w:val="00D756D3"/>
    <w:rsid w:val="00D765A8"/>
    <w:rsid w:val="00D97529"/>
    <w:rsid w:val="00DA0334"/>
    <w:rsid w:val="00DA11E3"/>
    <w:rsid w:val="00DA72E0"/>
    <w:rsid w:val="00DA737F"/>
    <w:rsid w:val="00DC1C9A"/>
    <w:rsid w:val="00DC4801"/>
    <w:rsid w:val="00DD115D"/>
    <w:rsid w:val="00DE6150"/>
    <w:rsid w:val="00DF14D0"/>
    <w:rsid w:val="00DF346E"/>
    <w:rsid w:val="00DF3669"/>
    <w:rsid w:val="00E10424"/>
    <w:rsid w:val="00E21966"/>
    <w:rsid w:val="00E408B1"/>
    <w:rsid w:val="00E43D42"/>
    <w:rsid w:val="00E50574"/>
    <w:rsid w:val="00E56CAE"/>
    <w:rsid w:val="00E57AF2"/>
    <w:rsid w:val="00E67318"/>
    <w:rsid w:val="00E75A0C"/>
    <w:rsid w:val="00E83363"/>
    <w:rsid w:val="00E838F2"/>
    <w:rsid w:val="00E85B1E"/>
    <w:rsid w:val="00E9369F"/>
    <w:rsid w:val="00E9454B"/>
    <w:rsid w:val="00EA013F"/>
    <w:rsid w:val="00EA57CE"/>
    <w:rsid w:val="00EA7DF5"/>
    <w:rsid w:val="00EB0F0C"/>
    <w:rsid w:val="00EC28D3"/>
    <w:rsid w:val="00EC6F0A"/>
    <w:rsid w:val="00EC72BE"/>
    <w:rsid w:val="00ED0DE2"/>
    <w:rsid w:val="00ED43DD"/>
    <w:rsid w:val="00EF3CD3"/>
    <w:rsid w:val="00EF7AFE"/>
    <w:rsid w:val="00F05F8B"/>
    <w:rsid w:val="00F0675F"/>
    <w:rsid w:val="00F06D92"/>
    <w:rsid w:val="00F10E77"/>
    <w:rsid w:val="00F12E68"/>
    <w:rsid w:val="00F21675"/>
    <w:rsid w:val="00F26AF4"/>
    <w:rsid w:val="00F308B1"/>
    <w:rsid w:val="00F37F69"/>
    <w:rsid w:val="00F405F7"/>
    <w:rsid w:val="00F47D36"/>
    <w:rsid w:val="00F54CA6"/>
    <w:rsid w:val="00F558A7"/>
    <w:rsid w:val="00F84AE3"/>
    <w:rsid w:val="00F86753"/>
    <w:rsid w:val="00F91F3E"/>
    <w:rsid w:val="00FA10A6"/>
    <w:rsid w:val="00FA3FBB"/>
    <w:rsid w:val="00FA4527"/>
    <w:rsid w:val="00FA6DCC"/>
    <w:rsid w:val="00FB2553"/>
    <w:rsid w:val="00FC0274"/>
    <w:rsid w:val="00FC406A"/>
    <w:rsid w:val="00FC413B"/>
    <w:rsid w:val="00FC69BE"/>
    <w:rsid w:val="00FC75DC"/>
    <w:rsid w:val="00FD003D"/>
    <w:rsid w:val="00FD0494"/>
    <w:rsid w:val="00FD4F8C"/>
    <w:rsid w:val="00FD5118"/>
    <w:rsid w:val="00FE63E0"/>
    <w:rsid w:val="00FF0265"/>
    <w:rsid w:val="00FF2467"/>
    <w:rsid w:val="00FF2D5A"/>
    <w:rsid w:val="00FF7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9A1D9"/>
  <w15:chartTrackingRefBased/>
  <w15:docId w15:val="{FE228A90-0D20-448C-83C5-45EB53119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1B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897A15"/>
    <w:pPr>
      <w:ind w:left="720"/>
      <w:contextualSpacing/>
    </w:pPr>
  </w:style>
  <w:style w:type="paragraph" w:styleId="Header">
    <w:name w:val="header"/>
    <w:basedOn w:val="Normal"/>
    <w:link w:val="HeaderChar"/>
    <w:uiPriority w:val="99"/>
    <w:unhideWhenUsed/>
    <w:rsid w:val="002153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53FC"/>
  </w:style>
  <w:style w:type="paragraph" w:styleId="Footer">
    <w:name w:val="footer"/>
    <w:basedOn w:val="Normal"/>
    <w:link w:val="FooterChar"/>
    <w:uiPriority w:val="99"/>
    <w:unhideWhenUsed/>
    <w:rsid w:val="002153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53FC"/>
  </w:style>
  <w:style w:type="character" w:styleId="Hyperlink">
    <w:name w:val="Hyperlink"/>
    <w:basedOn w:val="DefaultParagraphFont"/>
    <w:uiPriority w:val="99"/>
    <w:unhideWhenUsed/>
    <w:rsid w:val="005733E1"/>
    <w:rPr>
      <w:color w:val="0563C1" w:themeColor="hyperlink"/>
      <w:u w:val="single"/>
    </w:rPr>
  </w:style>
  <w:style w:type="character" w:customStyle="1" w:styleId="UnresolvedMention1">
    <w:name w:val="Unresolved Mention1"/>
    <w:basedOn w:val="DefaultParagraphFont"/>
    <w:uiPriority w:val="99"/>
    <w:semiHidden/>
    <w:unhideWhenUsed/>
    <w:rsid w:val="005733E1"/>
    <w:rPr>
      <w:color w:val="605E5C"/>
      <w:shd w:val="clear" w:color="auto" w:fill="E1DFDD"/>
    </w:rPr>
  </w:style>
  <w:style w:type="character" w:styleId="PlaceholderText">
    <w:name w:val="Placeholder Text"/>
    <w:basedOn w:val="DefaultParagraphFont"/>
    <w:uiPriority w:val="99"/>
    <w:semiHidden/>
    <w:rsid w:val="0034091B"/>
    <w:rPr>
      <w:color w:val="808080"/>
    </w:rPr>
  </w:style>
  <w:style w:type="table" w:styleId="TableGrid">
    <w:name w:val="Table Grid"/>
    <w:basedOn w:val="TableNormal"/>
    <w:uiPriority w:val="39"/>
    <w:rsid w:val="00E67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656242"/>
  </w:style>
  <w:style w:type="character" w:styleId="CommentReference">
    <w:name w:val="annotation reference"/>
    <w:basedOn w:val="DefaultParagraphFont"/>
    <w:uiPriority w:val="99"/>
    <w:semiHidden/>
    <w:unhideWhenUsed/>
    <w:rsid w:val="00656242"/>
    <w:rPr>
      <w:sz w:val="16"/>
      <w:szCs w:val="16"/>
    </w:rPr>
  </w:style>
  <w:style w:type="paragraph" w:styleId="CommentText">
    <w:name w:val="annotation text"/>
    <w:basedOn w:val="Normal"/>
    <w:link w:val="CommentTextChar"/>
    <w:uiPriority w:val="99"/>
    <w:unhideWhenUsed/>
    <w:rsid w:val="00656242"/>
    <w:pPr>
      <w:spacing w:line="240" w:lineRule="auto"/>
    </w:pPr>
    <w:rPr>
      <w:rFonts w:eastAsia="SimSun"/>
      <w:sz w:val="20"/>
      <w:szCs w:val="20"/>
    </w:rPr>
  </w:style>
  <w:style w:type="character" w:customStyle="1" w:styleId="CommentTextChar">
    <w:name w:val="Comment Text Char"/>
    <w:basedOn w:val="DefaultParagraphFont"/>
    <w:link w:val="CommentText"/>
    <w:uiPriority w:val="99"/>
    <w:rsid w:val="00656242"/>
    <w:rPr>
      <w:rFonts w:eastAsia="SimSun"/>
      <w:sz w:val="20"/>
      <w:szCs w:val="20"/>
    </w:rPr>
  </w:style>
  <w:style w:type="paragraph" w:styleId="BalloonText">
    <w:name w:val="Balloon Text"/>
    <w:basedOn w:val="Normal"/>
    <w:link w:val="BalloonTextChar"/>
    <w:uiPriority w:val="99"/>
    <w:semiHidden/>
    <w:unhideWhenUsed/>
    <w:rsid w:val="009343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3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3773405">
      <w:bodyDiv w:val="1"/>
      <w:marLeft w:val="0"/>
      <w:marRight w:val="0"/>
      <w:marTop w:val="0"/>
      <w:marBottom w:val="0"/>
      <w:divBdr>
        <w:top w:val="none" w:sz="0" w:space="0" w:color="auto"/>
        <w:left w:val="none" w:sz="0" w:space="0" w:color="auto"/>
        <w:bottom w:val="none" w:sz="0" w:space="0" w:color="auto"/>
        <w:right w:val="none" w:sz="0" w:space="0" w:color="auto"/>
      </w:divBdr>
    </w:div>
    <w:div w:id="1211041261">
      <w:bodyDiv w:val="1"/>
      <w:marLeft w:val="0"/>
      <w:marRight w:val="0"/>
      <w:marTop w:val="0"/>
      <w:marBottom w:val="0"/>
      <w:divBdr>
        <w:top w:val="none" w:sz="0" w:space="0" w:color="auto"/>
        <w:left w:val="none" w:sz="0" w:space="0" w:color="auto"/>
        <w:bottom w:val="none" w:sz="0" w:space="0" w:color="auto"/>
        <w:right w:val="none" w:sz="0" w:space="0" w:color="auto"/>
      </w:divBdr>
    </w:div>
    <w:div w:id="2095474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3436</Words>
  <Characters>19587</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 Diallo</dc:creator>
  <cp:keywords/>
  <dc:description/>
  <cp:lastModifiedBy>Said Diallo</cp:lastModifiedBy>
  <cp:revision>4</cp:revision>
  <dcterms:created xsi:type="dcterms:W3CDTF">2023-05-26T23:36:00Z</dcterms:created>
  <dcterms:modified xsi:type="dcterms:W3CDTF">2023-08-08T21:19:00Z</dcterms:modified>
</cp:coreProperties>
</file>