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17EC6" w14:textId="77777777" w:rsidR="00DA3FF1" w:rsidRPr="000371D3" w:rsidRDefault="00DA3FF1" w:rsidP="00DA3FF1">
      <w:pPr>
        <w:jc w:val="left"/>
        <w:rPr>
          <w:rFonts w:ascii="Arial" w:hAnsi="Arial" w:cs="Arial"/>
        </w:rPr>
      </w:pPr>
    </w:p>
    <w:p w14:paraId="19D92D6D" w14:textId="77777777" w:rsidR="00DA3FF1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E860DBE" wp14:editId="37CA1A79">
            <wp:extent cx="5495925" cy="4381500"/>
            <wp:effectExtent l="0" t="0" r="0" b="0"/>
            <wp:docPr id="1979718307" name="Picture 5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718307" name="Picture 5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06A9E" w14:textId="77777777" w:rsidR="00DA3FF1" w:rsidRDefault="00DA3FF1" w:rsidP="00DA3FF1">
      <w:pPr>
        <w:jc w:val="left"/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b/>
          <w:bCs/>
          <w:color w:val="000000" w:themeColor="text1"/>
        </w:rPr>
        <w:t xml:space="preserve">Supplementary </w:t>
      </w:r>
      <w:r w:rsidRPr="000371D3">
        <w:rPr>
          <w:rFonts w:ascii="Arial" w:eastAsia="Calibri" w:hAnsi="Arial" w:cs="Arial"/>
          <w:b/>
          <w:bCs/>
          <w:color w:val="000000" w:themeColor="text1"/>
        </w:rPr>
        <w:t xml:space="preserve">Figure 1 | </w:t>
      </w:r>
      <w:r>
        <w:rPr>
          <w:rFonts w:ascii="Arial" w:eastAsia="Calibri" w:hAnsi="Arial" w:cs="Arial"/>
          <w:b/>
          <w:bCs/>
          <w:color w:val="000000" w:themeColor="text1"/>
        </w:rPr>
        <w:t>Intraepithelial lumens and furrows in i</w:t>
      </w:r>
      <w:r w:rsidRPr="000371D3">
        <w:rPr>
          <w:rFonts w:ascii="Arial" w:eastAsia="Calibri" w:hAnsi="Arial" w:cs="Arial"/>
          <w:b/>
          <w:bCs/>
          <w:color w:val="000000" w:themeColor="text1"/>
        </w:rPr>
        <w:t>nverted ALI cultur</w:t>
      </w:r>
      <w:r>
        <w:rPr>
          <w:rFonts w:ascii="Arial" w:eastAsia="Calibri" w:hAnsi="Arial" w:cs="Arial"/>
          <w:b/>
          <w:bCs/>
          <w:color w:val="000000" w:themeColor="text1"/>
        </w:rPr>
        <w:t>e</w:t>
      </w:r>
      <w:r w:rsidRPr="000371D3">
        <w:rPr>
          <w:rFonts w:ascii="Arial" w:eastAsia="Calibri" w:hAnsi="Arial" w:cs="Arial"/>
          <w:b/>
          <w:bCs/>
          <w:color w:val="000000" w:themeColor="text1"/>
        </w:rPr>
        <w:t>.</w:t>
      </w:r>
      <w:r w:rsidRPr="000371D3">
        <w:rPr>
          <w:rFonts w:ascii="Arial" w:eastAsia="Calibri" w:hAnsi="Arial" w:cs="Arial"/>
          <w:color w:val="000000" w:themeColor="text1"/>
        </w:rPr>
        <w:t xml:space="preserve"> </w:t>
      </w:r>
      <w:r w:rsidRPr="000371D3">
        <w:rPr>
          <w:rFonts w:ascii="Arial" w:eastAsia="Calibri" w:hAnsi="Arial" w:cs="Arial"/>
          <w:b/>
          <w:bCs/>
          <w:color w:val="000000" w:themeColor="text1"/>
        </w:rPr>
        <w:t>a</w:t>
      </w:r>
      <w:r>
        <w:rPr>
          <w:rFonts w:ascii="Arial" w:eastAsia="Calibri" w:hAnsi="Arial" w:cs="Arial"/>
          <w:color w:val="000000" w:themeColor="text1"/>
        </w:rPr>
        <w:t>,</w:t>
      </w:r>
      <w:r w:rsidRPr="000371D3">
        <w:rPr>
          <w:rFonts w:ascii="Arial" w:eastAsia="Calibri" w:hAnsi="Arial" w:cs="Arial"/>
          <w:color w:val="000000" w:themeColor="text1"/>
        </w:rPr>
        <w:t xml:space="preserve"> Immunofluorescent image of a section of a differentiated ALI culture</w:t>
      </w:r>
      <w:r>
        <w:rPr>
          <w:rFonts w:ascii="Arial" w:eastAsia="Calibri" w:hAnsi="Arial" w:cs="Arial"/>
          <w:color w:val="000000" w:themeColor="text1"/>
        </w:rPr>
        <w:t xml:space="preserve"> stained for:</w:t>
      </w:r>
      <w:r w:rsidRPr="000371D3">
        <w:rPr>
          <w:rFonts w:ascii="Arial" w:eastAsia="Calibri" w:hAnsi="Arial" w:cs="Arial"/>
          <w:color w:val="000000" w:themeColor="text1"/>
        </w:rPr>
        <w:t xml:space="preserve"> cilia (acetyl α-tubulin, </w:t>
      </w:r>
      <w:r>
        <w:rPr>
          <w:rFonts w:ascii="Arial" w:eastAsia="Calibri" w:hAnsi="Arial" w:cs="Arial"/>
          <w:color w:val="000000" w:themeColor="text1"/>
        </w:rPr>
        <w:t>bright pink</w:t>
      </w:r>
      <w:r w:rsidRPr="000371D3">
        <w:rPr>
          <w:rFonts w:ascii="Arial" w:eastAsia="Calibri" w:hAnsi="Arial" w:cs="Arial"/>
          <w:color w:val="000000" w:themeColor="text1"/>
        </w:rPr>
        <w:t>),</w:t>
      </w:r>
      <w:r>
        <w:rPr>
          <w:rFonts w:ascii="Arial" w:eastAsia="Calibri" w:hAnsi="Arial" w:cs="Arial"/>
          <w:color w:val="000000" w:themeColor="text1"/>
        </w:rPr>
        <w:t xml:space="preserve"> cell-cell junctions (actin, phalloidin stain, spring green),</w:t>
      </w:r>
      <w:r w:rsidRPr="000371D3">
        <w:rPr>
          <w:rFonts w:ascii="Arial" w:eastAsia="Calibri" w:hAnsi="Arial" w:cs="Arial"/>
          <w:color w:val="000000" w:themeColor="text1"/>
        </w:rPr>
        <w:t xml:space="preserve"> mucus (MUC5AC, </w:t>
      </w:r>
      <w:r>
        <w:rPr>
          <w:rFonts w:ascii="Arial" w:eastAsia="Calibri" w:hAnsi="Arial" w:cs="Arial"/>
          <w:color w:val="000000" w:themeColor="text1"/>
        </w:rPr>
        <w:t>amber</w:t>
      </w:r>
      <w:r w:rsidRPr="000371D3">
        <w:rPr>
          <w:rFonts w:ascii="Arial" w:eastAsia="Calibri" w:hAnsi="Arial" w:cs="Arial"/>
          <w:color w:val="000000" w:themeColor="text1"/>
        </w:rPr>
        <w:t>), and nuclei (</w:t>
      </w:r>
      <w:r>
        <w:rPr>
          <w:rFonts w:ascii="Arial" w:eastAsia="Calibri" w:hAnsi="Arial" w:cs="Arial"/>
          <w:color w:val="000000" w:themeColor="text1"/>
        </w:rPr>
        <w:t>Hoescht, electric indigo</w:t>
      </w:r>
      <w:r w:rsidRPr="000371D3">
        <w:rPr>
          <w:rFonts w:ascii="Arial" w:eastAsia="Calibri" w:hAnsi="Arial" w:cs="Arial"/>
          <w:color w:val="000000" w:themeColor="text1"/>
        </w:rPr>
        <w:t>).</w:t>
      </w:r>
      <w:r>
        <w:rPr>
          <w:rFonts w:ascii="Arial" w:eastAsia="Calibri" w:hAnsi="Arial" w:cs="Arial"/>
          <w:color w:val="000000" w:themeColor="text1"/>
        </w:rPr>
        <w:t xml:space="preserve"> Intraepithelial lumens marked with asterisks, furrows with arrowheads, and an intermediate structure with a dagger.</w:t>
      </w:r>
      <w:r w:rsidRPr="000371D3">
        <w:rPr>
          <w:rFonts w:ascii="Arial" w:eastAsia="Calibri" w:hAnsi="Arial" w:cs="Arial"/>
          <w:color w:val="000000" w:themeColor="text1"/>
        </w:rPr>
        <w:t xml:space="preserve"> </w:t>
      </w:r>
      <w:r>
        <w:rPr>
          <w:rFonts w:ascii="Arial" w:eastAsia="Calibri" w:hAnsi="Arial" w:cs="Arial"/>
          <w:color w:val="000000" w:themeColor="text1"/>
        </w:rPr>
        <w:t xml:space="preserve">Scale bar = 50 μm. </w:t>
      </w:r>
      <w:r w:rsidRPr="000371D3">
        <w:rPr>
          <w:rFonts w:ascii="Arial" w:eastAsia="Calibri" w:hAnsi="Arial" w:cs="Arial"/>
          <w:color w:val="000000" w:themeColor="text1"/>
        </w:rPr>
        <w:t>Panels on the right show single channels in inverted grayscale</w:t>
      </w:r>
      <w:r>
        <w:rPr>
          <w:rFonts w:ascii="Arial" w:eastAsia="Calibri" w:hAnsi="Arial" w:cs="Arial"/>
          <w:color w:val="000000" w:themeColor="text1"/>
        </w:rPr>
        <w:t>.</w:t>
      </w:r>
    </w:p>
    <w:p w14:paraId="79F6F5D4" w14:textId="77777777" w:rsidR="00DA3FF1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F6675BD" wp14:editId="78BFAF12">
            <wp:extent cx="3762375" cy="4019550"/>
            <wp:effectExtent l="0" t="0" r="0" b="0"/>
            <wp:docPr id="1354860440" name="Picture 8" descr="A graph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860440" name="Picture 8" descr="A graph of different colored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1BC55" w14:textId="77777777" w:rsidR="00DA3FF1" w:rsidRPr="0046024F" w:rsidRDefault="00DA3FF1" w:rsidP="00DA3FF1">
      <w:pPr>
        <w:jc w:val="left"/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b/>
          <w:bCs/>
          <w:color w:val="000000" w:themeColor="text1"/>
        </w:rPr>
        <w:t xml:space="preserve">Supplementary </w:t>
      </w:r>
      <w:r w:rsidRPr="000371D3">
        <w:rPr>
          <w:rFonts w:ascii="Arial" w:eastAsia="Calibri" w:hAnsi="Arial" w:cs="Arial"/>
          <w:b/>
          <w:bCs/>
          <w:color w:val="000000" w:themeColor="text1"/>
        </w:rPr>
        <w:t xml:space="preserve">Figure </w:t>
      </w:r>
      <w:r>
        <w:rPr>
          <w:rFonts w:ascii="Arial" w:eastAsia="Calibri" w:hAnsi="Arial" w:cs="Arial"/>
          <w:b/>
          <w:bCs/>
          <w:color w:val="000000" w:themeColor="text1"/>
        </w:rPr>
        <w:t>2</w:t>
      </w:r>
      <w:r w:rsidRPr="000371D3">
        <w:rPr>
          <w:rFonts w:ascii="Arial" w:eastAsia="Calibri" w:hAnsi="Arial" w:cs="Arial"/>
          <w:b/>
          <w:bCs/>
          <w:color w:val="000000" w:themeColor="text1"/>
        </w:rPr>
        <w:t xml:space="preserve"> | </w:t>
      </w:r>
      <w:r>
        <w:rPr>
          <w:rFonts w:ascii="Arial" w:eastAsia="Calibri" w:hAnsi="Arial" w:cs="Arial"/>
          <w:b/>
          <w:bCs/>
          <w:color w:val="000000" w:themeColor="text1"/>
        </w:rPr>
        <w:t xml:space="preserve">Infection kinetics &amp; mucociliary clearance in ALI cultures between dye panels. </w:t>
      </w:r>
      <w:r>
        <w:rPr>
          <w:rFonts w:ascii="Arial" w:eastAsia="Calibri" w:hAnsi="Arial" w:cs="Arial"/>
          <w:bCs/>
          <w:color w:val="000000" w:themeColor="text1"/>
        </w:rPr>
        <w:t xml:space="preserve">Parameters are shown for the set of donors (n = 3) imaged with both dye panels. All statistical comparisons are Wilcoxon rank sum tests. Boxplots are median +/- interquartile range. </w:t>
      </w:r>
      <w:r w:rsidRPr="000371D3">
        <w:rPr>
          <w:rFonts w:ascii="Arial" w:eastAsia="Calibri" w:hAnsi="Arial" w:cs="Arial"/>
          <w:color w:val="000000" w:themeColor="text1"/>
        </w:rPr>
        <w:t xml:space="preserve"> </w:t>
      </w:r>
      <w:r w:rsidRPr="000371D3">
        <w:rPr>
          <w:rFonts w:ascii="Arial" w:eastAsia="Calibri" w:hAnsi="Arial" w:cs="Arial"/>
          <w:b/>
          <w:bCs/>
          <w:color w:val="000000" w:themeColor="text1"/>
        </w:rPr>
        <w:t>a</w:t>
      </w:r>
      <w:r>
        <w:rPr>
          <w:rFonts w:ascii="Arial" w:eastAsia="Calibri" w:hAnsi="Arial" w:cs="Arial"/>
          <w:color w:val="000000" w:themeColor="text1"/>
        </w:rPr>
        <w:t>,</w:t>
      </w:r>
      <w:r w:rsidRPr="000371D3">
        <w:rPr>
          <w:rFonts w:ascii="Arial" w:eastAsia="Calibri" w:hAnsi="Arial" w:cs="Arial"/>
          <w:color w:val="000000" w:themeColor="text1"/>
        </w:rPr>
        <w:t xml:space="preserve"> </w:t>
      </w:r>
      <w:r>
        <w:rPr>
          <w:rFonts w:ascii="Arial" w:eastAsia="Calibri" w:hAnsi="Arial" w:cs="Arial"/>
          <w:color w:val="000000" w:themeColor="text1"/>
        </w:rPr>
        <w:t xml:space="preserve">Time to peak GFP+ spots after infection with icSARS-CoV-2/eGFP for cultures where peak occurred during imaging. </w:t>
      </w:r>
      <w:r w:rsidRPr="0046024F">
        <w:rPr>
          <w:rFonts w:ascii="Arial" w:eastAsia="Calibri" w:hAnsi="Arial" w:cs="Arial"/>
          <w:b/>
          <w:bCs/>
          <w:color w:val="000000" w:themeColor="text1"/>
        </w:rPr>
        <w:t>b,</w:t>
      </w:r>
      <w:r>
        <w:rPr>
          <w:rFonts w:ascii="Arial" w:eastAsia="Calibri" w:hAnsi="Arial" w:cs="Arial"/>
          <w:color w:val="000000" w:themeColor="text1"/>
        </w:rPr>
        <w:t xml:space="preserve"> The number of GFP+ spots counted at 20 HPI for all cultures infected with icSARS-CoV-2/eGFP. </w:t>
      </w:r>
      <w:r>
        <w:rPr>
          <w:rFonts w:ascii="Arial" w:eastAsia="Calibri" w:hAnsi="Arial" w:cs="Arial"/>
          <w:b/>
          <w:bCs/>
          <w:color w:val="000000" w:themeColor="text1"/>
        </w:rPr>
        <w:t>c</w:t>
      </w:r>
      <w:r w:rsidRPr="0046024F">
        <w:rPr>
          <w:rFonts w:ascii="Arial" w:eastAsia="Calibri" w:hAnsi="Arial" w:cs="Arial"/>
          <w:b/>
          <w:bCs/>
          <w:color w:val="000000" w:themeColor="text1"/>
        </w:rPr>
        <w:t>,</w:t>
      </w:r>
      <w:r>
        <w:rPr>
          <w:rFonts w:ascii="Arial" w:eastAsia="Calibri" w:hAnsi="Arial" w:cs="Arial"/>
          <w:color w:val="000000" w:themeColor="text1"/>
        </w:rPr>
        <w:t xml:space="preserve"> Peak GFP+ spots for spots after infection with icSARS-CoV-2/eGFP for cultures where peak occurred during imaging. </w:t>
      </w:r>
      <w:r w:rsidRPr="0046024F">
        <w:rPr>
          <w:rFonts w:ascii="Arial" w:eastAsia="Calibri" w:hAnsi="Arial" w:cs="Arial"/>
          <w:b/>
          <w:bCs/>
          <w:color w:val="000000" w:themeColor="text1"/>
        </w:rPr>
        <w:t>d,</w:t>
      </w:r>
      <w:r>
        <w:rPr>
          <w:rFonts w:ascii="Arial" w:eastAsia="Calibri" w:hAnsi="Arial" w:cs="Arial"/>
          <w:color w:val="000000" w:themeColor="text1"/>
        </w:rPr>
        <w:t xml:space="preserve"> Time to MCC cessation for all infected cultures from the 3 donors.</w:t>
      </w:r>
    </w:p>
    <w:p w14:paraId="7EE2B528" w14:textId="77777777" w:rsidR="00DA3FF1" w:rsidRDefault="00DA3FF1" w:rsidP="00DA3FF1">
      <w:pPr>
        <w:jc w:val="left"/>
        <w:rPr>
          <w:rFonts w:ascii="Arial" w:hAnsi="Arial" w:cs="Arial"/>
        </w:rPr>
      </w:pPr>
    </w:p>
    <w:p w14:paraId="5A4CCD25" w14:textId="77777777" w:rsidR="00DA3FF1" w:rsidRPr="00B065DB" w:rsidRDefault="00DA3FF1" w:rsidP="00DA3FF1">
      <w:pPr>
        <w:jc w:val="left"/>
        <w:rPr>
          <w:rFonts w:ascii="Arial" w:hAnsi="Arial" w:cs="Arial"/>
          <w:b/>
          <w:bCs/>
        </w:rPr>
      </w:pPr>
      <w:r w:rsidRPr="00B065DB">
        <w:rPr>
          <w:rFonts w:ascii="Arial" w:hAnsi="Arial" w:cs="Arial"/>
          <w:b/>
          <w:bCs/>
        </w:rPr>
        <w:t xml:space="preserve">Supplementary Video 1. CellMask Orange signal visualizes mucus motion. </w:t>
      </w:r>
      <w:r w:rsidRPr="00B065DB">
        <w:rPr>
          <w:rFonts w:ascii="Arial" w:hAnsi="Arial" w:cs="Arial"/>
        </w:rPr>
        <w:t>Time lapse of an inverted ALI culture stained with CellMask Orange Plasma Membrane (green).</w:t>
      </w:r>
    </w:p>
    <w:p w14:paraId="4F66E9F8" w14:textId="77777777" w:rsidR="00DA3FF1" w:rsidRPr="00B065DB" w:rsidRDefault="00DA3FF1" w:rsidP="00DA3FF1">
      <w:pPr>
        <w:jc w:val="left"/>
        <w:rPr>
          <w:rFonts w:ascii="Arial" w:hAnsi="Arial" w:cs="Arial"/>
        </w:rPr>
      </w:pPr>
      <w:r w:rsidRPr="00B065DB">
        <w:rPr>
          <w:rFonts w:ascii="Arial" w:hAnsi="Arial" w:cs="Arial"/>
          <w:b/>
          <w:bCs/>
        </w:rPr>
        <w:t xml:space="preserve">Supplementary Video 2. NucView 530 signal visualizes mucus motion. </w:t>
      </w:r>
      <w:r w:rsidRPr="00B065DB">
        <w:rPr>
          <w:rFonts w:ascii="Arial" w:hAnsi="Arial" w:cs="Arial"/>
        </w:rPr>
        <w:t>Time lapse of an inverted ALI culture stained with NucView 530 (green).</w:t>
      </w:r>
    </w:p>
    <w:p w14:paraId="3A2AADA7" w14:textId="77777777" w:rsidR="00DA3FF1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</w:t>
      </w:r>
      <w:r w:rsidRPr="00440AA5">
        <w:rPr>
          <w:rFonts w:ascii="Arial" w:hAnsi="Arial" w:cs="Arial"/>
          <w:b/>
          <w:bCs/>
        </w:rPr>
        <w:t xml:space="preserve"> Video 3.</w:t>
      </w:r>
      <w:r>
        <w:rPr>
          <w:rFonts w:ascii="Arial" w:hAnsi="Arial" w:cs="Arial"/>
        </w:rPr>
        <w:t xml:space="preserve"> </w:t>
      </w:r>
      <w:r w:rsidRPr="00B065DB">
        <w:rPr>
          <w:rFonts w:ascii="Arial" w:hAnsi="Arial" w:cs="Arial"/>
          <w:b/>
          <w:bCs/>
        </w:rPr>
        <w:t>SPY650-tubulin shows ciliated cells.</w:t>
      </w:r>
      <w:r>
        <w:rPr>
          <w:rFonts w:ascii="Arial" w:hAnsi="Arial" w:cs="Arial"/>
        </w:rPr>
        <w:t xml:space="preserve"> Time lapse of an inverted ALI culture stained with SPY650-tubulin (red).</w:t>
      </w:r>
    </w:p>
    <w:p w14:paraId="1254C25A" w14:textId="77777777" w:rsidR="00DA3FF1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</w:t>
      </w:r>
      <w:r w:rsidRPr="00440AA5">
        <w:rPr>
          <w:rFonts w:ascii="Arial" w:hAnsi="Arial" w:cs="Arial"/>
          <w:b/>
          <w:bCs/>
        </w:rPr>
        <w:t xml:space="preserve"> Video 4.</w:t>
      </w:r>
      <w:r>
        <w:rPr>
          <w:rFonts w:ascii="Arial" w:hAnsi="Arial" w:cs="Arial"/>
        </w:rPr>
        <w:t xml:space="preserve"> </w:t>
      </w:r>
      <w:r w:rsidRPr="00B065DB">
        <w:rPr>
          <w:rFonts w:ascii="Arial" w:hAnsi="Arial" w:cs="Arial"/>
          <w:b/>
          <w:bCs/>
        </w:rPr>
        <w:t>ALI culture epithelium is dynamic</w:t>
      </w:r>
      <w:r>
        <w:rPr>
          <w:rFonts w:ascii="Arial" w:hAnsi="Arial" w:cs="Arial"/>
        </w:rPr>
        <w:t>. Time lapse of an inverted ALI culture stained with SPY650-tubulin (red) demonstrating epithelial cell motion (edges).</w:t>
      </w:r>
    </w:p>
    <w:p w14:paraId="58B0B2A3" w14:textId="77777777" w:rsidR="00DA3FF1" w:rsidRPr="000371D3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</w:t>
      </w:r>
      <w:r w:rsidRPr="00440AA5">
        <w:rPr>
          <w:rFonts w:ascii="Arial" w:hAnsi="Arial" w:cs="Arial"/>
          <w:b/>
          <w:bCs/>
        </w:rPr>
        <w:t xml:space="preserve"> Video </w:t>
      </w:r>
      <w:r>
        <w:rPr>
          <w:rFonts w:ascii="Arial" w:hAnsi="Arial" w:cs="Arial"/>
          <w:b/>
          <w:bCs/>
        </w:rPr>
        <w:t>5</w:t>
      </w:r>
      <w:r w:rsidRPr="00440AA5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  <w:r w:rsidRPr="00B065DB">
        <w:rPr>
          <w:rFonts w:ascii="Arial" w:hAnsi="Arial" w:cs="Arial"/>
          <w:b/>
          <w:bCs/>
        </w:rPr>
        <w:t>Hypermotility and patchy ciliation</w:t>
      </w:r>
      <w:r>
        <w:rPr>
          <w:rFonts w:ascii="Arial" w:hAnsi="Arial" w:cs="Arial"/>
          <w:b/>
          <w:bCs/>
        </w:rPr>
        <w:t xml:space="preserve"> phenotype</w:t>
      </w:r>
      <w:r w:rsidRPr="00B065DB">
        <w:rPr>
          <w:rFonts w:ascii="Arial" w:hAnsi="Arial" w:cs="Arial"/>
          <w:b/>
          <w:bCs/>
        </w:rPr>
        <w:t xml:space="preserve"> in ALI culture</w:t>
      </w:r>
      <w:r>
        <w:rPr>
          <w:rFonts w:ascii="Arial" w:hAnsi="Arial" w:cs="Arial"/>
        </w:rPr>
        <w:t>. Time lapse of an inverted ALI culture stained with SPY650-tubulin (red) demonstrating epithelial cell motion.</w:t>
      </w:r>
    </w:p>
    <w:p w14:paraId="0DC1FD0C" w14:textId="77777777" w:rsidR="00DA3FF1" w:rsidRPr="000371D3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Supplementary</w:t>
      </w:r>
      <w:r w:rsidRPr="00440AA5">
        <w:rPr>
          <w:rFonts w:ascii="Arial" w:hAnsi="Arial" w:cs="Arial"/>
          <w:b/>
          <w:bCs/>
        </w:rPr>
        <w:t xml:space="preserve"> Video </w:t>
      </w:r>
      <w:r>
        <w:rPr>
          <w:rFonts w:ascii="Arial" w:hAnsi="Arial" w:cs="Arial"/>
          <w:b/>
          <w:bCs/>
        </w:rPr>
        <w:t>6</w:t>
      </w:r>
      <w:r w:rsidRPr="00440AA5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  <w:r w:rsidRPr="00AC6B0C">
        <w:rPr>
          <w:rFonts w:ascii="Arial" w:hAnsi="Arial" w:cs="Arial"/>
          <w:b/>
          <w:bCs/>
        </w:rPr>
        <w:t>Ciliary motion can be viewed using SPY650-tubulin</w:t>
      </w:r>
      <w:r>
        <w:rPr>
          <w:rFonts w:ascii="Arial" w:hAnsi="Arial" w:cs="Arial"/>
        </w:rPr>
        <w:t>. High speed time lapse of an inverted ALI culture stained with SPY650-tubulin (inferno) demonstrating ciliary motion.</w:t>
      </w:r>
    </w:p>
    <w:p w14:paraId="66156310" w14:textId="77777777" w:rsidR="00DA3FF1" w:rsidRPr="000371D3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</w:t>
      </w:r>
      <w:r w:rsidRPr="000371D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V</w:t>
      </w:r>
      <w:r w:rsidRPr="000371D3">
        <w:rPr>
          <w:rFonts w:ascii="Arial" w:hAnsi="Arial" w:cs="Arial"/>
          <w:b/>
          <w:bCs/>
        </w:rPr>
        <w:t xml:space="preserve">ideo </w:t>
      </w:r>
      <w:r>
        <w:rPr>
          <w:rFonts w:ascii="Arial" w:hAnsi="Arial" w:cs="Arial"/>
          <w:b/>
          <w:bCs/>
        </w:rPr>
        <w:t>7</w:t>
      </w:r>
      <w:r w:rsidRPr="000371D3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Infection follows mucus movement.</w:t>
      </w:r>
      <w:r w:rsidRPr="000371D3">
        <w:rPr>
          <w:rFonts w:ascii="Arial" w:hAnsi="Arial" w:cs="Arial"/>
        </w:rPr>
        <w:t xml:space="preserve"> Time lapse of an inverted ALI culture infected with SARS-CoV-2/eGFP (green) and stained with CellMask Orange Plasma Membrane (magenta).</w:t>
      </w:r>
    </w:p>
    <w:p w14:paraId="5D86555F" w14:textId="77777777" w:rsidR="00DA3FF1" w:rsidRPr="00893307" w:rsidRDefault="00DA3FF1" w:rsidP="00DA3FF1">
      <w:pPr>
        <w:jc w:val="lef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Supplementary</w:t>
      </w:r>
      <w:r w:rsidRPr="000371D3">
        <w:rPr>
          <w:rFonts w:ascii="Arial" w:hAnsi="Arial" w:cs="Arial"/>
          <w:b/>
          <w:bCs/>
        </w:rPr>
        <w:t xml:space="preserve"> </w:t>
      </w:r>
      <w:r w:rsidRPr="00893307">
        <w:rPr>
          <w:rFonts w:ascii="Arial" w:hAnsi="Arial" w:cs="Arial"/>
          <w:b/>
          <w:bCs/>
        </w:rPr>
        <w:t>Video 8.</w:t>
      </w:r>
      <w:r w:rsidRPr="00893307">
        <w:rPr>
          <w:rFonts w:ascii="Arial" w:hAnsi="Arial" w:cs="Arial"/>
        </w:rPr>
        <w:t xml:space="preserve"> </w:t>
      </w:r>
      <w:r w:rsidRPr="00246942">
        <w:rPr>
          <w:rFonts w:ascii="Arial" w:hAnsi="Arial" w:cs="Arial"/>
          <w:b/>
          <w:bCs/>
        </w:rPr>
        <w:t>Visualizing SARS-CoV-2 infection &amp; ciliation.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an inverted ALI culture stained with SPY650-tubulin (electric indigo) and NucView 530 (amber), then infected with SARS-CoV-2/eGFP (spring green). The apical surface was rinsed at 120 hours post infection.</w:t>
      </w:r>
    </w:p>
    <w:p w14:paraId="05860152" w14:textId="77777777" w:rsidR="00DA3FF1" w:rsidRPr="00893307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9</w:t>
      </w:r>
      <w:r w:rsidRPr="00246942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Epithelial ruptures appear within foci and bystander cells in an infected culture</w:t>
      </w:r>
      <w:r w:rsidRPr="00246942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an inverted ALI culture stained with SPY650-tubulin (cyan ink wash) and NucView 530 (not shown), then infected with SARS-CoV-2/eGFP (magenta).</w:t>
      </w:r>
    </w:p>
    <w:p w14:paraId="00ED582C" w14:textId="77777777" w:rsidR="00DA3FF1" w:rsidRPr="00893307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10.</w:t>
      </w:r>
      <w:r w:rsidRPr="00893307">
        <w:rPr>
          <w:rFonts w:ascii="Arial" w:hAnsi="Arial" w:cs="Arial"/>
        </w:rPr>
        <w:t xml:space="preserve"> </w:t>
      </w:r>
      <w:r w:rsidRPr="00246942">
        <w:rPr>
          <w:rFonts w:ascii="Arial" w:hAnsi="Arial" w:cs="Arial"/>
          <w:b/>
          <w:bCs/>
        </w:rPr>
        <w:t>Infected cells can persist for days.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</w:t>
      </w:r>
      <w:r w:rsidRPr="00893307">
        <w:rPr>
          <w:rFonts w:ascii="Arial" w:hAnsi="Arial" w:cs="Arial"/>
          <w:b/>
          <w:bCs/>
        </w:rPr>
        <w:t xml:space="preserve"> </w:t>
      </w:r>
      <w:r w:rsidRPr="00893307">
        <w:rPr>
          <w:rFonts w:ascii="Arial" w:hAnsi="Arial" w:cs="Arial"/>
        </w:rPr>
        <w:t>lapse of part of an inverted ALI culture stained with SPY650-tubulin (channel not shown) and NucView 530 (bright pink), then infected with SARS-CoV-2/eGFP (spring green). 10x magnification.</w:t>
      </w:r>
    </w:p>
    <w:p w14:paraId="2C5C37FF" w14:textId="77777777" w:rsidR="00DA3FF1" w:rsidRPr="00893307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11.</w:t>
      </w:r>
      <w:r w:rsidRPr="00893307">
        <w:rPr>
          <w:rFonts w:ascii="Arial" w:hAnsi="Arial" w:cs="Arial"/>
        </w:rPr>
        <w:t xml:space="preserve"> </w:t>
      </w:r>
      <w:r w:rsidRPr="008E323C">
        <w:rPr>
          <w:rFonts w:ascii="Arial" w:hAnsi="Arial" w:cs="Arial"/>
          <w:b/>
          <w:bCs/>
        </w:rPr>
        <w:t>Agarose overlay inhibits MCC and infection spread.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two inverted ALI cultures stained with CMO (bright pink) and infected with SARS-CoV-2/eGFP (spring green). An agarose overlay was applied to the culture on the right side immediately after infection.</w:t>
      </w:r>
    </w:p>
    <w:p w14:paraId="68DD0B53" w14:textId="77777777" w:rsidR="00DA3FF1" w:rsidRPr="00893307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12.</w:t>
      </w:r>
      <w:r w:rsidRPr="00893307">
        <w:rPr>
          <w:rFonts w:ascii="Arial" w:hAnsi="Arial" w:cs="Arial"/>
        </w:rPr>
        <w:t xml:space="preserve"> </w:t>
      </w:r>
      <w:r w:rsidRPr="008E323C">
        <w:rPr>
          <w:rFonts w:ascii="Arial" w:hAnsi="Arial" w:cs="Arial"/>
          <w:b/>
          <w:bCs/>
        </w:rPr>
        <w:t>Intraepithelial crypt infection persists despite agarose overlay.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the agarose-overlaid infected inverted ALI culture where infection became established in an intraepithelial crypt. CMO is shown in bright pink and SARS-CoV-2/eGFP in spring green.</w:t>
      </w:r>
    </w:p>
    <w:p w14:paraId="030864C2" w14:textId="77777777" w:rsidR="00DA3FF1" w:rsidRPr="00893307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13.</w:t>
      </w:r>
      <w:r w:rsidRPr="00893307">
        <w:rPr>
          <w:rFonts w:ascii="Arial" w:hAnsi="Arial" w:cs="Arial"/>
        </w:rPr>
        <w:t xml:space="preserve"> </w:t>
      </w:r>
      <w:r w:rsidRPr="008E323C">
        <w:rPr>
          <w:rFonts w:ascii="Arial" w:hAnsi="Arial" w:cs="Arial"/>
          <w:b/>
          <w:bCs/>
        </w:rPr>
        <w:t>Axonemal dynein KO restricts SARS-CoV-2 foci.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KO inverted ALI cultures stained with SPY650-tubulin (electric indigo) and NucView 530 (amber), then infected with SARS-CoV-2/eGFP (spring green).</w:t>
      </w:r>
    </w:p>
    <w:p w14:paraId="740E09FD" w14:textId="77777777" w:rsidR="00DA3FF1" w:rsidRPr="000371D3" w:rsidRDefault="00DA3FF1" w:rsidP="00DA3FF1">
      <w:pPr>
        <w:jc w:val="left"/>
        <w:rPr>
          <w:rFonts w:ascii="Arial" w:hAnsi="Arial" w:cs="Arial"/>
        </w:rPr>
      </w:pPr>
      <w:r w:rsidRPr="00893307">
        <w:rPr>
          <w:rFonts w:ascii="Arial" w:hAnsi="Arial" w:cs="Arial"/>
          <w:b/>
          <w:bCs/>
        </w:rPr>
        <w:t>Supplementary Video 14.</w:t>
      </w:r>
      <w:r w:rsidRPr="00893307">
        <w:rPr>
          <w:rFonts w:ascii="Arial" w:hAnsi="Arial" w:cs="Arial"/>
        </w:rPr>
        <w:t xml:space="preserve"> </w:t>
      </w:r>
      <w:r w:rsidRPr="008E323C">
        <w:rPr>
          <w:rFonts w:ascii="Arial" w:hAnsi="Arial" w:cs="Arial"/>
          <w:b/>
          <w:bCs/>
        </w:rPr>
        <w:t>MCC and spread of infection both resume after mucus rinse.</w:t>
      </w:r>
      <w:r>
        <w:rPr>
          <w:rFonts w:ascii="Arial" w:hAnsi="Arial" w:cs="Arial"/>
        </w:rPr>
        <w:t xml:space="preserve"> </w:t>
      </w:r>
      <w:r w:rsidRPr="00893307">
        <w:rPr>
          <w:rFonts w:ascii="Arial" w:hAnsi="Arial" w:cs="Arial"/>
        </w:rPr>
        <w:t>Time lapse of an inverted ALI culture stained with SPY650-tubulin (electric indigo) and NucView 530 (amber), then infected with SARS-CoV-2/eGFP (spring green). The apical surface was rinsed at 120 hours post infection.</w:t>
      </w:r>
    </w:p>
    <w:p w14:paraId="59A232DC" w14:textId="77777777" w:rsidR="00DA3FF1" w:rsidRDefault="00DA3FF1" w:rsidP="00DA3FF1">
      <w:pPr>
        <w:jc w:val="left"/>
        <w:rPr>
          <w:rFonts w:ascii="Arial" w:hAnsi="Arial" w:cs="Arial"/>
        </w:rPr>
      </w:pPr>
    </w:p>
    <w:p w14:paraId="38B7D41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F1"/>
    <w:rsid w:val="00755780"/>
    <w:rsid w:val="00DA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27F67"/>
  <w15:chartTrackingRefBased/>
  <w15:docId w15:val="{8C4AF81F-1559-4545-ABB6-4D6C138C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FF1"/>
    <w:pPr>
      <w:spacing w:line="252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3681</Characters>
  <Application>Microsoft Office Word</Application>
  <DocSecurity>0</DocSecurity>
  <Lines>30</Lines>
  <Paragraphs>8</Paragraphs>
  <ScaleCrop>false</ScaleCrop>
  <Company>Springer Nature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2023-09-08T04:34:00Z</dcterms:created>
  <dcterms:modified xsi:type="dcterms:W3CDTF">2023-09-08T04:34:00Z</dcterms:modified>
</cp:coreProperties>
</file>