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002F60" w14:textId="40D71661" w:rsidR="00A6733F" w:rsidRPr="00067E97" w:rsidRDefault="00B71365" w:rsidP="00067E97">
      <w:pPr>
        <w:spacing w:before="120" w:line="480" w:lineRule="auto"/>
        <w:jc w:val="center"/>
        <w:rPr>
          <w:rFonts w:asciiTheme="minorBidi" w:hAnsiTheme="minorBidi"/>
          <w:b/>
          <w:bCs/>
          <w:sz w:val="24"/>
          <w:szCs w:val="24"/>
        </w:rPr>
      </w:pPr>
      <w:r w:rsidRPr="00067E97">
        <w:rPr>
          <w:rFonts w:asciiTheme="minorBidi" w:hAnsiTheme="minorBidi"/>
          <w:b/>
          <w:bCs/>
          <w:sz w:val="24"/>
          <w:szCs w:val="24"/>
        </w:rPr>
        <w:t>Supplementary Materials</w:t>
      </w:r>
    </w:p>
    <w:p w14:paraId="105A6AB2" w14:textId="77777777" w:rsidR="00373EC1" w:rsidRDefault="00373EC1" w:rsidP="00373EC1">
      <w:pPr>
        <w:shd w:val="clear" w:color="auto" w:fill="FFFFFF"/>
        <w:tabs>
          <w:tab w:val="num" w:pos="720"/>
        </w:tabs>
        <w:spacing w:after="0"/>
        <w:ind w:left="720" w:hanging="360"/>
        <w:rPr>
          <w:rFonts w:asciiTheme="minorBidi" w:hAnsiTheme="minorBidi"/>
          <w:b/>
          <w:bCs/>
          <w:shd w:val="clear" w:color="auto" w:fill="FFFFFF"/>
        </w:rPr>
      </w:pPr>
      <w:bookmarkStart w:id="0" w:name="_Hlk141908098"/>
      <w:bookmarkStart w:id="1" w:name="_Hlk134035760"/>
    </w:p>
    <w:p w14:paraId="77BBF52B" w14:textId="77777777" w:rsidR="00373EC1" w:rsidRDefault="00373EC1" w:rsidP="00373EC1">
      <w:pPr>
        <w:shd w:val="clear" w:color="auto" w:fill="FFFFFF"/>
        <w:tabs>
          <w:tab w:val="num" w:pos="720"/>
        </w:tabs>
        <w:spacing w:after="0"/>
        <w:ind w:left="720" w:hanging="360"/>
        <w:rPr>
          <w:rFonts w:asciiTheme="minorBidi" w:hAnsiTheme="minorBidi"/>
          <w:b/>
          <w:bCs/>
          <w:shd w:val="clear" w:color="auto" w:fill="FFFFFF"/>
        </w:rPr>
      </w:pPr>
      <w:r>
        <w:rPr>
          <w:rFonts w:asciiTheme="minorBidi" w:hAnsiTheme="minorBidi"/>
          <w:b/>
          <w:bCs/>
          <w:shd w:val="clear" w:color="auto" w:fill="FFFFFF"/>
        </w:rPr>
        <w:t xml:space="preserve">Broadcasters, </w:t>
      </w:r>
      <w:r w:rsidRPr="007D622F">
        <w:rPr>
          <w:rFonts w:asciiTheme="minorBidi" w:hAnsiTheme="minorBidi"/>
          <w:b/>
          <w:bCs/>
          <w:shd w:val="clear" w:color="auto" w:fill="FFFFFF"/>
        </w:rPr>
        <w:t xml:space="preserve">receivers, functional groups </w:t>
      </w:r>
      <w:r>
        <w:rPr>
          <w:rFonts w:asciiTheme="minorBidi" w:hAnsiTheme="minorBidi"/>
          <w:b/>
          <w:bCs/>
          <w:shd w:val="clear" w:color="auto" w:fill="FFFFFF"/>
        </w:rPr>
        <w:t xml:space="preserve">of metabolites and the </w:t>
      </w:r>
      <w:r w:rsidRPr="000C36B6">
        <w:rPr>
          <w:rFonts w:asciiTheme="minorBidi" w:hAnsiTheme="minorBidi"/>
          <w:b/>
          <w:bCs/>
          <w:shd w:val="clear" w:color="auto" w:fill="FFFFFF"/>
        </w:rPr>
        <w:t xml:space="preserve">link </w:t>
      </w:r>
      <w:r>
        <w:rPr>
          <w:rFonts w:asciiTheme="minorBidi" w:hAnsiTheme="minorBidi"/>
          <w:b/>
          <w:bCs/>
          <w:shd w:val="clear" w:color="auto" w:fill="FFFFFF"/>
        </w:rPr>
        <w:t xml:space="preserve">to heart failure </w:t>
      </w:r>
      <w:r w:rsidRPr="008B0A1D">
        <w:rPr>
          <w:rFonts w:asciiTheme="minorBidi" w:hAnsiTheme="minorBidi"/>
          <w:b/>
          <w:bCs/>
          <w:shd w:val="clear" w:color="auto" w:fill="FFFFFF"/>
        </w:rPr>
        <w:t>progression</w:t>
      </w:r>
      <w:r>
        <w:rPr>
          <w:rFonts w:asciiTheme="minorBidi" w:hAnsiTheme="minorBidi"/>
          <w:b/>
          <w:bCs/>
          <w:shd w:val="clear" w:color="auto" w:fill="FFFFFF"/>
        </w:rPr>
        <w:t xml:space="preserve"> </w:t>
      </w:r>
      <w:r w:rsidRPr="00056CCC">
        <w:rPr>
          <w:rFonts w:asciiTheme="minorBidi" w:hAnsiTheme="minorBidi"/>
          <w:b/>
          <w:bCs/>
          <w:shd w:val="clear" w:color="auto" w:fill="FFFFFF"/>
        </w:rPr>
        <w:t xml:space="preserve">using </w:t>
      </w:r>
      <w:r>
        <w:rPr>
          <w:rFonts w:asciiTheme="minorBidi" w:hAnsiTheme="minorBidi"/>
          <w:b/>
          <w:bCs/>
          <w:shd w:val="clear" w:color="auto" w:fill="FFFFFF"/>
        </w:rPr>
        <w:t>poly</w:t>
      </w:r>
      <w:r w:rsidRPr="00056CCC">
        <w:rPr>
          <w:rFonts w:asciiTheme="minorBidi" w:hAnsiTheme="minorBidi"/>
          <w:b/>
          <w:bCs/>
          <w:shd w:val="clear" w:color="auto" w:fill="FFFFFF"/>
        </w:rPr>
        <w:t xml:space="preserve">genic </w:t>
      </w:r>
      <w:r>
        <w:rPr>
          <w:rFonts w:asciiTheme="minorBidi" w:hAnsiTheme="minorBidi"/>
          <w:b/>
          <w:bCs/>
          <w:shd w:val="clear" w:color="auto" w:fill="FFFFFF"/>
        </w:rPr>
        <w:t>factors</w:t>
      </w:r>
    </w:p>
    <w:bookmarkEnd w:id="0"/>
    <w:p w14:paraId="00B96FE8" w14:textId="77777777" w:rsidR="00373EC1" w:rsidRDefault="00373EC1" w:rsidP="00373EC1">
      <w:pPr>
        <w:shd w:val="clear" w:color="auto" w:fill="FFFFFF"/>
        <w:tabs>
          <w:tab w:val="num" w:pos="720"/>
        </w:tabs>
        <w:spacing w:after="0"/>
        <w:rPr>
          <w:rFonts w:asciiTheme="minorBidi" w:hAnsiTheme="minorBidi"/>
          <w:b/>
          <w:bCs/>
          <w:shd w:val="clear" w:color="auto" w:fill="FFFFFF"/>
        </w:rPr>
      </w:pPr>
    </w:p>
    <w:p w14:paraId="6506BF5E" w14:textId="77777777" w:rsidR="00373EC1" w:rsidRDefault="00373EC1" w:rsidP="00373EC1">
      <w:pPr>
        <w:spacing w:before="60" w:after="0" w:line="240" w:lineRule="auto"/>
        <w:jc w:val="center"/>
        <w:rPr>
          <w:rFonts w:asciiTheme="minorBidi" w:hAnsiTheme="minorBidi"/>
          <w:b/>
          <w:bCs/>
          <w:shd w:val="clear" w:color="auto" w:fill="FFFFFF"/>
        </w:rPr>
      </w:pPr>
    </w:p>
    <w:p w14:paraId="4EE859CE" w14:textId="77777777" w:rsidR="00373EC1" w:rsidRPr="006A5456" w:rsidRDefault="00373EC1" w:rsidP="00373EC1">
      <w:pPr>
        <w:jc w:val="both"/>
        <w:rPr>
          <w:rFonts w:asciiTheme="minorBidi" w:hAnsiTheme="minorBidi"/>
          <w:sz w:val="20"/>
          <w:szCs w:val="20"/>
        </w:rPr>
      </w:pPr>
      <w:bookmarkStart w:id="2" w:name="_Hlk141908117"/>
      <w:r w:rsidRPr="008B0A1D">
        <w:rPr>
          <w:rFonts w:asciiTheme="minorBidi" w:hAnsiTheme="minorBidi"/>
          <w:sz w:val="20"/>
          <w:szCs w:val="20"/>
        </w:rPr>
        <w:t>Azam Yazdani</w:t>
      </w:r>
      <w:r w:rsidRPr="008B0A1D">
        <w:rPr>
          <w:rStyle w:val="FootnoteReference"/>
          <w:rFonts w:asciiTheme="minorBidi" w:hAnsiTheme="minorBidi"/>
          <w:sz w:val="20"/>
          <w:szCs w:val="20"/>
        </w:rPr>
        <w:footnoteReference w:id="1"/>
      </w:r>
      <w:r>
        <w:rPr>
          <w:rFonts w:asciiTheme="minorBidi" w:hAnsiTheme="minorBidi"/>
          <w:sz w:val="20"/>
          <w:szCs w:val="20"/>
          <w:vertAlign w:val="superscript"/>
        </w:rPr>
        <w:t>,</w:t>
      </w:r>
      <w:r w:rsidRPr="008B0A1D">
        <w:rPr>
          <w:rStyle w:val="FootnoteReference"/>
          <w:rFonts w:asciiTheme="minorBidi" w:hAnsiTheme="minorBidi"/>
          <w:sz w:val="20"/>
          <w:szCs w:val="20"/>
        </w:rPr>
        <w:footnoteReference w:id="2"/>
      </w:r>
      <w:r w:rsidRPr="008B0A1D">
        <w:rPr>
          <w:rFonts w:asciiTheme="minorBidi" w:hAnsiTheme="minorBidi"/>
          <w:sz w:val="20"/>
          <w:szCs w:val="20"/>
        </w:rPr>
        <w:t xml:space="preserve">, </w:t>
      </w:r>
      <w:r w:rsidRPr="008B0A1D">
        <w:rPr>
          <w:rFonts w:ascii="Arial" w:hAnsi="Arial" w:cs="Arial"/>
          <w:sz w:val="20"/>
          <w:szCs w:val="20"/>
        </w:rPr>
        <w:t>Raul Mendez-Giraldez</w:t>
      </w:r>
      <w:r w:rsidRPr="008B0A1D">
        <w:rPr>
          <w:rStyle w:val="FootnoteReference"/>
          <w:rFonts w:asciiTheme="minorBidi" w:hAnsiTheme="minorBidi"/>
          <w:sz w:val="20"/>
          <w:szCs w:val="20"/>
        </w:rPr>
        <w:footnoteReference w:id="3"/>
      </w:r>
      <w:r>
        <w:rPr>
          <w:rFonts w:ascii="Arial" w:hAnsi="Arial" w:cs="Arial"/>
          <w:sz w:val="20"/>
          <w:szCs w:val="20"/>
          <w:vertAlign w:val="superscript"/>
        </w:rPr>
        <w:t>,17</w:t>
      </w:r>
      <w:r w:rsidRPr="008B0A1D">
        <w:rPr>
          <w:rFonts w:asciiTheme="minorBidi" w:hAnsiTheme="minorBidi"/>
          <w:sz w:val="20"/>
          <w:szCs w:val="20"/>
        </w:rPr>
        <w:t>, Akram Yazdani</w:t>
      </w:r>
      <w:r w:rsidRPr="008B0A1D">
        <w:rPr>
          <w:rStyle w:val="FootnoteReference"/>
          <w:rFonts w:ascii="Arial" w:hAnsi="Arial"/>
          <w:sz w:val="20"/>
          <w:szCs w:val="20"/>
        </w:rPr>
        <w:footnoteReference w:id="4"/>
      </w:r>
      <w:r>
        <w:rPr>
          <w:rFonts w:asciiTheme="minorBidi" w:hAnsiTheme="minorBidi"/>
          <w:sz w:val="20"/>
          <w:szCs w:val="20"/>
          <w:vertAlign w:val="superscript"/>
        </w:rPr>
        <w:t>,17</w:t>
      </w:r>
      <w:r>
        <w:rPr>
          <w:rFonts w:asciiTheme="minorBidi" w:hAnsiTheme="minorBidi"/>
          <w:sz w:val="20"/>
          <w:szCs w:val="20"/>
        </w:rPr>
        <w:t xml:space="preserve">, </w:t>
      </w:r>
      <w:r w:rsidRPr="008B0A1D">
        <w:rPr>
          <w:rFonts w:asciiTheme="minorBidi" w:hAnsiTheme="minorBidi"/>
          <w:sz w:val="20"/>
          <w:szCs w:val="20"/>
        </w:rPr>
        <w:t>Daniel J. Schaid</w:t>
      </w:r>
      <w:r w:rsidRPr="008B0A1D">
        <w:rPr>
          <w:rStyle w:val="FootnoteReference"/>
          <w:rFonts w:asciiTheme="minorBidi" w:hAnsiTheme="minorBidi"/>
          <w:sz w:val="20"/>
          <w:szCs w:val="20"/>
        </w:rPr>
        <w:footnoteReference w:id="5"/>
      </w:r>
      <w:r w:rsidRPr="008B0A1D">
        <w:rPr>
          <w:rFonts w:asciiTheme="minorBidi" w:hAnsiTheme="minorBidi"/>
          <w:sz w:val="20"/>
          <w:szCs w:val="20"/>
        </w:rPr>
        <w:t xml:space="preserve">, </w:t>
      </w:r>
      <w:r w:rsidRPr="008B0A1D">
        <w:rPr>
          <w:rFonts w:ascii="Arial" w:hAnsi="Arial" w:cs="Arial"/>
          <w:sz w:val="20"/>
          <w:szCs w:val="20"/>
        </w:rPr>
        <w:t>Sek Won Kong</w:t>
      </w:r>
      <w:r w:rsidRPr="008B0A1D">
        <w:rPr>
          <w:rStyle w:val="FootnoteReference"/>
          <w:rFonts w:asciiTheme="minorBidi" w:hAnsiTheme="minorBidi"/>
          <w:sz w:val="20"/>
          <w:szCs w:val="20"/>
        </w:rPr>
        <w:footnoteReference w:id="6"/>
      </w:r>
      <w:r w:rsidRPr="008B0A1D">
        <w:rPr>
          <w:rFonts w:ascii="Arial" w:hAnsi="Arial" w:cs="Arial"/>
          <w:sz w:val="20"/>
          <w:szCs w:val="20"/>
        </w:rPr>
        <w:t xml:space="preserve">, </w:t>
      </w:r>
      <w:r>
        <w:rPr>
          <w:rFonts w:ascii="Arial" w:hAnsi="Arial" w:cs="Arial"/>
          <w:sz w:val="20"/>
          <w:szCs w:val="20"/>
        </w:rPr>
        <w:t>Mohamad R. Hadi</w:t>
      </w:r>
      <w:r w:rsidRPr="008B0A1D">
        <w:rPr>
          <w:rStyle w:val="FootnoteReference"/>
          <w:rFonts w:asciiTheme="minorBidi" w:hAnsiTheme="minorBidi"/>
          <w:sz w:val="20"/>
          <w:szCs w:val="20"/>
        </w:rPr>
        <w:footnoteReference w:id="7"/>
      </w:r>
      <w:r>
        <w:rPr>
          <w:rFonts w:ascii="Arial" w:hAnsi="Arial" w:cs="Arial"/>
          <w:sz w:val="20"/>
          <w:szCs w:val="20"/>
        </w:rPr>
        <w:t xml:space="preserve">, </w:t>
      </w:r>
      <w:r w:rsidRPr="008B0A1D">
        <w:rPr>
          <w:rFonts w:ascii="Arial" w:hAnsi="Arial" w:cs="Arial"/>
          <w:sz w:val="20"/>
          <w:szCs w:val="20"/>
        </w:rPr>
        <w:t>Ahmad Samiei</w:t>
      </w:r>
      <w:r w:rsidRPr="008B0A1D">
        <w:rPr>
          <w:rStyle w:val="FootnoteReference"/>
          <w:rFonts w:ascii="Arial" w:hAnsi="Arial"/>
          <w:sz w:val="20"/>
          <w:szCs w:val="20"/>
        </w:rPr>
        <w:footnoteReference w:id="8"/>
      </w:r>
      <w:r w:rsidRPr="008B0A1D">
        <w:rPr>
          <w:rFonts w:ascii="Arial" w:hAnsi="Arial" w:cs="Arial"/>
          <w:sz w:val="20"/>
          <w:szCs w:val="20"/>
        </w:rPr>
        <w:t xml:space="preserve">, </w:t>
      </w:r>
      <w:r w:rsidRPr="008B0A1D">
        <w:rPr>
          <w:rFonts w:asciiTheme="minorBidi" w:hAnsiTheme="minorBidi"/>
          <w:sz w:val="20"/>
          <w:szCs w:val="20"/>
        </w:rPr>
        <w:t xml:space="preserve">Clemens </w:t>
      </w:r>
      <w:r w:rsidRPr="008B0A1D">
        <w:rPr>
          <w:rFonts w:ascii="AdvOTea1a7398" w:hAnsi="AdvOTea1a7398" w:cs="AdvOTea1a7398"/>
        </w:rPr>
        <w:t>Wittenbecher</w:t>
      </w:r>
      <w:r w:rsidRPr="008B0A1D">
        <w:rPr>
          <w:rStyle w:val="FootnoteReference"/>
          <w:rFonts w:asciiTheme="minorBidi" w:hAnsiTheme="minorBidi"/>
          <w:sz w:val="20"/>
          <w:szCs w:val="20"/>
        </w:rPr>
        <w:footnoteReference w:id="9"/>
      </w:r>
      <w:r w:rsidRPr="008B0A1D">
        <w:rPr>
          <w:rFonts w:ascii="AdvOTea1a7398" w:hAnsi="AdvOTea1a7398" w:cs="AdvOTea1a7398"/>
        </w:rPr>
        <w:t xml:space="preserve">, </w:t>
      </w:r>
      <w:r w:rsidRPr="00CE5A24">
        <w:rPr>
          <w:rFonts w:ascii="AdvOTea1a7398" w:hAnsi="AdvOTea1a7398" w:cs="AdvOTea1a7398"/>
        </w:rPr>
        <w:t>Jessica Lasky-Su</w:t>
      </w:r>
      <w:r w:rsidRPr="008B0A1D">
        <w:rPr>
          <w:rStyle w:val="FootnoteReference"/>
          <w:rFonts w:asciiTheme="minorBidi" w:hAnsiTheme="minorBidi"/>
          <w:sz w:val="20"/>
          <w:szCs w:val="20"/>
        </w:rPr>
        <w:footnoteReference w:id="10"/>
      </w:r>
      <w:r w:rsidRPr="008B0A1D">
        <w:rPr>
          <w:rFonts w:ascii="AdvOTea1a7398" w:hAnsi="AdvOTea1a7398" w:cs="AdvOTea1a7398"/>
        </w:rPr>
        <w:t xml:space="preserve">, </w:t>
      </w:r>
      <w:r w:rsidRPr="008B0A1D">
        <w:rPr>
          <w:rFonts w:asciiTheme="minorBidi" w:hAnsiTheme="minorBidi"/>
          <w:sz w:val="20"/>
          <w:szCs w:val="20"/>
        </w:rPr>
        <w:t>Clary B. Clish</w:t>
      </w:r>
      <w:r w:rsidRPr="008B0A1D">
        <w:rPr>
          <w:rStyle w:val="FootnoteReference"/>
          <w:rFonts w:asciiTheme="minorBidi" w:hAnsiTheme="minorBidi"/>
          <w:sz w:val="20"/>
          <w:szCs w:val="20"/>
        </w:rPr>
        <w:footnoteReference w:id="11"/>
      </w:r>
      <w:r w:rsidRPr="008B0A1D">
        <w:rPr>
          <w:rFonts w:asciiTheme="minorBidi" w:hAnsiTheme="minorBidi"/>
          <w:sz w:val="20"/>
          <w:szCs w:val="20"/>
        </w:rPr>
        <w:t>, Francesco Marotta</w:t>
      </w:r>
      <w:r w:rsidRPr="008B0A1D">
        <w:rPr>
          <w:rStyle w:val="FootnoteReference"/>
          <w:rFonts w:asciiTheme="minorBidi" w:hAnsiTheme="minorBidi"/>
          <w:sz w:val="20"/>
          <w:szCs w:val="20"/>
        </w:rPr>
        <w:footnoteReference w:id="12"/>
      </w:r>
      <w:r w:rsidRPr="008B0A1D">
        <w:rPr>
          <w:rFonts w:asciiTheme="minorBidi" w:hAnsiTheme="minorBidi"/>
          <w:sz w:val="20"/>
          <w:szCs w:val="20"/>
        </w:rPr>
        <w:t>,</w:t>
      </w:r>
      <w:r>
        <w:rPr>
          <w:rFonts w:asciiTheme="minorBidi" w:hAnsiTheme="minorBidi"/>
          <w:sz w:val="20"/>
          <w:szCs w:val="20"/>
        </w:rPr>
        <w:t xml:space="preserve"> </w:t>
      </w:r>
      <w:r w:rsidRPr="008B0A1D">
        <w:rPr>
          <w:rFonts w:ascii="Arial" w:hAnsi="Arial" w:cs="Arial"/>
          <w:sz w:val="20"/>
          <w:szCs w:val="20"/>
        </w:rPr>
        <w:t>Michael R. Kosorok</w:t>
      </w:r>
      <w:r w:rsidRPr="008B0A1D">
        <w:rPr>
          <w:rStyle w:val="FootnoteReference"/>
          <w:rFonts w:ascii="Arial" w:hAnsi="Arial"/>
          <w:sz w:val="20"/>
          <w:szCs w:val="20"/>
        </w:rPr>
        <w:footnoteReference w:id="13"/>
      </w:r>
      <w:r w:rsidRPr="008B0A1D">
        <w:rPr>
          <w:rFonts w:ascii="Arial" w:hAnsi="Arial" w:cs="Arial"/>
          <w:sz w:val="20"/>
          <w:szCs w:val="20"/>
        </w:rPr>
        <w:t>,</w:t>
      </w:r>
      <w:r w:rsidRPr="008B0A1D">
        <w:rPr>
          <w:rFonts w:asciiTheme="minorBidi" w:hAnsiTheme="minorBidi"/>
          <w:sz w:val="20"/>
          <w:szCs w:val="20"/>
        </w:rPr>
        <w:t xml:space="preserve"> </w:t>
      </w:r>
      <w:r>
        <w:rPr>
          <w:rFonts w:asciiTheme="minorBidi" w:hAnsiTheme="minorBidi"/>
          <w:sz w:val="20"/>
          <w:szCs w:val="20"/>
        </w:rPr>
        <w:t>Samia Mora</w:t>
      </w:r>
      <w:r w:rsidRPr="008B0A1D">
        <w:rPr>
          <w:rStyle w:val="FootnoteReference"/>
          <w:rFonts w:asciiTheme="minorBidi" w:hAnsiTheme="minorBidi"/>
          <w:sz w:val="20"/>
          <w:szCs w:val="20"/>
        </w:rPr>
        <w:footnoteReference w:id="14"/>
      </w:r>
      <w:r>
        <w:rPr>
          <w:rFonts w:asciiTheme="minorBidi" w:hAnsiTheme="minorBidi"/>
          <w:sz w:val="20"/>
          <w:szCs w:val="20"/>
        </w:rPr>
        <w:t xml:space="preserve">, </w:t>
      </w:r>
      <w:r w:rsidRPr="006A5456">
        <w:rPr>
          <w:rFonts w:asciiTheme="minorBidi" w:hAnsiTheme="minorBidi"/>
          <w:sz w:val="20"/>
          <w:szCs w:val="20"/>
        </w:rPr>
        <w:t>Jochen D. Muehlschlegel</w:t>
      </w:r>
      <w:r w:rsidRPr="00B13655">
        <w:rPr>
          <w:rFonts w:asciiTheme="minorBidi" w:hAnsiTheme="minorBidi"/>
          <w:sz w:val="20"/>
          <w:szCs w:val="20"/>
          <w:vertAlign w:val="superscript"/>
        </w:rPr>
        <w:t>1</w:t>
      </w:r>
      <w:r>
        <w:rPr>
          <w:rFonts w:asciiTheme="minorBidi" w:hAnsiTheme="minorBidi"/>
          <w:sz w:val="20"/>
          <w:szCs w:val="20"/>
        </w:rPr>
        <w:t>, D</w:t>
      </w:r>
      <w:r w:rsidRPr="00D553E4">
        <w:rPr>
          <w:rFonts w:asciiTheme="minorBidi" w:hAnsiTheme="minorBidi"/>
          <w:sz w:val="20"/>
          <w:szCs w:val="20"/>
        </w:rPr>
        <w:t>aniel I. Chasman</w:t>
      </w:r>
      <w:r w:rsidRPr="008B0A1D">
        <w:rPr>
          <w:rStyle w:val="FootnoteReference"/>
          <w:rFonts w:asciiTheme="minorBidi" w:hAnsiTheme="minorBidi"/>
          <w:sz w:val="20"/>
          <w:szCs w:val="20"/>
        </w:rPr>
        <w:footnoteReference w:id="15"/>
      </w:r>
      <w:r w:rsidRPr="00D553E4">
        <w:rPr>
          <w:rFonts w:asciiTheme="minorBidi" w:hAnsiTheme="minorBidi"/>
          <w:sz w:val="20"/>
          <w:szCs w:val="20"/>
        </w:rPr>
        <w:t xml:space="preserve">, </w:t>
      </w:r>
      <w:r>
        <w:rPr>
          <w:rFonts w:asciiTheme="minorBidi" w:hAnsiTheme="minorBidi"/>
          <w:sz w:val="20"/>
          <w:szCs w:val="20"/>
        </w:rPr>
        <w:t>M</w:t>
      </w:r>
      <w:r w:rsidRPr="008B0A1D">
        <w:rPr>
          <w:rFonts w:asciiTheme="minorBidi" w:hAnsiTheme="minorBidi"/>
          <w:sz w:val="20"/>
          <w:szCs w:val="20"/>
        </w:rPr>
        <w:t>artin G. Larson</w:t>
      </w:r>
      <w:r w:rsidRPr="008B0A1D">
        <w:rPr>
          <w:rStyle w:val="FootnoteReference"/>
          <w:rFonts w:asciiTheme="minorBidi" w:hAnsiTheme="minorBidi"/>
          <w:sz w:val="20"/>
          <w:szCs w:val="20"/>
        </w:rPr>
        <w:footnoteReference w:id="16"/>
      </w:r>
      <w:r w:rsidRPr="008B0A1D">
        <w:rPr>
          <w:rFonts w:asciiTheme="minorBidi" w:hAnsiTheme="minorBidi"/>
          <w:sz w:val="20"/>
          <w:szCs w:val="20"/>
        </w:rPr>
        <w:t xml:space="preserve">, </w:t>
      </w:r>
      <w:r w:rsidRPr="00D83C8D">
        <w:rPr>
          <w:rFonts w:ascii="Arial" w:hAnsi="Arial" w:cs="Arial"/>
          <w:sz w:val="20"/>
          <w:szCs w:val="20"/>
        </w:rPr>
        <w:t>Sarah H. Elsea</w:t>
      </w:r>
      <w:r w:rsidRPr="008B0A1D">
        <w:rPr>
          <w:rStyle w:val="FootnoteReference"/>
          <w:rFonts w:asciiTheme="minorBidi" w:hAnsiTheme="minorBidi"/>
        </w:rPr>
        <w:footnoteReference w:id="17"/>
      </w:r>
    </w:p>
    <w:bookmarkEnd w:id="2"/>
    <w:p w14:paraId="42CA2547" w14:textId="77777777" w:rsidR="00373EC1" w:rsidRDefault="00373EC1" w:rsidP="00373EC1">
      <w:pPr>
        <w:spacing w:after="0"/>
        <w:rPr>
          <w:i/>
          <w:iCs/>
        </w:rPr>
      </w:pPr>
    </w:p>
    <w:p w14:paraId="461A1E89" w14:textId="77777777" w:rsidR="00373EC1" w:rsidRDefault="00373EC1" w:rsidP="00373EC1">
      <w:pPr>
        <w:spacing w:after="0"/>
        <w:rPr>
          <w:i/>
          <w:iCs/>
        </w:rPr>
      </w:pPr>
    </w:p>
    <w:p w14:paraId="73124A27" w14:textId="77777777" w:rsidR="00373EC1" w:rsidRDefault="00373EC1" w:rsidP="00373EC1">
      <w:pPr>
        <w:spacing w:after="0"/>
        <w:rPr>
          <w:i/>
          <w:iCs/>
        </w:rPr>
      </w:pPr>
      <w:r>
        <w:rPr>
          <w:i/>
          <w:iCs/>
        </w:rPr>
        <w:t>Corresponding author: Azam Yazdani, Ph.D., M.Sc.,</w:t>
      </w:r>
    </w:p>
    <w:p w14:paraId="1FB3B8F3" w14:textId="77777777" w:rsidR="00373EC1" w:rsidRDefault="00373EC1" w:rsidP="00373EC1">
      <w:pPr>
        <w:spacing w:after="0"/>
      </w:pPr>
      <w:r>
        <w:rPr>
          <w:i/>
          <w:iCs/>
        </w:rPr>
        <w:t>ayazdani@bwh.harvard.edu</w:t>
      </w:r>
    </w:p>
    <w:p w14:paraId="4CCB02A4" w14:textId="77777777" w:rsidR="00373EC1" w:rsidRDefault="00373EC1" w:rsidP="00373EC1">
      <w:pPr>
        <w:spacing w:after="0"/>
      </w:pPr>
      <w:r>
        <w:rPr>
          <w:i/>
          <w:iCs/>
        </w:rPr>
        <w:t xml:space="preserve">Harvard Initiative in Systems Approach,  </w:t>
      </w:r>
    </w:p>
    <w:p w14:paraId="2331288B" w14:textId="77777777" w:rsidR="00373EC1" w:rsidRDefault="00373EC1" w:rsidP="00373EC1">
      <w:pPr>
        <w:spacing w:after="0"/>
      </w:pPr>
      <w:r>
        <w:rPr>
          <w:i/>
          <w:iCs/>
        </w:rPr>
        <w:t xml:space="preserve">Brigham and Women’s Hospital    </w:t>
      </w:r>
    </w:p>
    <w:p w14:paraId="2FED239B" w14:textId="77777777" w:rsidR="00373EC1" w:rsidRDefault="00373EC1" w:rsidP="00373EC1">
      <w:pPr>
        <w:spacing w:after="0"/>
      </w:pPr>
      <w:r>
        <w:rPr>
          <w:i/>
          <w:iCs/>
        </w:rPr>
        <w:t xml:space="preserve">Harvard Medical School </w:t>
      </w:r>
    </w:p>
    <w:p w14:paraId="377BB33F" w14:textId="77777777" w:rsidR="00373EC1" w:rsidRDefault="00373EC1" w:rsidP="00373EC1">
      <w:pPr>
        <w:spacing w:after="0"/>
      </w:pPr>
      <w:r>
        <w:rPr>
          <w:i/>
          <w:iCs/>
        </w:rPr>
        <w:t xml:space="preserve">Harvard Data Science Initiative faculty affiliate </w:t>
      </w:r>
    </w:p>
    <w:p w14:paraId="1F984BBC" w14:textId="77777777" w:rsidR="00373EC1" w:rsidRDefault="00373EC1" w:rsidP="00373EC1">
      <w:pPr>
        <w:tabs>
          <w:tab w:val="left" w:pos="1350"/>
          <w:tab w:val="left" w:pos="10080"/>
          <w:tab w:val="left" w:pos="10440"/>
        </w:tabs>
        <w:autoSpaceDE w:val="0"/>
        <w:autoSpaceDN w:val="0"/>
        <w:adjustRightInd w:val="0"/>
        <w:spacing w:before="60"/>
        <w:rPr>
          <w:rFonts w:asciiTheme="minorBidi" w:hAnsiTheme="minorBidi"/>
        </w:rPr>
      </w:pPr>
    </w:p>
    <w:p w14:paraId="309E2897" w14:textId="77777777" w:rsidR="00373EC1" w:rsidRDefault="00373EC1" w:rsidP="00373EC1">
      <w:pPr>
        <w:tabs>
          <w:tab w:val="left" w:pos="1350"/>
          <w:tab w:val="left" w:pos="10080"/>
          <w:tab w:val="left" w:pos="10440"/>
        </w:tabs>
        <w:autoSpaceDE w:val="0"/>
        <w:autoSpaceDN w:val="0"/>
        <w:adjustRightInd w:val="0"/>
        <w:spacing w:before="60"/>
        <w:rPr>
          <w:rFonts w:asciiTheme="minorBidi" w:hAnsiTheme="minorBidi"/>
        </w:rPr>
      </w:pPr>
    </w:p>
    <w:p w14:paraId="721795C2" w14:textId="77777777" w:rsidR="00373EC1" w:rsidRPr="009E5675" w:rsidRDefault="00373EC1" w:rsidP="00373EC1">
      <w:pPr>
        <w:tabs>
          <w:tab w:val="left" w:pos="1350"/>
          <w:tab w:val="left" w:pos="10080"/>
          <w:tab w:val="left" w:pos="10440"/>
        </w:tabs>
        <w:autoSpaceDE w:val="0"/>
        <w:autoSpaceDN w:val="0"/>
        <w:adjustRightInd w:val="0"/>
        <w:spacing w:before="60"/>
        <w:rPr>
          <w:rFonts w:asciiTheme="minorBidi" w:hAnsiTheme="minorBidi"/>
        </w:rPr>
      </w:pPr>
    </w:p>
    <w:p w14:paraId="3E87F2A9" w14:textId="77777777" w:rsidR="00373EC1" w:rsidRDefault="00373EC1" w:rsidP="00373EC1">
      <w:pPr>
        <w:tabs>
          <w:tab w:val="left" w:pos="1350"/>
          <w:tab w:val="left" w:pos="10080"/>
          <w:tab w:val="left" w:pos="10440"/>
        </w:tabs>
        <w:autoSpaceDE w:val="0"/>
        <w:autoSpaceDN w:val="0"/>
        <w:adjustRightInd w:val="0"/>
        <w:spacing w:before="60" w:after="0" w:line="240" w:lineRule="auto"/>
        <w:jc w:val="both"/>
        <w:rPr>
          <w:rFonts w:asciiTheme="minorBidi" w:hAnsiTheme="minorBidi"/>
        </w:rPr>
      </w:pPr>
    </w:p>
    <w:p w14:paraId="00751404" w14:textId="77777777" w:rsidR="00373EC1" w:rsidRDefault="00373EC1" w:rsidP="00373EC1">
      <w:pPr>
        <w:tabs>
          <w:tab w:val="left" w:pos="1350"/>
          <w:tab w:val="left" w:pos="10080"/>
          <w:tab w:val="left" w:pos="10440"/>
        </w:tabs>
        <w:autoSpaceDE w:val="0"/>
        <w:autoSpaceDN w:val="0"/>
        <w:adjustRightInd w:val="0"/>
        <w:spacing w:before="60" w:after="0" w:line="240" w:lineRule="auto"/>
        <w:jc w:val="both"/>
        <w:rPr>
          <w:rFonts w:asciiTheme="minorBidi" w:hAnsiTheme="minorBidi"/>
        </w:rPr>
      </w:pPr>
      <w:r>
        <w:rPr>
          <w:rFonts w:asciiTheme="minorBidi" w:hAnsiTheme="minorBidi"/>
        </w:rPr>
        <w:t xml:space="preserve">Keywords: Metabolomics, heart failure, confounding metabolites, data-driven networks, causal network, genetic variation, lifestyle </w:t>
      </w:r>
    </w:p>
    <w:bookmarkEnd w:id="1"/>
    <w:p w14:paraId="268D9008" w14:textId="77777777" w:rsidR="00373EC1" w:rsidRDefault="00373EC1" w:rsidP="00373EC1">
      <w:pPr>
        <w:autoSpaceDE w:val="0"/>
        <w:autoSpaceDN w:val="0"/>
        <w:adjustRightInd w:val="0"/>
        <w:spacing w:before="60" w:after="0" w:line="240" w:lineRule="auto"/>
        <w:jc w:val="both"/>
        <w:rPr>
          <w:rFonts w:asciiTheme="minorBidi" w:hAnsiTheme="minorBidi"/>
          <w:b/>
          <w:shd w:val="clear" w:color="auto" w:fill="FFFFFF"/>
        </w:rPr>
      </w:pPr>
    </w:p>
    <w:p w14:paraId="5EE5BFDF" w14:textId="77777777" w:rsidR="00373EC1" w:rsidRDefault="00373EC1" w:rsidP="00067E97">
      <w:pPr>
        <w:spacing w:before="120" w:line="480" w:lineRule="auto"/>
        <w:jc w:val="both"/>
        <w:rPr>
          <w:rFonts w:asciiTheme="minorBidi" w:hAnsiTheme="minorBidi"/>
          <w:b/>
          <w:bCs/>
          <w:sz w:val="24"/>
          <w:szCs w:val="24"/>
        </w:rPr>
      </w:pPr>
    </w:p>
    <w:p w14:paraId="2ACBBEA6" w14:textId="0DD92825" w:rsidR="00351F57" w:rsidRPr="00067E97" w:rsidRDefault="00351F57" w:rsidP="00067E97">
      <w:pPr>
        <w:spacing w:before="120" w:line="480" w:lineRule="auto"/>
        <w:jc w:val="both"/>
        <w:rPr>
          <w:rFonts w:ascii="Times New Roman" w:hAnsi="Times New Roman" w:cs="Times New Roman"/>
          <w:b/>
          <w:sz w:val="24"/>
          <w:szCs w:val="24"/>
        </w:rPr>
      </w:pPr>
      <w:r w:rsidRPr="00067E97">
        <w:rPr>
          <w:rFonts w:asciiTheme="minorBidi" w:hAnsiTheme="minorBidi"/>
          <w:b/>
          <w:bCs/>
          <w:sz w:val="24"/>
          <w:szCs w:val="24"/>
        </w:rPr>
        <w:t>Contents</w:t>
      </w:r>
    </w:p>
    <w:p w14:paraId="22ADF4F8" w14:textId="7C1C50FB" w:rsidR="0013737D" w:rsidRPr="00067E97" w:rsidRDefault="00B71365" w:rsidP="00067E97">
      <w:pPr>
        <w:pStyle w:val="ListParagraph"/>
        <w:numPr>
          <w:ilvl w:val="0"/>
          <w:numId w:val="3"/>
        </w:numPr>
        <w:spacing w:before="120" w:line="480" w:lineRule="auto"/>
        <w:rPr>
          <w:rFonts w:asciiTheme="minorBidi" w:hAnsiTheme="minorBidi"/>
          <w:b/>
          <w:bCs/>
          <w:sz w:val="24"/>
          <w:szCs w:val="24"/>
        </w:rPr>
      </w:pPr>
      <w:r w:rsidRPr="00067E97">
        <w:rPr>
          <w:rFonts w:asciiTheme="minorBidi" w:hAnsiTheme="minorBidi"/>
          <w:b/>
          <w:bCs/>
          <w:sz w:val="24"/>
          <w:szCs w:val="24"/>
        </w:rPr>
        <w:t xml:space="preserve">Table S1. </w:t>
      </w:r>
      <w:r w:rsidR="004C3907" w:rsidRPr="00067E97">
        <w:rPr>
          <w:rFonts w:asciiTheme="minorBidi" w:hAnsiTheme="minorBidi"/>
          <w:b/>
          <w:bCs/>
          <w:sz w:val="24"/>
          <w:szCs w:val="24"/>
        </w:rPr>
        <w:t>Characteristics of the study samples</w:t>
      </w:r>
    </w:p>
    <w:p w14:paraId="20C19B3B" w14:textId="66314E95" w:rsidR="004C3907" w:rsidRPr="00067E97" w:rsidRDefault="00B71365" w:rsidP="00067E97">
      <w:pPr>
        <w:pStyle w:val="ListParagraph"/>
        <w:numPr>
          <w:ilvl w:val="0"/>
          <w:numId w:val="3"/>
        </w:numPr>
        <w:spacing w:before="120" w:line="480" w:lineRule="auto"/>
        <w:rPr>
          <w:rFonts w:asciiTheme="minorBidi" w:hAnsiTheme="minorBidi"/>
          <w:b/>
          <w:bCs/>
          <w:sz w:val="24"/>
          <w:szCs w:val="24"/>
        </w:rPr>
      </w:pPr>
      <w:r w:rsidRPr="00067E97">
        <w:rPr>
          <w:rFonts w:asciiTheme="minorBidi" w:hAnsiTheme="minorBidi"/>
          <w:b/>
          <w:bCs/>
          <w:sz w:val="24"/>
          <w:szCs w:val="24"/>
        </w:rPr>
        <w:t xml:space="preserve">Table S2. </w:t>
      </w:r>
      <w:r w:rsidR="00807AD1">
        <w:rPr>
          <w:rFonts w:asciiTheme="minorBidi" w:hAnsiTheme="minorBidi"/>
          <w:b/>
          <w:bCs/>
          <w:sz w:val="24"/>
          <w:szCs w:val="24"/>
        </w:rPr>
        <w:t>M</w:t>
      </w:r>
      <w:r w:rsidR="004C3907" w:rsidRPr="00067E97">
        <w:rPr>
          <w:rFonts w:asciiTheme="minorBidi" w:hAnsiTheme="minorBidi"/>
          <w:b/>
          <w:bCs/>
          <w:sz w:val="24"/>
          <w:szCs w:val="24"/>
        </w:rPr>
        <w:t xml:space="preserve">etabolites in this study </w:t>
      </w:r>
    </w:p>
    <w:p w14:paraId="3ADAF8C4" w14:textId="1ABB9AFA" w:rsidR="00351F57" w:rsidRPr="00942865" w:rsidRDefault="00B71365" w:rsidP="00067E97">
      <w:pPr>
        <w:pStyle w:val="ListParagraph"/>
        <w:numPr>
          <w:ilvl w:val="0"/>
          <w:numId w:val="3"/>
        </w:numPr>
        <w:spacing w:before="120" w:line="480" w:lineRule="auto"/>
        <w:rPr>
          <w:rFonts w:asciiTheme="minorBidi" w:hAnsiTheme="minorBidi"/>
          <w:b/>
          <w:bCs/>
          <w:sz w:val="24"/>
          <w:szCs w:val="24"/>
        </w:rPr>
      </w:pPr>
      <w:r w:rsidRPr="00067E97">
        <w:rPr>
          <w:rFonts w:asciiTheme="minorBidi" w:hAnsiTheme="minorBidi"/>
          <w:b/>
          <w:bCs/>
          <w:sz w:val="24"/>
          <w:szCs w:val="24"/>
        </w:rPr>
        <w:t xml:space="preserve">Tables S3-8. </w:t>
      </w:r>
      <w:r w:rsidR="00807AD1">
        <w:rPr>
          <w:rFonts w:asciiTheme="minorBidi" w:hAnsiTheme="minorBidi"/>
          <w:b/>
          <w:bCs/>
          <w:sz w:val="24"/>
          <w:szCs w:val="24"/>
        </w:rPr>
        <w:t>R</w:t>
      </w:r>
      <w:r w:rsidR="00B8766A" w:rsidRPr="00067E97">
        <w:rPr>
          <w:rFonts w:asciiTheme="minorBidi" w:eastAsia="Times New Roman" w:hAnsiTheme="minorBidi"/>
          <w:b/>
          <w:bCs/>
          <w:sz w:val="24"/>
          <w:szCs w:val="24"/>
        </w:rPr>
        <w:t>esults of two univariate models, one adjusted for sex, age, and BMI, and the other adjusted for sex and age</w:t>
      </w:r>
    </w:p>
    <w:p w14:paraId="71C8C474" w14:textId="690398E6" w:rsidR="00942865" w:rsidRPr="006204AC" w:rsidRDefault="006204AC" w:rsidP="00067E97">
      <w:pPr>
        <w:pStyle w:val="ListParagraph"/>
        <w:numPr>
          <w:ilvl w:val="0"/>
          <w:numId w:val="3"/>
        </w:numPr>
        <w:spacing w:before="120" w:line="480" w:lineRule="auto"/>
        <w:rPr>
          <w:rFonts w:asciiTheme="minorBidi" w:hAnsiTheme="minorBidi"/>
          <w:b/>
          <w:bCs/>
          <w:sz w:val="24"/>
          <w:szCs w:val="24"/>
        </w:rPr>
      </w:pPr>
      <w:r>
        <w:rPr>
          <w:rFonts w:asciiTheme="minorBidi" w:eastAsia="Times New Roman" w:hAnsiTheme="minorBidi"/>
          <w:b/>
          <w:bCs/>
          <w:sz w:val="24"/>
          <w:szCs w:val="24"/>
        </w:rPr>
        <w:t>M</w:t>
      </w:r>
      <w:r w:rsidRPr="006204AC">
        <w:rPr>
          <w:rFonts w:asciiTheme="minorBidi" w:eastAsia="Times New Roman" w:hAnsiTheme="minorBidi"/>
          <w:b/>
          <w:bCs/>
          <w:sz w:val="24"/>
          <w:szCs w:val="24"/>
        </w:rPr>
        <w:t>etabolites associated with polygenic factors satisfied MR assumptions</w:t>
      </w:r>
    </w:p>
    <w:p w14:paraId="5854E1C8" w14:textId="51621561" w:rsidR="00351F57" w:rsidRPr="00067E97" w:rsidRDefault="00351F57" w:rsidP="00067E97">
      <w:pPr>
        <w:pStyle w:val="ListParagraph"/>
        <w:numPr>
          <w:ilvl w:val="0"/>
          <w:numId w:val="3"/>
        </w:numPr>
        <w:spacing w:before="120" w:line="480" w:lineRule="auto"/>
        <w:rPr>
          <w:rFonts w:asciiTheme="minorBidi" w:hAnsiTheme="minorBidi"/>
          <w:b/>
          <w:bCs/>
          <w:sz w:val="24"/>
          <w:szCs w:val="24"/>
        </w:rPr>
      </w:pPr>
      <w:r w:rsidRPr="00067E97">
        <w:rPr>
          <w:rFonts w:asciiTheme="minorBidi" w:hAnsiTheme="minorBidi"/>
          <w:b/>
          <w:bCs/>
          <w:sz w:val="24"/>
          <w:szCs w:val="24"/>
        </w:rPr>
        <w:t>Supplemental Methods</w:t>
      </w:r>
    </w:p>
    <w:p w14:paraId="5526020D" w14:textId="32F0C894" w:rsidR="00A04653" w:rsidRPr="00067E97" w:rsidRDefault="00EA78C5" w:rsidP="00067E97">
      <w:pPr>
        <w:pStyle w:val="ListParagraph"/>
        <w:numPr>
          <w:ilvl w:val="1"/>
          <w:numId w:val="3"/>
        </w:numPr>
        <w:spacing w:before="120" w:line="480" w:lineRule="auto"/>
        <w:rPr>
          <w:rFonts w:asciiTheme="minorBidi" w:hAnsiTheme="minorBidi"/>
          <w:b/>
          <w:bCs/>
          <w:sz w:val="24"/>
          <w:szCs w:val="24"/>
        </w:rPr>
      </w:pPr>
      <w:r w:rsidRPr="00067E97">
        <w:rPr>
          <w:rFonts w:asciiTheme="minorBidi" w:hAnsiTheme="minorBidi"/>
          <w:b/>
          <w:bCs/>
          <w:sz w:val="24"/>
          <w:szCs w:val="24"/>
        </w:rPr>
        <w:t>I</w:t>
      </w:r>
      <w:r w:rsidR="00A04653" w:rsidRPr="00067E97">
        <w:rPr>
          <w:rFonts w:asciiTheme="minorBidi" w:hAnsiTheme="minorBidi"/>
          <w:b/>
          <w:bCs/>
          <w:sz w:val="24"/>
          <w:szCs w:val="24"/>
        </w:rPr>
        <w:t>nformation about BONS hexose monophosphates</w:t>
      </w:r>
    </w:p>
    <w:p w14:paraId="51F03849" w14:textId="09830CBA" w:rsidR="00351F57" w:rsidRPr="00067E97" w:rsidRDefault="00351F57" w:rsidP="00067E97">
      <w:pPr>
        <w:pStyle w:val="ListParagraph"/>
        <w:numPr>
          <w:ilvl w:val="1"/>
          <w:numId w:val="3"/>
        </w:numPr>
        <w:spacing w:before="120" w:line="480" w:lineRule="auto"/>
        <w:rPr>
          <w:rFonts w:asciiTheme="minorBidi" w:hAnsiTheme="minorBidi"/>
          <w:b/>
          <w:bCs/>
          <w:sz w:val="24"/>
          <w:szCs w:val="24"/>
        </w:rPr>
      </w:pPr>
      <w:r w:rsidRPr="00067E97">
        <w:rPr>
          <w:rFonts w:asciiTheme="minorBidi" w:hAnsiTheme="minorBidi"/>
          <w:b/>
          <w:bCs/>
          <w:sz w:val="24"/>
          <w:szCs w:val="24"/>
        </w:rPr>
        <w:t>P</w:t>
      </w:r>
      <w:r w:rsidR="00A04653" w:rsidRPr="00067E97">
        <w:rPr>
          <w:rFonts w:asciiTheme="minorBidi" w:hAnsiTheme="minorBidi"/>
          <w:b/>
          <w:bCs/>
          <w:sz w:val="24"/>
          <w:szCs w:val="24"/>
        </w:rPr>
        <w:t xml:space="preserve">olygenic factors </w:t>
      </w:r>
    </w:p>
    <w:p w14:paraId="06F641D7" w14:textId="5F840AF5" w:rsidR="00A04653" w:rsidRDefault="0013737D" w:rsidP="00067E97">
      <w:pPr>
        <w:pStyle w:val="ListParagraph"/>
        <w:numPr>
          <w:ilvl w:val="1"/>
          <w:numId w:val="3"/>
        </w:numPr>
        <w:spacing w:before="120" w:line="480" w:lineRule="auto"/>
        <w:rPr>
          <w:rFonts w:asciiTheme="minorBidi" w:hAnsiTheme="minorBidi"/>
          <w:b/>
          <w:bCs/>
          <w:sz w:val="24"/>
          <w:szCs w:val="24"/>
        </w:rPr>
      </w:pPr>
      <m:oMath>
        <m:r>
          <m:rPr>
            <m:sty m:val="bi"/>
          </m:rPr>
          <w:rPr>
            <w:rFonts w:ascii="Cambria Math" w:hAnsi="Cambria Math"/>
            <w:color w:val="000000"/>
            <w:sz w:val="24"/>
            <w:szCs w:val="24"/>
          </w:rPr>
          <m:t>V</m:t>
        </m:r>
      </m:oMath>
      <w:r w:rsidR="00A04653" w:rsidRPr="00067E97">
        <w:rPr>
          <w:rFonts w:asciiTheme="minorBidi" w:hAnsiTheme="minorBidi"/>
          <w:b/>
          <w:bCs/>
          <w:color w:val="000000"/>
          <w:sz w:val="24"/>
          <w:szCs w:val="24"/>
        </w:rPr>
        <w:t>-structure</w:t>
      </w:r>
      <w:r w:rsidR="00A04653" w:rsidRPr="00067E97">
        <w:rPr>
          <w:rFonts w:asciiTheme="minorBidi" w:hAnsiTheme="minorBidi"/>
          <w:b/>
          <w:bCs/>
          <w:sz w:val="24"/>
          <w:szCs w:val="24"/>
        </w:rPr>
        <w:t xml:space="preserve"> identification</w:t>
      </w:r>
    </w:p>
    <w:p w14:paraId="67A54FEA" w14:textId="4427641B" w:rsidR="00F327BC" w:rsidRDefault="00F327BC" w:rsidP="00067E97">
      <w:pPr>
        <w:pStyle w:val="ListParagraph"/>
        <w:numPr>
          <w:ilvl w:val="1"/>
          <w:numId w:val="3"/>
        </w:numPr>
        <w:spacing w:before="120" w:line="480" w:lineRule="auto"/>
        <w:rPr>
          <w:rFonts w:asciiTheme="minorBidi" w:hAnsiTheme="minorBidi"/>
          <w:b/>
          <w:bCs/>
          <w:sz w:val="24"/>
          <w:szCs w:val="24"/>
        </w:rPr>
      </w:pPr>
      <w:r>
        <w:rPr>
          <w:rFonts w:asciiTheme="minorBidi" w:hAnsiTheme="minorBidi"/>
          <w:b/>
          <w:bCs/>
          <w:sz w:val="24"/>
          <w:szCs w:val="24"/>
        </w:rPr>
        <w:t xml:space="preserve"> Variable-Reduction test</w:t>
      </w:r>
    </w:p>
    <w:p w14:paraId="58E39264" w14:textId="61B59588" w:rsidR="00067E97" w:rsidRPr="00414DD3" w:rsidRDefault="001E36A3" w:rsidP="00A82B16">
      <w:pPr>
        <w:pStyle w:val="pf0"/>
        <w:numPr>
          <w:ilvl w:val="0"/>
          <w:numId w:val="3"/>
        </w:numPr>
        <w:spacing w:before="120" w:beforeAutospacing="0" w:line="480" w:lineRule="auto"/>
        <w:jc w:val="both"/>
        <w:rPr>
          <w:rFonts w:asciiTheme="minorBidi" w:hAnsiTheme="minorBidi" w:cstheme="minorBidi"/>
          <w:b/>
          <w:bCs/>
        </w:rPr>
      </w:pPr>
      <w:r w:rsidRPr="001E36A3">
        <w:rPr>
          <w:rFonts w:asciiTheme="minorBidi" w:hAnsiTheme="minorBidi"/>
          <w:b/>
          <w:bCs/>
        </w:rPr>
        <w:t>Isocitric acid and the u</w:t>
      </w:r>
      <w:r>
        <w:rPr>
          <w:rFonts w:asciiTheme="minorBidi" w:hAnsiTheme="minorBidi"/>
          <w:b/>
          <w:bCs/>
        </w:rPr>
        <w:t>n</w:t>
      </w:r>
      <w:r w:rsidRPr="001E36A3">
        <w:rPr>
          <w:rFonts w:asciiTheme="minorBidi" w:hAnsiTheme="minorBidi"/>
          <w:b/>
          <w:bCs/>
        </w:rPr>
        <w:t>derlyi</w:t>
      </w:r>
      <w:r>
        <w:rPr>
          <w:rFonts w:asciiTheme="minorBidi" w:hAnsiTheme="minorBidi"/>
          <w:b/>
          <w:bCs/>
        </w:rPr>
        <w:t>n</w:t>
      </w:r>
      <w:r w:rsidRPr="001E36A3">
        <w:rPr>
          <w:rFonts w:asciiTheme="minorBidi" w:hAnsiTheme="minorBidi"/>
          <w:b/>
          <w:bCs/>
        </w:rPr>
        <w:t>g connectivity</w:t>
      </w:r>
    </w:p>
    <w:p w14:paraId="4E0972A5" w14:textId="598F2104" w:rsidR="00414DD3" w:rsidRDefault="007D4C59" w:rsidP="00A82B16">
      <w:pPr>
        <w:pStyle w:val="pf0"/>
        <w:numPr>
          <w:ilvl w:val="0"/>
          <w:numId w:val="3"/>
        </w:numPr>
        <w:spacing w:before="120" w:beforeAutospacing="0" w:line="480" w:lineRule="auto"/>
        <w:jc w:val="both"/>
        <w:rPr>
          <w:rFonts w:asciiTheme="minorBidi" w:hAnsiTheme="minorBidi" w:cstheme="minorBidi"/>
          <w:b/>
          <w:bCs/>
        </w:rPr>
      </w:pPr>
      <w:r>
        <w:rPr>
          <w:rFonts w:asciiTheme="minorBidi" w:hAnsiTheme="minorBidi"/>
          <w:b/>
          <w:bCs/>
          <w:sz w:val="22"/>
          <w:szCs w:val="22"/>
        </w:rPr>
        <w:t>T</w:t>
      </w:r>
      <w:r w:rsidR="00414DD3" w:rsidRPr="00414DD3">
        <w:rPr>
          <w:rFonts w:asciiTheme="minorBidi" w:hAnsiTheme="minorBidi"/>
          <w:b/>
          <w:bCs/>
          <w:sz w:val="22"/>
          <w:szCs w:val="22"/>
        </w:rPr>
        <w:t xml:space="preserve">he </w:t>
      </w:r>
      <w:r w:rsidR="00414DD3" w:rsidRPr="00414DD3">
        <w:rPr>
          <w:rFonts w:asciiTheme="minorBidi" w:hAnsiTheme="minorBidi"/>
          <w:b/>
          <w:bCs/>
        </w:rPr>
        <w:t xml:space="preserve">BONS </w:t>
      </w:r>
      <w:r w:rsidR="00414DD3" w:rsidRPr="00414DD3">
        <w:rPr>
          <w:rFonts w:asciiTheme="minorBidi" w:hAnsiTheme="minorBidi"/>
          <w:b/>
          <w:bCs/>
          <w:sz w:val="22"/>
          <w:szCs w:val="22"/>
        </w:rPr>
        <w:t>network with a focus on glycocholic</w:t>
      </w:r>
      <w:r w:rsidR="00414DD3" w:rsidRPr="00414DD3">
        <w:rPr>
          <w:rFonts w:asciiTheme="minorBidi" w:hAnsiTheme="minorBidi"/>
          <w:b/>
          <w:bCs/>
        </w:rPr>
        <w:t xml:space="preserve"> acid</w:t>
      </w:r>
    </w:p>
    <w:p w14:paraId="40ACAB48" w14:textId="29DD67A8" w:rsidR="00067E97" w:rsidRDefault="00067E97" w:rsidP="00067E97">
      <w:pPr>
        <w:pStyle w:val="pf0"/>
        <w:spacing w:before="120" w:beforeAutospacing="0" w:line="480" w:lineRule="auto"/>
        <w:jc w:val="both"/>
        <w:rPr>
          <w:rFonts w:asciiTheme="minorBidi" w:hAnsiTheme="minorBidi" w:cstheme="minorBidi"/>
          <w:b/>
          <w:bCs/>
        </w:rPr>
      </w:pPr>
    </w:p>
    <w:p w14:paraId="2DDE6848" w14:textId="48535A3D" w:rsidR="00AF0399" w:rsidRDefault="00AF0399" w:rsidP="00067E97">
      <w:pPr>
        <w:pStyle w:val="pf0"/>
        <w:spacing w:before="120" w:beforeAutospacing="0" w:line="480" w:lineRule="auto"/>
        <w:jc w:val="both"/>
        <w:rPr>
          <w:rFonts w:asciiTheme="minorBidi" w:hAnsiTheme="minorBidi" w:cstheme="minorBidi"/>
          <w:b/>
          <w:bCs/>
        </w:rPr>
      </w:pPr>
    </w:p>
    <w:p w14:paraId="40B9A5F6" w14:textId="2D209301" w:rsidR="00AF0399" w:rsidRDefault="00AF0399" w:rsidP="00067E97">
      <w:pPr>
        <w:pStyle w:val="pf0"/>
        <w:spacing w:before="120" w:beforeAutospacing="0" w:line="480" w:lineRule="auto"/>
        <w:jc w:val="both"/>
        <w:rPr>
          <w:rFonts w:asciiTheme="minorBidi" w:hAnsiTheme="minorBidi" w:cstheme="minorBidi"/>
          <w:b/>
          <w:bCs/>
        </w:rPr>
      </w:pPr>
    </w:p>
    <w:p w14:paraId="55B44F86" w14:textId="015BB06F" w:rsidR="00AF0399" w:rsidRDefault="00AF0399" w:rsidP="00067E97">
      <w:pPr>
        <w:pStyle w:val="pf0"/>
        <w:spacing w:before="120" w:beforeAutospacing="0" w:line="480" w:lineRule="auto"/>
        <w:jc w:val="both"/>
        <w:rPr>
          <w:rFonts w:asciiTheme="minorBidi" w:hAnsiTheme="minorBidi" w:cstheme="minorBidi"/>
          <w:b/>
          <w:bCs/>
        </w:rPr>
      </w:pPr>
    </w:p>
    <w:p w14:paraId="358C4341" w14:textId="77777777" w:rsidR="00AF0399" w:rsidRDefault="00AF0399" w:rsidP="00067E97">
      <w:pPr>
        <w:pStyle w:val="pf0"/>
        <w:spacing w:before="120" w:beforeAutospacing="0" w:line="480" w:lineRule="auto"/>
        <w:jc w:val="both"/>
        <w:rPr>
          <w:rFonts w:asciiTheme="minorBidi" w:hAnsiTheme="minorBidi" w:cstheme="minorBidi"/>
          <w:b/>
          <w:bCs/>
        </w:rPr>
      </w:pPr>
    </w:p>
    <w:p w14:paraId="4BB58358" w14:textId="0D7C9AF7" w:rsidR="00067E97" w:rsidRDefault="00067E97" w:rsidP="00067E97">
      <w:pPr>
        <w:pStyle w:val="pf0"/>
        <w:spacing w:before="120" w:beforeAutospacing="0" w:line="480" w:lineRule="auto"/>
        <w:jc w:val="both"/>
        <w:rPr>
          <w:rFonts w:asciiTheme="minorBidi" w:hAnsiTheme="minorBidi" w:cstheme="minorBidi"/>
          <w:b/>
          <w:bCs/>
        </w:rPr>
      </w:pPr>
    </w:p>
    <w:p w14:paraId="0051C0F6" w14:textId="77777777" w:rsidR="00067E97" w:rsidRPr="00067E97" w:rsidRDefault="00067E97" w:rsidP="00067E97">
      <w:pPr>
        <w:pStyle w:val="pf0"/>
        <w:spacing w:before="120" w:beforeAutospacing="0" w:line="480" w:lineRule="auto"/>
        <w:jc w:val="both"/>
        <w:rPr>
          <w:rFonts w:asciiTheme="minorBidi" w:hAnsiTheme="minorBidi" w:cstheme="minorBidi"/>
          <w:b/>
          <w:bCs/>
        </w:rPr>
      </w:pPr>
    </w:p>
    <w:p w14:paraId="1CC1AD78" w14:textId="579563FF" w:rsidR="00A04653" w:rsidRDefault="00A04653" w:rsidP="009D3065">
      <w:pPr>
        <w:pStyle w:val="pf0"/>
        <w:numPr>
          <w:ilvl w:val="0"/>
          <w:numId w:val="6"/>
        </w:numPr>
        <w:spacing w:before="120" w:beforeAutospacing="0" w:line="480" w:lineRule="auto"/>
        <w:jc w:val="both"/>
        <w:rPr>
          <w:rFonts w:asciiTheme="minorBidi" w:hAnsiTheme="minorBidi" w:cstheme="minorBidi"/>
        </w:rPr>
      </w:pPr>
      <w:r w:rsidRPr="00067E97">
        <w:rPr>
          <w:rFonts w:asciiTheme="minorBidi" w:hAnsiTheme="minorBidi" w:cstheme="minorBidi"/>
          <w:b/>
          <w:bCs/>
        </w:rPr>
        <w:t>Table S1.</w:t>
      </w:r>
      <w:r w:rsidRPr="00067E97">
        <w:rPr>
          <w:rFonts w:asciiTheme="minorBidi" w:hAnsiTheme="minorBidi" w:cstheme="minorBidi"/>
        </w:rPr>
        <w:t xml:space="preserve"> </w:t>
      </w:r>
      <w:r w:rsidRPr="00067E97">
        <w:rPr>
          <w:rFonts w:asciiTheme="minorBidi" w:hAnsiTheme="minorBidi" w:cstheme="minorBidi"/>
          <w:b/>
          <w:bCs/>
        </w:rPr>
        <w:t>Baseline characteristics of the study sample</w:t>
      </w:r>
      <w:r w:rsidRPr="00067E97">
        <w:rPr>
          <w:rFonts w:asciiTheme="minorBidi" w:hAnsiTheme="minorBidi" w:cstheme="minorBidi"/>
        </w:rPr>
        <w:t xml:space="preserve"> </w:t>
      </w:r>
    </w:p>
    <w:p w14:paraId="53008FB1" w14:textId="4DDDA51E" w:rsidR="009D3065" w:rsidRPr="009D3065" w:rsidRDefault="009D3065" w:rsidP="009D3065">
      <w:pPr>
        <w:pStyle w:val="pf0"/>
        <w:spacing w:before="0" w:beforeAutospacing="0" w:after="0" w:afterAutospacing="0" w:line="360" w:lineRule="auto"/>
        <w:ind w:left="1800" w:right="1800"/>
        <w:jc w:val="both"/>
        <w:rPr>
          <w:rFonts w:asciiTheme="minorBidi" w:hAnsiTheme="minorBidi" w:cstheme="minorBidi"/>
        </w:rPr>
      </w:pPr>
      <w:r>
        <w:rPr>
          <w:rFonts w:asciiTheme="minorBidi" w:hAnsiTheme="minorBidi" w:cstheme="minorBidi"/>
          <w:b/>
          <w:bCs/>
        </w:rPr>
        <w:t xml:space="preserve">Table S1. </w:t>
      </w:r>
      <w:r w:rsidRPr="00067E97">
        <w:rPr>
          <w:rFonts w:asciiTheme="minorBidi" w:hAnsiTheme="minorBidi" w:cstheme="minorBidi"/>
          <w:b/>
          <w:bCs/>
        </w:rPr>
        <w:t>Baseline characteristics of the study sample</w:t>
      </w:r>
      <w:r w:rsidRPr="00067E97">
        <w:rPr>
          <w:rFonts w:asciiTheme="minorBidi" w:hAnsiTheme="minorBidi" w:cstheme="minorBidi"/>
        </w:rPr>
        <w:t xml:space="preserve"> </w:t>
      </w:r>
      <w:r>
        <w:rPr>
          <w:rFonts w:asciiTheme="minorBidi" w:hAnsiTheme="minorBidi" w:cstheme="minorBidi"/>
        </w:rPr>
        <w:t xml:space="preserve">in this study. </w:t>
      </w:r>
      <w:r w:rsidRPr="00067E97">
        <w:rPr>
          <w:rFonts w:asciiTheme="minorBidi" w:hAnsiTheme="minorBidi"/>
        </w:rPr>
        <w:t xml:space="preserve">Numbers in parentheses </w:t>
      </w:r>
      <w:r>
        <w:rPr>
          <w:rFonts w:asciiTheme="minorBidi" w:hAnsiTheme="minorBidi"/>
        </w:rPr>
        <w:t xml:space="preserve">except percent </w:t>
      </w:r>
      <w:r w:rsidRPr="00067E97">
        <w:rPr>
          <w:rFonts w:asciiTheme="minorBidi" w:hAnsiTheme="minorBidi"/>
        </w:rPr>
        <w:t>refer to standard deviations unless specified</w:t>
      </w:r>
      <w:r>
        <w:rPr>
          <w:rFonts w:asciiTheme="minorBidi" w:hAnsiTheme="minorBidi"/>
        </w:rPr>
        <w:t>.</w:t>
      </w:r>
    </w:p>
    <w:tbl>
      <w:tblPr>
        <w:tblStyle w:val="TableGrid"/>
        <w:tblpPr w:leftFromText="180" w:rightFromText="180" w:vertAnchor="text" w:horzAnchor="margin" w:tblpXSpec="center" w:tblpY="53"/>
        <w:tblW w:w="0" w:type="auto"/>
        <w:tblLook w:val="04A0" w:firstRow="1" w:lastRow="0" w:firstColumn="1" w:lastColumn="0" w:noHBand="0" w:noVBand="1"/>
      </w:tblPr>
      <w:tblGrid>
        <w:gridCol w:w="4675"/>
        <w:gridCol w:w="2430"/>
      </w:tblGrid>
      <w:tr w:rsidR="001813DD" w:rsidRPr="00067E97" w14:paraId="1EF5C3AF" w14:textId="77777777" w:rsidTr="001813DD">
        <w:trPr>
          <w:trHeight w:val="295"/>
        </w:trPr>
        <w:tc>
          <w:tcPr>
            <w:tcW w:w="4675" w:type="dxa"/>
          </w:tcPr>
          <w:p w14:paraId="54786A2B" w14:textId="7EE184B0" w:rsidR="001813DD" w:rsidRPr="001813DD" w:rsidRDefault="001813DD" w:rsidP="00067E97">
            <w:pPr>
              <w:spacing w:before="120"/>
              <w:jc w:val="both"/>
              <w:rPr>
                <w:rFonts w:asciiTheme="minorBidi" w:hAnsiTheme="minorBidi"/>
                <w:b/>
                <w:bCs/>
                <w:sz w:val="24"/>
                <w:szCs w:val="24"/>
              </w:rPr>
            </w:pPr>
            <w:r>
              <w:rPr>
                <w:rFonts w:asciiTheme="minorBidi" w:hAnsiTheme="minorBidi"/>
                <w:b/>
                <w:bCs/>
              </w:rPr>
              <w:t>C</w:t>
            </w:r>
            <w:r w:rsidRPr="001813DD">
              <w:rPr>
                <w:rFonts w:asciiTheme="minorBidi" w:hAnsiTheme="minorBidi"/>
                <w:b/>
                <w:bCs/>
              </w:rPr>
              <w:t>haracteristics</w:t>
            </w:r>
          </w:p>
        </w:tc>
        <w:tc>
          <w:tcPr>
            <w:tcW w:w="2430" w:type="dxa"/>
          </w:tcPr>
          <w:p w14:paraId="2A8DDA20" w14:textId="573FDAEF" w:rsidR="001813DD" w:rsidRPr="001813DD" w:rsidRDefault="001813DD" w:rsidP="00067E97">
            <w:pPr>
              <w:spacing w:before="120"/>
              <w:jc w:val="both"/>
              <w:rPr>
                <w:rFonts w:asciiTheme="minorBidi" w:hAnsiTheme="minorBidi"/>
                <w:b/>
                <w:bCs/>
                <w:sz w:val="24"/>
                <w:szCs w:val="24"/>
              </w:rPr>
            </w:pPr>
            <w:r w:rsidRPr="001813DD">
              <w:rPr>
                <w:rFonts w:asciiTheme="minorBidi" w:hAnsiTheme="minorBidi"/>
                <w:b/>
                <w:bCs/>
                <w:sz w:val="24"/>
                <w:szCs w:val="24"/>
              </w:rPr>
              <w:t xml:space="preserve">Number of samples </w:t>
            </w:r>
          </w:p>
        </w:tc>
      </w:tr>
      <w:tr w:rsidR="00A04653" w:rsidRPr="00067E97" w14:paraId="2C8BC443" w14:textId="77777777" w:rsidTr="001813DD">
        <w:trPr>
          <w:trHeight w:val="295"/>
        </w:trPr>
        <w:tc>
          <w:tcPr>
            <w:tcW w:w="4675" w:type="dxa"/>
          </w:tcPr>
          <w:p w14:paraId="4D288E10"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Women</w:t>
            </w:r>
          </w:p>
        </w:tc>
        <w:tc>
          <w:tcPr>
            <w:tcW w:w="2430" w:type="dxa"/>
          </w:tcPr>
          <w:p w14:paraId="27DEE1DE" w14:textId="4853C0B5" w:rsidR="00A04653" w:rsidRPr="00067E97" w:rsidRDefault="00807AD1" w:rsidP="00067E97">
            <w:pPr>
              <w:spacing w:before="120"/>
              <w:jc w:val="both"/>
              <w:rPr>
                <w:rFonts w:asciiTheme="minorBidi" w:hAnsiTheme="minorBidi"/>
                <w:sz w:val="24"/>
                <w:szCs w:val="24"/>
              </w:rPr>
            </w:pPr>
            <w:r>
              <w:rPr>
                <w:rFonts w:asciiTheme="minorBidi" w:hAnsiTheme="minorBidi"/>
                <w:sz w:val="24"/>
                <w:szCs w:val="24"/>
              </w:rPr>
              <w:t>N = 1,314 (</w:t>
            </w:r>
            <w:r w:rsidR="00A04653" w:rsidRPr="00067E97">
              <w:rPr>
                <w:rFonts w:asciiTheme="minorBidi" w:hAnsiTheme="minorBidi"/>
                <w:sz w:val="24"/>
                <w:szCs w:val="24"/>
              </w:rPr>
              <w:t>52%</w:t>
            </w:r>
            <w:r>
              <w:rPr>
                <w:rFonts w:asciiTheme="minorBidi" w:hAnsiTheme="minorBidi"/>
                <w:sz w:val="24"/>
                <w:szCs w:val="24"/>
              </w:rPr>
              <w:t>)</w:t>
            </w:r>
          </w:p>
        </w:tc>
      </w:tr>
      <w:tr w:rsidR="00A04653" w:rsidRPr="00067E97" w14:paraId="3E000E2F" w14:textId="77777777" w:rsidTr="001813DD">
        <w:trPr>
          <w:trHeight w:val="295"/>
        </w:trPr>
        <w:tc>
          <w:tcPr>
            <w:tcW w:w="4675" w:type="dxa"/>
          </w:tcPr>
          <w:p w14:paraId="08F5042D"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 xml:space="preserve">Age </w:t>
            </w:r>
          </w:p>
        </w:tc>
        <w:tc>
          <w:tcPr>
            <w:tcW w:w="2430" w:type="dxa"/>
          </w:tcPr>
          <w:p w14:paraId="3AADF0EA"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55 (10)</w:t>
            </w:r>
          </w:p>
        </w:tc>
      </w:tr>
      <w:tr w:rsidR="00A04653" w:rsidRPr="00067E97" w14:paraId="40A15792" w14:textId="77777777" w:rsidTr="001813DD">
        <w:trPr>
          <w:trHeight w:val="295"/>
        </w:trPr>
        <w:tc>
          <w:tcPr>
            <w:tcW w:w="4675" w:type="dxa"/>
          </w:tcPr>
          <w:p w14:paraId="232CFE5D"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Weight (kg)</w:t>
            </w:r>
          </w:p>
        </w:tc>
        <w:tc>
          <w:tcPr>
            <w:tcW w:w="2430" w:type="dxa"/>
          </w:tcPr>
          <w:p w14:paraId="1026EEBC"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78 (14)</w:t>
            </w:r>
          </w:p>
        </w:tc>
      </w:tr>
      <w:tr w:rsidR="00A04653" w:rsidRPr="00067E97" w14:paraId="6DB01D55" w14:textId="77777777" w:rsidTr="001813DD">
        <w:trPr>
          <w:trHeight w:val="295"/>
        </w:trPr>
        <w:tc>
          <w:tcPr>
            <w:tcW w:w="4675" w:type="dxa"/>
          </w:tcPr>
          <w:p w14:paraId="08A95B80" w14:textId="4D3747B0"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H</w:t>
            </w:r>
            <w:r w:rsidR="00EA78C5" w:rsidRPr="00067E97">
              <w:rPr>
                <w:rFonts w:asciiTheme="minorBidi" w:hAnsiTheme="minorBidi"/>
                <w:sz w:val="24"/>
                <w:szCs w:val="24"/>
              </w:rPr>
              <w:t>e</w:t>
            </w:r>
            <w:r w:rsidRPr="00067E97">
              <w:rPr>
                <w:rFonts w:asciiTheme="minorBidi" w:hAnsiTheme="minorBidi"/>
                <w:sz w:val="24"/>
                <w:szCs w:val="24"/>
              </w:rPr>
              <w:t>ight (m)</w:t>
            </w:r>
          </w:p>
        </w:tc>
        <w:tc>
          <w:tcPr>
            <w:tcW w:w="2430" w:type="dxa"/>
          </w:tcPr>
          <w:p w14:paraId="642800B5"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168 (6)</w:t>
            </w:r>
          </w:p>
        </w:tc>
      </w:tr>
      <w:tr w:rsidR="00A04653" w:rsidRPr="00067E97" w14:paraId="73182C28" w14:textId="77777777" w:rsidTr="001813DD">
        <w:trPr>
          <w:trHeight w:val="295"/>
        </w:trPr>
        <w:tc>
          <w:tcPr>
            <w:tcW w:w="4675" w:type="dxa"/>
          </w:tcPr>
          <w:p w14:paraId="18623034"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 xml:space="preserve">Smoking </w:t>
            </w:r>
          </w:p>
        </w:tc>
        <w:tc>
          <w:tcPr>
            <w:tcW w:w="2430" w:type="dxa"/>
          </w:tcPr>
          <w:p w14:paraId="09E00B24" w14:textId="58B666C1" w:rsidR="00A04653" w:rsidRPr="00067E97" w:rsidRDefault="00807AD1" w:rsidP="00067E97">
            <w:pPr>
              <w:spacing w:before="120"/>
              <w:jc w:val="both"/>
              <w:rPr>
                <w:rFonts w:asciiTheme="minorBidi" w:hAnsiTheme="minorBidi"/>
                <w:sz w:val="24"/>
                <w:szCs w:val="24"/>
              </w:rPr>
            </w:pPr>
            <w:r>
              <w:rPr>
                <w:rFonts w:asciiTheme="minorBidi" w:hAnsiTheme="minorBidi"/>
                <w:sz w:val="24"/>
                <w:szCs w:val="24"/>
              </w:rPr>
              <w:t>N = 455 (</w:t>
            </w:r>
            <w:r w:rsidR="00A04653" w:rsidRPr="00067E97">
              <w:rPr>
                <w:rFonts w:asciiTheme="minorBidi" w:hAnsiTheme="minorBidi"/>
                <w:sz w:val="24"/>
                <w:szCs w:val="24"/>
              </w:rPr>
              <w:t>18%</w:t>
            </w:r>
            <w:r>
              <w:rPr>
                <w:rFonts w:asciiTheme="minorBidi" w:hAnsiTheme="minorBidi"/>
                <w:sz w:val="24"/>
                <w:szCs w:val="24"/>
              </w:rPr>
              <w:t>)</w:t>
            </w:r>
          </w:p>
        </w:tc>
      </w:tr>
      <w:tr w:rsidR="00A04653" w:rsidRPr="00067E97" w14:paraId="0513A903" w14:textId="77777777" w:rsidTr="001813DD">
        <w:trPr>
          <w:trHeight w:val="295"/>
        </w:trPr>
        <w:tc>
          <w:tcPr>
            <w:tcW w:w="4675" w:type="dxa"/>
          </w:tcPr>
          <w:p w14:paraId="0162F0B3"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 xml:space="preserve">Diabetes </w:t>
            </w:r>
          </w:p>
        </w:tc>
        <w:tc>
          <w:tcPr>
            <w:tcW w:w="2430" w:type="dxa"/>
          </w:tcPr>
          <w:p w14:paraId="4BB8A15F" w14:textId="00E09CB5" w:rsidR="00A04653" w:rsidRPr="00067E97" w:rsidRDefault="00807AD1" w:rsidP="00067E97">
            <w:pPr>
              <w:spacing w:before="120"/>
              <w:jc w:val="both"/>
              <w:rPr>
                <w:rFonts w:asciiTheme="minorBidi" w:hAnsiTheme="minorBidi"/>
                <w:sz w:val="24"/>
                <w:szCs w:val="24"/>
              </w:rPr>
            </w:pPr>
            <w:r>
              <w:rPr>
                <w:rFonts w:asciiTheme="minorBidi" w:hAnsiTheme="minorBidi"/>
                <w:sz w:val="24"/>
                <w:szCs w:val="24"/>
              </w:rPr>
              <w:t>N = 152 (</w:t>
            </w:r>
            <w:r w:rsidR="00A04653" w:rsidRPr="00067E97">
              <w:rPr>
                <w:rFonts w:asciiTheme="minorBidi" w:hAnsiTheme="minorBidi"/>
                <w:sz w:val="24"/>
                <w:szCs w:val="24"/>
              </w:rPr>
              <w:t>6%</w:t>
            </w:r>
            <w:r>
              <w:rPr>
                <w:rFonts w:asciiTheme="minorBidi" w:hAnsiTheme="minorBidi"/>
                <w:sz w:val="24"/>
                <w:szCs w:val="24"/>
              </w:rPr>
              <w:t>)</w:t>
            </w:r>
          </w:p>
        </w:tc>
      </w:tr>
      <w:tr w:rsidR="00A04653" w:rsidRPr="00067E97" w14:paraId="0717403C" w14:textId="77777777" w:rsidTr="001813DD">
        <w:trPr>
          <w:trHeight w:val="295"/>
        </w:trPr>
        <w:tc>
          <w:tcPr>
            <w:tcW w:w="4675" w:type="dxa"/>
          </w:tcPr>
          <w:p w14:paraId="5E477B74"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Systolic blood pressure (mmHg)</w:t>
            </w:r>
          </w:p>
        </w:tc>
        <w:tc>
          <w:tcPr>
            <w:tcW w:w="2430" w:type="dxa"/>
          </w:tcPr>
          <w:p w14:paraId="77580726"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126 (19)</w:t>
            </w:r>
          </w:p>
        </w:tc>
      </w:tr>
      <w:tr w:rsidR="00A04653" w:rsidRPr="00067E97" w14:paraId="6C4F4923" w14:textId="77777777" w:rsidTr="001813DD">
        <w:trPr>
          <w:trHeight w:val="295"/>
        </w:trPr>
        <w:tc>
          <w:tcPr>
            <w:tcW w:w="4675" w:type="dxa"/>
          </w:tcPr>
          <w:p w14:paraId="2207E1FD"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Prevalent myocardial infarction</w:t>
            </w:r>
          </w:p>
        </w:tc>
        <w:tc>
          <w:tcPr>
            <w:tcW w:w="2430" w:type="dxa"/>
          </w:tcPr>
          <w:p w14:paraId="2375767C" w14:textId="6B0A940C" w:rsidR="00A04653" w:rsidRPr="00067E97" w:rsidRDefault="00807AD1" w:rsidP="00067E97">
            <w:pPr>
              <w:spacing w:before="120"/>
              <w:jc w:val="both"/>
              <w:rPr>
                <w:rFonts w:asciiTheme="minorBidi" w:hAnsiTheme="minorBidi"/>
                <w:sz w:val="24"/>
                <w:szCs w:val="24"/>
              </w:rPr>
            </w:pPr>
            <w:r>
              <w:rPr>
                <w:rFonts w:asciiTheme="minorBidi" w:hAnsiTheme="minorBidi"/>
                <w:sz w:val="24"/>
                <w:szCs w:val="24"/>
              </w:rPr>
              <w:t>N = 25 (</w:t>
            </w:r>
            <w:r w:rsidR="00A04653" w:rsidRPr="00067E97">
              <w:rPr>
                <w:rFonts w:asciiTheme="minorBidi" w:hAnsiTheme="minorBidi"/>
                <w:sz w:val="24"/>
                <w:szCs w:val="24"/>
              </w:rPr>
              <w:t>1%</w:t>
            </w:r>
            <w:r>
              <w:rPr>
                <w:rFonts w:asciiTheme="minorBidi" w:hAnsiTheme="minorBidi"/>
                <w:sz w:val="24"/>
                <w:szCs w:val="24"/>
              </w:rPr>
              <w:t>)</w:t>
            </w:r>
          </w:p>
        </w:tc>
      </w:tr>
      <w:tr w:rsidR="00A04653" w:rsidRPr="00067E97" w14:paraId="45FC69E5" w14:textId="77777777" w:rsidTr="001813DD">
        <w:trPr>
          <w:trHeight w:val="295"/>
        </w:trPr>
        <w:tc>
          <w:tcPr>
            <w:tcW w:w="4675" w:type="dxa"/>
          </w:tcPr>
          <w:p w14:paraId="38B5B89B"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High-density lipoprotein cholesterol concentration (mg/dl)</w:t>
            </w:r>
          </w:p>
        </w:tc>
        <w:tc>
          <w:tcPr>
            <w:tcW w:w="2430" w:type="dxa"/>
          </w:tcPr>
          <w:p w14:paraId="2E77D393"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49 (13)</w:t>
            </w:r>
          </w:p>
        </w:tc>
      </w:tr>
      <w:tr w:rsidR="00A04653" w:rsidRPr="00067E97" w14:paraId="79EB72B0" w14:textId="77777777" w:rsidTr="001813DD">
        <w:trPr>
          <w:trHeight w:val="295"/>
        </w:trPr>
        <w:tc>
          <w:tcPr>
            <w:tcW w:w="4675" w:type="dxa"/>
          </w:tcPr>
          <w:p w14:paraId="7F775892"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Low-density lipoprotein cholesterol concentration (mg/dl)</w:t>
            </w:r>
          </w:p>
        </w:tc>
        <w:tc>
          <w:tcPr>
            <w:tcW w:w="2430" w:type="dxa"/>
          </w:tcPr>
          <w:p w14:paraId="208DC5D6"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127 (32)</w:t>
            </w:r>
          </w:p>
        </w:tc>
      </w:tr>
      <w:tr w:rsidR="00A04653" w:rsidRPr="00067E97" w14:paraId="4AA4DF5D" w14:textId="77777777" w:rsidTr="001813DD">
        <w:trPr>
          <w:trHeight w:val="295"/>
        </w:trPr>
        <w:tc>
          <w:tcPr>
            <w:tcW w:w="4675" w:type="dxa"/>
          </w:tcPr>
          <w:p w14:paraId="589BC2DF" w14:textId="77777777" w:rsidR="00A04653" w:rsidRPr="00067E97" w:rsidRDefault="00A04653" w:rsidP="00067E97">
            <w:pPr>
              <w:spacing w:before="120"/>
              <w:jc w:val="both"/>
              <w:rPr>
                <w:rFonts w:asciiTheme="minorBidi" w:hAnsiTheme="minorBidi"/>
                <w:sz w:val="24"/>
                <w:szCs w:val="24"/>
              </w:rPr>
            </w:pPr>
            <w:r w:rsidRPr="00067E97">
              <w:rPr>
                <w:rFonts w:asciiTheme="minorBidi" w:hAnsiTheme="minorBidi"/>
                <w:sz w:val="24"/>
                <w:szCs w:val="24"/>
              </w:rPr>
              <w:t xml:space="preserve">Education </w:t>
            </w:r>
          </w:p>
          <w:p w14:paraId="6A8FC571" w14:textId="77777777" w:rsidR="00A04653" w:rsidRPr="00067E97" w:rsidRDefault="00A04653" w:rsidP="00067E97">
            <w:pPr>
              <w:spacing w:before="120"/>
              <w:ind w:left="720"/>
              <w:jc w:val="both"/>
              <w:rPr>
                <w:rFonts w:asciiTheme="minorBidi" w:hAnsiTheme="minorBidi"/>
                <w:sz w:val="24"/>
                <w:szCs w:val="24"/>
              </w:rPr>
            </w:pPr>
            <w:r w:rsidRPr="00067E97">
              <w:rPr>
                <w:rFonts w:asciiTheme="minorBidi" w:hAnsiTheme="minorBidi"/>
                <w:sz w:val="24"/>
                <w:szCs w:val="24"/>
              </w:rPr>
              <w:t>No high school degree</w:t>
            </w:r>
          </w:p>
          <w:p w14:paraId="2896777D" w14:textId="77777777" w:rsidR="00A04653" w:rsidRPr="00067E97" w:rsidRDefault="00A04653" w:rsidP="00067E97">
            <w:pPr>
              <w:spacing w:before="120"/>
              <w:ind w:left="720"/>
              <w:jc w:val="both"/>
              <w:rPr>
                <w:rFonts w:asciiTheme="minorBidi" w:hAnsiTheme="minorBidi"/>
                <w:sz w:val="24"/>
                <w:szCs w:val="24"/>
              </w:rPr>
            </w:pPr>
            <w:r w:rsidRPr="00067E97">
              <w:rPr>
                <w:rFonts w:asciiTheme="minorBidi" w:hAnsiTheme="minorBidi"/>
                <w:sz w:val="24"/>
                <w:szCs w:val="24"/>
              </w:rPr>
              <w:t>High school degree</w:t>
            </w:r>
          </w:p>
          <w:p w14:paraId="2F72BE6B" w14:textId="77777777" w:rsidR="00A04653" w:rsidRPr="00067E97" w:rsidRDefault="00A04653" w:rsidP="00067E97">
            <w:pPr>
              <w:spacing w:before="120"/>
              <w:ind w:left="720"/>
              <w:jc w:val="both"/>
              <w:rPr>
                <w:rFonts w:asciiTheme="minorBidi" w:hAnsiTheme="minorBidi"/>
                <w:sz w:val="24"/>
                <w:szCs w:val="24"/>
              </w:rPr>
            </w:pPr>
            <w:r w:rsidRPr="00067E97">
              <w:rPr>
                <w:rFonts w:asciiTheme="minorBidi" w:hAnsiTheme="minorBidi"/>
                <w:sz w:val="24"/>
                <w:szCs w:val="24"/>
              </w:rPr>
              <w:t xml:space="preserve">Some college degree </w:t>
            </w:r>
          </w:p>
          <w:p w14:paraId="5FFFD7B3" w14:textId="77777777" w:rsidR="00A04653" w:rsidRPr="00067E97" w:rsidRDefault="00A04653" w:rsidP="00067E97">
            <w:pPr>
              <w:spacing w:before="120"/>
              <w:ind w:left="720"/>
              <w:jc w:val="both"/>
              <w:rPr>
                <w:rFonts w:asciiTheme="minorBidi" w:hAnsiTheme="minorBidi"/>
                <w:sz w:val="24"/>
                <w:szCs w:val="24"/>
              </w:rPr>
            </w:pPr>
            <w:r w:rsidRPr="00067E97">
              <w:rPr>
                <w:rFonts w:asciiTheme="minorBidi" w:hAnsiTheme="minorBidi"/>
                <w:sz w:val="24"/>
                <w:szCs w:val="24"/>
              </w:rPr>
              <w:t xml:space="preserve">College degree </w:t>
            </w:r>
          </w:p>
        </w:tc>
        <w:tc>
          <w:tcPr>
            <w:tcW w:w="2430" w:type="dxa"/>
          </w:tcPr>
          <w:p w14:paraId="7502DD25" w14:textId="77777777" w:rsidR="00A04653" w:rsidRPr="00067E97" w:rsidRDefault="00A04653" w:rsidP="00067E97">
            <w:pPr>
              <w:spacing w:before="120"/>
              <w:jc w:val="both"/>
              <w:rPr>
                <w:rFonts w:asciiTheme="minorBidi" w:hAnsiTheme="minorBidi"/>
                <w:sz w:val="24"/>
                <w:szCs w:val="24"/>
              </w:rPr>
            </w:pPr>
          </w:p>
          <w:p w14:paraId="09EABC98" w14:textId="6DCA511E" w:rsidR="00A04653" w:rsidRPr="00067E97" w:rsidRDefault="00807AD1" w:rsidP="00067E97">
            <w:pPr>
              <w:spacing w:before="120"/>
              <w:jc w:val="both"/>
              <w:rPr>
                <w:rFonts w:asciiTheme="minorBidi" w:hAnsiTheme="minorBidi"/>
                <w:sz w:val="24"/>
                <w:szCs w:val="24"/>
              </w:rPr>
            </w:pPr>
            <w:r>
              <w:rPr>
                <w:rFonts w:asciiTheme="minorBidi" w:hAnsiTheme="minorBidi"/>
                <w:sz w:val="24"/>
                <w:szCs w:val="24"/>
              </w:rPr>
              <w:t>N = 139 (</w:t>
            </w:r>
            <w:r w:rsidR="00A04653" w:rsidRPr="00067E97">
              <w:rPr>
                <w:rFonts w:asciiTheme="minorBidi" w:hAnsiTheme="minorBidi"/>
                <w:sz w:val="24"/>
                <w:szCs w:val="24"/>
              </w:rPr>
              <w:t>5.5%</w:t>
            </w:r>
            <w:r>
              <w:rPr>
                <w:rFonts w:asciiTheme="minorBidi" w:hAnsiTheme="minorBidi"/>
                <w:sz w:val="24"/>
                <w:szCs w:val="24"/>
              </w:rPr>
              <w:t>)</w:t>
            </w:r>
          </w:p>
          <w:p w14:paraId="0D51D948" w14:textId="2EC466D9" w:rsidR="00A04653" w:rsidRPr="00067E97" w:rsidRDefault="00807AD1" w:rsidP="00067E97">
            <w:pPr>
              <w:spacing w:before="120"/>
              <w:jc w:val="both"/>
              <w:rPr>
                <w:rFonts w:asciiTheme="minorBidi" w:hAnsiTheme="minorBidi"/>
                <w:sz w:val="24"/>
                <w:szCs w:val="24"/>
              </w:rPr>
            </w:pPr>
            <w:r>
              <w:rPr>
                <w:rFonts w:asciiTheme="minorBidi" w:hAnsiTheme="minorBidi"/>
                <w:sz w:val="24"/>
                <w:szCs w:val="24"/>
              </w:rPr>
              <w:t>N = 733 (</w:t>
            </w:r>
            <w:r w:rsidR="00A04653" w:rsidRPr="00067E97">
              <w:rPr>
                <w:rFonts w:asciiTheme="minorBidi" w:hAnsiTheme="minorBidi"/>
                <w:sz w:val="24"/>
                <w:szCs w:val="24"/>
              </w:rPr>
              <w:t>29%</w:t>
            </w:r>
            <w:r>
              <w:rPr>
                <w:rFonts w:asciiTheme="minorBidi" w:hAnsiTheme="minorBidi"/>
                <w:sz w:val="24"/>
                <w:szCs w:val="24"/>
              </w:rPr>
              <w:t>)</w:t>
            </w:r>
          </w:p>
          <w:p w14:paraId="18094C44" w14:textId="6AF3C876" w:rsidR="00A04653" w:rsidRPr="00067E97" w:rsidRDefault="00807AD1" w:rsidP="00067E97">
            <w:pPr>
              <w:spacing w:before="120"/>
              <w:jc w:val="both"/>
              <w:rPr>
                <w:rFonts w:asciiTheme="minorBidi" w:hAnsiTheme="minorBidi"/>
                <w:sz w:val="24"/>
                <w:szCs w:val="24"/>
              </w:rPr>
            </w:pPr>
            <w:r>
              <w:rPr>
                <w:rFonts w:asciiTheme="minorBidi" w:hAnsiTheme="minorBidi"/>
                <w:sz w:val="24"/>
                <w:szCs w:val="24"/>
              </w:rPr>
              <w:t>N = 695 (</w:t>
            </w:r>
            <w:r w:rsidR="00A04653" w:rsidRPr="00067E97">
              <w:rPr>
                <w:rFonts w:asciiTheme="minorBidi" w:hAnsiTheme="minorBidi"/>
                <w:sz w:val="24"/>
                <w:szCs w:val="24"/>
              </w:rPr>
              <w:t>27.5%</w:t>
            </w:r>
            <w:r>
              <w:rPr>
                <w:rFonts w:asciiTheme="minorBidi" w:hAnsiTheme="minorBidi"/>
                <w:sz w:val="24"/>
                <w:szCs w:val="24"/>
              </w:rPr>
              <w:t>)</w:t>
            </w:r>
          </w:p>
          <w:p w14:paraId="37BF8D84" w14:textId="16D9C1BE" w:rsidR="00A04653" w:rsidRPr="00067E97" w:rsidRDefault="00807AD1" w:rsidP="00067E97">
            <w:pPr>
              <w:spacing w:before="120"/>
              <w:jc w:val="both"/>
              <w:rPr>
                <w:rFonts w:asciiTheme="minorBidi" w:hAnsiTheme="minorBidi"/>
                <w:sz w:val="24"/>
                <w:szCs w:val="24"/>
              </w:rPr>
            </w:pPr>
            <w:r>
              <w:rPr>
                <w:rFonts w:asciiTheme="minorBidi" w:hAnsiTheme="minorBidi"/>
                <w:sz w:val="24"/>
                <w:szCs w:val="24"/>
              </w:rPr>
              <w:t>N = 859 (</w:t>
            </w:r>
            <w:r w:rsidR="00A04653" w:rsidRPr="00067E97">
              <w:rPr>
                <w:rFonts w:asciiTheme="minorBidi" w:hAnsiTheme="minorBidi"/>
                <w:sz w:val="24"/>
                <w:szCs w:val="24"/>
              </w:rPr>
              <w:t>34%</w:t>
            </w:r>
            <w:r>
              <w:rPr>
                <w:rFonts w:asciiTheme="minorBidi" w:hAnsiTheme="minorBidi"/>
                <w:sz w:val="24"/>
                <w:szCs w:val="24"/>
              </w:rPr>
              <w:t>)</w:t>
            </w:r>
          </w:p>
        </w:tc>
      </w:tr>
    </w:tbl>
    <w:p w14:paraId="38D435EF" w14:textId="77777777" w:rsidR="00A04653" w:rsidRPr="00067E97" w:rsidRDefault="00A04653" w:rsidP="00067E97">
      <w:pPr>
        <w:spacing w:before="120" w:line="480" w:lineRule="auto"/>
        <w:jc w:val="both"/>
        <w:rPr>
          <w:rFonts w:asciiTheme="minorBidi" w:hAnsiTheme="minorBidi"/>
          <w:sz w:val="24"/>
          <w:szCs w:val="24"/>
        </w:rPr>
      </w:pPr>
      <w:r w:rsidRPr="00067E97">
        <w:rPr>
          <w:rFonts w:asciiTheme="minorBidi" w:hAnsiTheme="minorBidi"/>
          <w:noProof/>
          <w:sz w:val="24"/>
          <w:szCs w:val="24"/>
        </w:rPr>
        <w:t xml:space="preserve"> </w:t>
      </w:r>
    </w:p>
    <w:p w14:paraId="4025ECF0" w14:textId="5B645EEE" w:rsidR="00A04653" w:rsidRDefault="00A04653" w:rsidP="00067E97">
      <w:pPr>
        <w:spacing w:before="120" w:line="480" w:lineRule="auto"/>
        <w:jc w:val="both"/>
        <w:rPr>
          <w:rFonts w:asciiTheme="minorBidi" w:hAnsiTheme="minorBidi"/>
          <w:sz w:val="24"/>
          <w:szCs w:val="24"/>
        </w:rPr>
      </w:pPr>
    </w:p>
    <w:p w14:paraId="349AA7D4" w14:textId="2C25504D" w:rsidR="00067E97" w:rsidRDefault="00067E97" w:rsidP="00067E97">
      <w:pPr>
        <w:spacing w:before="120" w:line="480" w:lineRule="auto"/>
        <w:jc w:val="both"/>
        <w:rPr>
          <w:rFonts w:asciiTheme="minorBidi" w:hAnsiTheme="minorBidi"/>
          <w:sz w:val="24"/>
          <w:szCs w:val="24"/>
        </w:rPr>
      </w:pPr>
    </w:p>
    <w:p w14:paraId="2E865D1C" w14:textId="73AECB6B" w:rsidR="00067E97" w:rsidRDefault="00067E97" w:rsidP="00067E97">
      <w:pPr>
        <w:spacing w:before="120" w:line="480" w:lineRule="auto"/>
        <w:jc w:val="both"/>
        <w:rPr>
          <w:rFonts w:asciiTheme="minorBidi" w:hAnsiTheme="minorBidi"/>
          <w:sz w:val="24"/>
          <w:szCs w:val="24"/>
        </w:rPr>
      </w:pPr>
    </w:p>
    <w:p w14:paraId="13BEB652" w14:textId="16651161" w:rsidR="00067E97" w:rsidRDefault="00067E97" w:rsidP="00067E97">
      <w:pPr>
        <w:spacing w:before="120" w:line="480" w:lineRule="auto"/>
        <w:jc w:val="both"/>
        <w:rPr>
          <w:rFonts w:asciiTheme="minorBidi" w:hAnsiTheme="minorBidi"/>
          <w:sz w:val="24"/>
          <w:szCs w:val="24"/>
        </w:rPr>
      </w:pPr>
    </w:p>
    <w:p w14:paraId="3E586272" w14:textId="5FC58FB2" w:rsidR="00067E97" w:rsidRDefault="00067E97" w:rsidP="00067E97">
      <w:pPr>
        <w:spacing w:before="120" w:line="480" w:lineRule="auto"/>
        <w:jc w:val="both"/>
        <w:rPr>
          <w:rFonts w:asciiTheme="minorBidi" w:hAnsiTheme="minorBidi"/>
          <w:sz w:val="24"/>
          <w:szCs w:val="24"/>
        </w:rPr>
      </w:pPr>
    </w:p>
    <w:p w14:paraId="3926892A" w14:textId="1668E082" w:rsidR="00067E97" w:rsidRDefault="00067E97" w:rsidP="00067E97">
      <w:pPr>
        <w:spacing w:before="120" w:line="480" w:lineRule="auto"/>
        <w:jc w:val="both"/>
        <w:rPr>
          <w:rFonts w:asciiTheme="minorBidi" w:hAnsiTheme="minorBidi"/>
          <w:sz w:val="24"/>
          <w:szCs w:val="24"/>
        </w:rPr>
      </w:pPr>
    </w:p>
    <w:p w14:paraId="5079A34F" w14:textId="657ADD7F" w:rsidR="00067E97" w:rsidRDefault="00067E97" w:rsidP="00067E97">
      <w:pPr>
        <w:spacing w:before="120" w:line="480" w:lineRule="auto"/>
        <w:jc w:val="both"/>
        <w:rPr>
          <w:rFonts w:asciiTheme="minorBidi" w:hAnsiTheme="minorBidi"/>
          <w:sz w:val="24"/>
          <w:szCs w:val="24"/>
        </w:rPr>
      </w:pPr>
    </w:p>
    <w:p w14:paraId="35903C23" w14:textId="795FCCE0" w:rsidR="00067E97" w:rsidRDefault="00067E97" w:rsidP="00067E97">
      <w:pPr>
        <w:spacing w:before="120" w:line="480" w:lineRule="auto"/>
        <w:jc w:val="both"/>
        <w:rPr>
          <w:rFonts w:asciiTheme="minorBidi" w:hAnsiTheme="minorBidi"/>
          <w:sz w:val="24"/>
          <w:szCs w:val="24"/>
        </w:rPr>
      </w:pPr>
    </w:p>
    <w:p w14:paraId="6B43961F" w14:textId="1AE32112" w:rsidR="00067E97" w:rsidRDefault="00067E97" w:rsidP="00067E97">
      <w:pPr>
        <w:spacing w:before="120" w:line="480" w:lineRule="auto"/>
        <w:jc w:val="both"/>
        <w:rPr>
          <w:rFonts w:asciiTheme="minorBidi" w:hAnsiTheme="minorBidi"/>
          <w:sz w:val="24"/>
          <w:szCs w:val="24"/>
        </w:rPr>
      </w:pPr>
    </w:p>
    <w:p w14:paraId="1678621E" w14:textId="2358E3AE" w:rsidR="00067E97" w:rsidRDefault="00067E97" w:rsidP="00067E97">
      <w:pPr>
        <w:spacing w:before="120" w:line="480" w:lineRule="auto"/>
        <w:jc w:val="both"/>
        <w:rPr>
          <w:rFonts w:asciiTheme="minorBidi" w:hAnsiTheme="minorBidi"/>
          <w:sz w:val="24"/>
          <w:szCs w:val="24"/>
        </w:rPr>
      </w:pPr>
    </w:p>
    <w:p w14:paraId="4AB20CED" w14:textId="046FD65B" w:rsidR="00B43FDD" w:rsidRPr="00067E97" w:rsidRDefault="00B43FDD" w:rsidP="00FE01B0">
      <w:pPr>
        <w:pStyle w:val="pf0"/>
        <w:spacing w:before="120" w:beforeAutospacing="0" w:line="360" w:lineRule="auto"/>
        <w:jc w:val="both"/>
        <w:rPr>
          <w:rFonts w:asciiTheme="minorBidi" w:hAnsiTheme="minorBidi" w:cstheme="minorBidi"/>
        </w:rPr>
      </w:pPr>
      <w:r w:rsidRPr="00067E97">
        <w:rPr>
          <w:rFonts w:asciiTheme="minorBidi" w:hAnsiTheme="minorBidi"/>
          <w:b/>
          <w:bCs/>
        </w:rPr>
        <w:t xml:space="preserve">2. Table S2. </w:t>
      </w:r>
      <w:r w:rsidR="00B764C7">
        <w:rPr>
          <w:rFonts w:asciiTheme="minorBidi" w:hAnsiTheme="minorBidi"/>
          <w:b/>
          <w:bCs/>
        </w:rPr>
        <w:t>M</w:t>
      </w:r>
      <w:r w:rsidRPr="00067E97">
        <w:rPr>
          <w:rFonts w:asciiTheme="minorBidi" w:hAnsiTheme="minorBidi"/>
          <w:b/>
          <w:bCs/>
        </w:rPr>
        <w:t xml:space="preserve">etabolites in this study. </w:t>
      </w:r>
      <w:r w:rsidRPr="00067E97">
        <w:rPr>
          <w:rFonts w:asciiTheme="minorBidi" w:hAnsiTheme="minorBidi" w:cstheme="minorBidi"/>
        </w:rPr>
        <w:t xml:space="preserve">For the name of metabolites see </w:t>
      </w:r>
      <w:r w:rsidR="00EA78C5" w:rsidRPr="00067E97">
        <w:rPr>
          <w:rFonts w:asciiTheme="minorBidi" w:hAnsiTheme="minorBidi" w:cstheme="minorBidi"/>
        </w:rPr>
        <w:t>spread</w:t>
      </w:r>
      <w:r w:rsidRPr="00067E97">
        <w:rPr>
          <w:rFonts w:asciiTheme="minorBidi" w:hAnsiTheme="minorBidi" w:cstheme="minorBidi"/>
        </w:rPr>
        <w:t xml:space="preserve">sheet </w:t>
      </w:r>
      <w:r w:rsidR="00B764C7">
        <w:rPr>
          <w:rFonts w:asciiTheme="minorBidi" w:hAnsiTheme="minorBidi" w:cstheme="minorBidi"/>
        </w:rPr>
        <w:t xml:space="preserve">file, </w:t>
      </w:r>
      <w:r w:rsidRPr="00067E97">
        <w:rPr>
          <w:rFonts w:asciiTheme="minorBidi" w:hAnsiTheme="minorBidi" w:cstheme="minorBidi"/>
        </w:rPr>
        <w:t xml:space="preserve">Table </w:t>
      </w:r>
      <w:r w:rsidR="00EA78C5" w:rsidRPr="00067E97">
        <w:rPr>
          <w:rFonts w:asciiTheme="minorBidi" w:hAnsiTheme="minorBidi" w:cstheme="minorBidi"/>
        </w:rPr>
        <w:t>S</w:t>
      </w:r>
      <w:r w:rsidRPr="00067E97">
        <w:rPr>
          <w:rFonts w:asciiTheme="minorBidi" w:hAnsiTheme="minorBidi" w:cstheme="minorBidi"/>
        </w:rPr>
        <w:t xml:space="preserve">2. </w:t>
      </w:r>
    </w:p>
    <w:p w14:paraId="7C1B57CF" w14:textId="77777777" w:rsidR="00B764C7" w:rsidRDefault="00B43FDD" w:rsidP="00B764C7">
      <w:pPr>
        <w:spacing w:before="120" w:line="360" w:lineRule="auto"/>
        <w:jc w:val="both"/>
        <w:rPr>
          <w:rFonts w:asciiTheme="minorBidi" w:eastAsia="Times New Roman" w:hAnsiTheme="minorBidi"/>
          <w:sz w:val="24"/>
          <w:szCs w:val="24"/>
        </w:rPr>
      </w:pPr>
      <w:r w:rsidRPr="00067E97">
        <w:rPr>
          <w:rFonts w:asciiTheme="minorBidi" w:hAnsiTheme="minorBidi"/>
          <w:b/>
          <w:bCs/>
          <w:sz w:val="24"/>
          <w:szCs w:val="24"/>
        </w:rPr>
        <w:t>3. Tables S3-</w:t>
      </w:r>
      <w:r w:rsidR="00EA78C5" w:rsidRPr="00067E97">
        <w:rPr>
          <w:rFonts w:asciiTheme="minorBidi" w:hAnsiTheme="minorBidi"/>
          <w:b/>
          <w:bCs/>
          <w:sz w:val="24"/>
          <w:szCs w:val="24"/>
        </w:rPr>
        <w:t>S</w:t>
      </w:r>
      <w:r w:rsidRPr="00067E97">
        <w:rPr>
          <w:rFonts w:asciiTheme="minorBidi" w:hAnsiTheme="minorBidi"/>
          <w:b/>
          <w:bCs/>
          <w:sz w:val="24"/>
          <w:szCs w:val="24"/>
        </w:rPr>
        <w:t xml:space="preserve">8. </w:t>
      </w:r>
      <w:r w:rsidR="00B764C7">
        <w:rPr>
          <w:rFonts w:asciiTheme="minorBidi" w:hAnsiTheme="minorBidi"/>
          <w:b/>
          <w:bCs/>
          <w:sz w:val="24"/>
          <w:szCs w:val="24"/>
        </w:rPr>
        <w:t>R</w:t>
      </w:r>
      <w:r w:rsidRPr="00067E97">
        <w:rPr>
          <w:rFonts w:asciiTheme="minorBidi" w:eastAsia="Times New Roman" w:hAnsiTheme="minorBidi"/>
          <w:b/>
          <w:bCs/>
          <w:sz w:val="24"/>
          <w:szCs w:val="24"/>
        </w:rPr>
        <w:t>esults of two univariate models</w:t>
      </w:r>
      <w:r w:rsidRPr="00067E97">
        <w:rPr>
          <w:rFonts w:asciiTheme="minorBidi" w:eastAsia="Times New Roman" w:hAnsiTheme="minorBidi"/>
          <w:sz w:val="24"/>
          <w:szCs w:val="24"/>
        </w:rPr>
        <w:t xml:space="preserve">. </w:t>
      </w:r>
      <w:r w:rsidR="00B764C7" w:rsidRPr="00067E97">
        <w:rPr>
          <w:rFonts w:asciiTheme="minorBidi" w:eastAsia="Times New Roman" w:hAnsiTheme="minorBidi"/>
          <w:sz w:val="24"/>
          <w:szCs w:val="24"/>
        </w:rPr>
        <w:t xml:space="preserve">One model </w:t>
      </w:r>
      <w:r w:rsidR="00B764C7">
        <w:rPr>
          <w:rFonts w:asciiTheme="minorBidi" w:eastAsia="Times New Roman" w:hAnsiTheme="minorBidi"/>
          <w:sz w:val="24"/>
          <w:szCs w:val="24"/>
        </w:rPr>
        <w:t>wa</w:t>
      </w:r>
      <w:r w:rsidR="00B764C7" w:rsidRPr="00067E97">
        <w:rPr>
          <w:rFonts w:asciiTheme="minorBidi" w:eastAsia="Times New Roman" w:hAnsiTheme="minorBidi"/>
          <w:sz w:val="24"/>
          <w:szCs w:val="24"/>
        </w:rPr>
        <w:t xml:space="preserve">s adjusted for sex, age, and BMI, and the other adjusted for sex and age. </w:t>
      </w:r>
      <w:r w:rsidR="00B764C7">
        <w:rPr>
          <w:rFonts w:asciiTheme="minorBidi" w:eastAsia="Times New Roman" w:hAnsiTheme="minorBidi"/>
          <w:sz w:val="24"/>
          <w:szCs w:val="24"/>
        </w:rPr>
        <w:t xml:space="preserve">See spreadsheet file: </w:t>
      </w:r>
      <w:r w:rsidR="00B764C7" w:rsidRPr="00067E97">
        <w:rPr>
          <w:rFonts w:asciiTheme="minorBidi" w:eastAsia="Times New Roman" w:hAnsiTheme="minorBidi"/>
          <w:sz w:val="24"/>
          <w:szCs w:val="24"/>
        </w:rPr>
        <w:t>AAA</w:t>
      </w:r>
      <w:r w:rsidR="00B764C7">
        <w:rPr>
          <w:rFonts w:asciiTheme="minorBidi" w:eastAsia="Times New Roman" w:hAnsiTheme="minorBidi"/>
          <w:sz w:val="24"/>
          <w:szCs w:val="24"/>
        </w:rPr>
        <w:t xml:space="preserve">, Tables S3-S4; </w:t>
      </w:r>
      <w:r w:rsidR="00B764C7" w:rsidRPr="00067E97">
        <w:rPr>
          <w:rFonts w:asciiTheme="minorBidi" w:eastAsia="Times New Roman" w:hAnsiTheme="minorBidi"/>
          <w:sz w:val="24"/>
          <w:szCs w:val="24"/>
        </w:rPr>
        <w:t xml:space="preserve">BONS, </w:t>
      </w:r>
      <w:r w:rsidR="00B764C7">
        <w:rPr>
          <w:rFonts w:asciiTheme="minorBidi" w:eastAsia="Times New Roman" w:hAnsiTheme="minorBidi"/>
          <w:sz w:val="24"/>
          <w:szCs w:val="24"/>
        </w:rPr>
        <w:t xml:space="preserve">Tables S5-S6; </w:t>
      </w:r>
      <w:r w:rsidR="00B764C7" w:rsidRPr="00067E97">
        <w:rPr>
          <w:rFonts w:asciiTheme="minorBidi" w:eastAsia="Times New Roman" w:hAnsiTheme="minorBidi"/>
          <w:sz w:val="24"/>
          <w:szCs w:val="24"/>
        </w:rPr>
        <w:t>and lipids</w:t>
      </w:r>
      <w:r w:rsidR="00B764C7">
        <w:rPr>
          <w:rFonts w:asciiTheme="minorBidi" w:eastAsia="Times New Roman" w:hAnsiTheme="minorBidi"/>
          <w:sz w:val="24"/>
          <w:szCs w:val="24"/>
        </w:rPr>
        <w:t>, Tables S7-S8</w:t>
      </w:r>
      <w:r w:rsidR="00B764C7" w:rsidRPr="00067E97">
        <w:rPr>
          <w:rFonts w:asciiTheme="minorBidi" w:eastAsia="Times New Roman" w:hAnsiTheme="minorBidi"/>
          <w:sz w:val="24"/>
          <w:szCs w:val="24"/>
        </w:rPr>
        <w:t xml:space="preserve">.  </w:t>
      </w:r>
    </w:p>
    <w:p w14:paraId="6018AF03" w14:textId="77777777" w:rsidR="00AF0399" w:rsidRDefault="00AF0399" w:rsidP="00B764C7">
      <w:pPr>
        <w:spacing w:before="120" w:line="360" w:lineRule="auto"/>
        <w:jc w:val="both"/>
        <w:rPr>
          <w:rFonts w:asciiTheme="minorBidi" w:eastAsia="Times New Roman" w:hAnsiTheme="minorBidi"/>
          <w:b/>
          <w:bCs/>
          <w:sz w:val="24"/>
          <w:szCs w:val="24"/>
        </w:rPr>
      </w:pPr>
    </w:p>
    <w:p w14:paraId="26C774CA" w14:textId="77777777" w:rsidR="00AF0399" w:rsidRDefault="00AF0399" w:rsidP="00B764C7">
      <w:pPr>
        <w:spacing w:before="120" w:line="360" w:lineRule="auto"/>
        <w:jc w:val="both"/>
        <w:rPr>
          <w:rFonts w:asciiTheme="minorBidi" w:eastAsia="Times New Roman" w:hAnsiTheme="minorBidi"/>
          <w:b/>
          <w:bCs/>
          <w:sz w:val="24"/>
          <w:szCs w:val="24"/>
        </w:rPr>
      </w:pPr>
    </w:p>
    <w:p w14:paraId="1C1C9B79" w14:textId="77777777" w:rsidR="00AF0399" w:rsidRDefault="00AF0399" w:rsidP="00B764C7">
      <w:pPr>
        <w:spacing w:before="120" w:line="360" w:lineRule="auto"/>
        <w:jc w:val="both"/>
        <w:rPr>
          <w:rFonts w:asciiTheme="minorBidi" w:eastAsia="Times New Roman" w:hAnsiTheme="minorBidi"/>
          <w:b/>
          <w:bCs/>
          <w:sz w:val="24"/>
          <w:szCs w:val="24"/>
        </w:rPr>
      </w:pPr>
    </w:p>
    <w:p w14:paraId="607CF4DB" w14:textId="77777777" w:rsidR="00AF0399" w:rsidRDefault="00AF0399" w:rsidP="00B764C7">
      <w:pPr>
        <w:spacing w:before="120" w:line="360" w:lineRule="auto"/>
        <w:jc w:val="both"/>
        <w:rPr>
          <w:rFonts w:asciiTheme="minorBidi" w:eastAsia="Times New Roman" w:hAnsiTheme="minorBidi"/>
          <w:b/>
          <w:bCs/>
          <w:sz w:val="24"/>
          <w:szCs w:val="24"/>
        </w:rPr>
      </w:pPr>
    </w:p>
    <w:p w14:paraId="5AF12266" w14:textId="10852F86" w:rsidR="007060EC" w:rsidRPr="00D170D7" w:rsidRDefault="00783074" w:rsidP="00B764C7">
      <w:pPr>
        <w:spacing w:before="120" w:line="360" w:lineRule="auto"/>
        <w:jc w:val="both"/>
        <w:rPr>
          <w:rFonts w:asciiTheme="minorBidi" w:eastAsia="Times New Roman" w:hAnsiTheme="minorBidi"/>
          <w:sz w:val="24"/>
          <w:szCs w:val="24"/>
          <w:highlight w:val="yellow"/>
        </w:rPr>
      </w:pPr>
      <w:r w:rsidRPr="007060EC">
        <w:rPr>
          <w:rFonts w:asciiTheme="minorBidi" w:eastAsia="Times New Roman" w:hAnsiTheme="minorBidi"/>
          <w:b/>
          <w:bCs/>
          <w:sz w:val="24"/>
          <w:szCs w:val="24"/>
        </w:rPr>
        <w:t>4</w:t>
      </w:r>
      <w:r w:rsidR="00942865" w:rsidRPr="007060EC">
        <w:rPr>
          <w:rFonts w:asciiTheme="minorBidi" w:eastAsia="Times New Roman" w:hAnsiTheme="minorBidi"/>
          <w:b/>
          <w:bCs/>
          <w:sz w:val="24"/>
          <w:szCs w:val="24"/>
        </w:rPr>
        <w:t xml:space="preserve">. </w:t>
      </w:r>
      <w:r w:rsidR="007060EC" w:rsidRPr="007060EC">
        <w:rPr>
          <w:rFonts w:asciiTheme="minorBidi" w:eastAsia="Times New Roman" w:hAnsiTheme="minorBidi"/>
          <w:b/>
          <w:bCs/>
          <w:sz w:val="24"/>
          <w:szCs w:val="24"/>
        </w:rPr>
        <w:t xml:space="preserve">The metabolites associated with polygenic factors satisfied MR assumptions. </w:t>
      </w:r>
      <w:r w:rsidR="007060EC" w:rsidRPr="00B92496">
        <w:rPr>
          <w:rFonts w:asciiTheme="minorBidi" w:eastAsia="Times New Roman" w:hAnsiTheme="minorBidi"/>
        </w:rPr>
        <w:t>In total, 8 out of 42 AAA</w:t>
      </w:r>
      <w:r w:rsidR="007060EC">
        <w:rPr>
          <w:rFonts w:asciiTheme="minorBidi" w:eastAsia="Times New Roman" w:hAnsiTheme="minorBidi"/>
        </w:rPr>
        <w:t>s</w:t>
      </w:r>
      <w:r w:rsidR="007060EC" w:rsidRPr="00B92496">
        <w:rPr>
          <w:rFonts w:asciiTheme="minorBidi" w:eastAsia="Times New Roman" w:hAnsiTheme="minorBidi"/>
        </w:rPr>
        <w:t xml:space="preserve"> were directly influenced by polygenic factors </w:t>
      </w:r>
      <w:r w:rsidR="007060EC">
        <w:rPr>
          <w:rFonts w:asciiTheme="minorBidi" w:eastAsia="Times New Roman" w:hAnsiTheme="minorBidi"/>
        </w:rPr>
        <w:t xml:space="preserve">that satisfied the MR assumptions </w:t>
      </w:r>
      <w:r w:rsidR="007060EC" w:rsidRPr="00B92496">
        <w:rPr>
          <w:rFonts w:asciiTheme="minorBidi" w:eastAsia="Times New Roman" w:hAnsiTheme="minorBidi"/>
        </w:rPr>
        <w:t xml:space="preserve">in </w:t>
      </w:r>
      <w:r w:rsidR="007060EC">
        <w:rPr>
          <w:rFonts w:asciiTheme="minorBidi" w:eastAsia="Times New Roman" w:hAnsiTheme="minorBidi"/>
        </w:rPr>
        <w:t>the AAA</w:t>
      </w:r>
      <w:r w:rsidR="007060EC" w:rsidRPr="00B92496">
        <w:rPr>
          <w:rFonts w:asciiTheme="minorBidi" w:eastAsia="Times New Roman" w:hAnsiTheme="minorBidi"/>
        </w:rPr>
        <w:t xml:space="preserve"> conditional independence network</w:t>
      </w:r>
      <w:r w:rsidR="007060EC">
        <w:rPr>
          <w:rFonts w:asciiTheme="minorBidi" w:eastAsia="Times New Roman" w:hAnsiTheme="minorBidi"/>
        </w:rPr>
        <w:t xml:space="preserve"> (Table S9).</w:t>
      </w:r>
    </w:p>
    <w:p w14:paraId="4B9638E2" w14:textId="09FCD893" w:rsidR="008B6CEB" w:rsidRPr="007060EC" w:rsidRDefault="008B6CEB" w:rsidP="00BC5AC1">
      <w:pPr>
        <w:spacing w:before="120" w:line="240" w:lineRule="auto"/>
        <w:ind w:left="3420" w:right="3330"/>
        <w:jc w:val="both"/>
        <w:rPr>
          <w:rFonts w:asciiTheme="minorBidi" w:eastAsia="Times New Roman" w:hAnsiTheme="minorBidi"/>
        </w:rPr>
      </w:pPr>
      <w:r w:rsidRPr="007060EC">
        <w:rPr>
          <w:rFonts w:asciiTheme="minorBidi" w:hAnsiTheme="minorBidi"/>
          <w:b/>
          <w:bCs/>
          <w:sz w:val="24"/>
          <w:szCs w:val="24"/>
        </w:rPr>
        <w:t>Table S9.</w:t>
      </w:r>
      <w:r w:rsidRPr="007060EC">
        <w:rPr>
          <w:rFonts w:asciiTheme="minorBidi" w:eastAsia="Times New Roman" w:hAnsiTheme="minorBidi"/>
        </w:rPr>
        <w:t xml:space="preserve"> </w:t>
      </w:r>
      <w:r w:rsidR="007060EC" w:rsidRPr="007060EC">
        <w:rPr>
          <w:rFonts w:asciiTheme="minorBidi" w:eastAsia="Times New Roman" w:hAnsiTheme="minorBidi"/>
        </w:rPr>
        <w:t>Metabolites associated with polygenic factors. These polygenic factors satisfied the MR assumptions.</w:t>
      </w:r>
      <w:r w:rsidR="007060EC">
        <w:rPr>
          <w:rFonts w:asciiTheme="minorBidi" w:eastAsia="Times New Roman" w:hAnsiTheme="minorBidi"/>
        </w:rPr>
        <w:t xml:space="preserve"> The number of</w:t>
      </w:r>
      <w:r w:rsidR="006204AC">
        <w:rPr>
          <w:rFonts w:asciiTheme="minorBidi" w:eastAsia="Times New Roman" w:hAnsiTheme="minorBidi"/>
        </w:rPr>
        <w:t xml:space="preserve"> </w:t>
      </w:r>
      <w:r w:rsidR="007060EC" w:rsidRPr="007060EC">
        <w:rPr>
          <w:rFonts w:asciiTheme="minorBidi" w:eastAsia="Times New Roman" w:hAnsiTheme="minorBidi"/>
        </w:rPr>
        <w:t>polygenic factors</w:t>
      </w:r>
      <w:r w:rsidR="007060EC">
        <w:rPr>
          <w:rFonts w:asciiTheme="minorBidi" w:eastAsia="Times New Roman" w:hAnsiTheme="minorBidi"/>
        </w:rPr>
        <w:t xml:space="preserve"> associated with each metabolite is also provided.</w:t>
      </w:r>
    </w:p>
    <w:tbl>
      <w:tblPr>
        <w:tblW w:w="3951" w:type="dxa"/>
        <w:tblInd w:w="3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1116"/>
      </w:tblGrid>
      <w:tr w:rsidR="00942865" w:rsidRPr="00942865" w14:paraId="6748D0F8" w14:textId="77777777" w:rsidTr="00BC5AC1">
        <w:trPr>
          <w:trHeight w:val="290"/>
        </w:trPr>
        <w:tc>
          <w:tcPr>
            <w:tcW w:w="2970" w:type="dxa"/>
            <w:shd w:val="clear" w:color="auto" w:fill="auto"/>
            <w:noWrap/>
            <w:vAlign w:val="bottom"/>
            <w:hideMark/>
          </w:tcPr>
          <w:p w14:paraId="6D4512C1" w14:textId="3BCA1E04" w:rsidR="00942865" w:rsidRPr="00942865" w:rsidRDefault="007060EC" w:rsidP="006204A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Metabolites</w:t>
            </w:r>
          </w:p>
        </w:tc>
        <w:tc>
          <w:tcPr>
            <w:tcW w:w="981" w:type="dxa"/>
            <w:shd w:val="clear" w:color="auto" w:fill="auto"/>
            <w:noWrap/>
            <w:vAlign w:val="bottom"/>
            <w:hideMark/>
          </w:tcPr>
          <w:p w14:paraId="0DED6503" w14:textId="7BCD0DEE" w:rsidR="00942865" w:rsidRPr="00942865" w:rsidRDefault="00942865" w:rsidP="006204AC">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t>
            </w:r>
            <w:r w:rsidR="007060EC">
              <w:rPr>
                <w:rFonts w:ascii="Times New Roman" w:eastAsia="Times New Roman" w:hAnsi="Times New Roman" w:cs="Times New Roman"/>
                <w:sz w:val="20"/>
                <w:szCs w:val="20"/>
              </w:rPr>
              <w:t>Polygenic</w:t>
            </w:r>
            <w:r>
              <w:rPr>
                <w:rFonts w:ascii="Times New Roman" w:eastAsia="Times New Roman" w:hAnsi="Times New Roman" w:cs="Times New Roman"/>
                <w:sz w:val="20"/>
                <w:szCs w:val="20"/>
              </w:rPr>
              <w:t xml:space="preserve"> factors</w:t>
            </w:r>
          </w:p>
        </w:tc>
      </w:tr>
      <w:tr w:rsidR="00942865" w:rsidRPr="00942865" w14:paraId="194A27AB" w14:textId="77777777" w:rsidTr="00BC5AC1">
        <w:trPr>
          <w:trHeight w:val="290"/>
        </w:trPr>
        <w:tc>
          <w:tcPr>
            <w:tcW w:w="2970" w:type="dxa"/>
            <w:shd w:val="clear" w:color="auto" w:fill="auto"/>
            <w:noWrap/>
            <w:vAlign w:val="bottom"/>
            <w:hideMark/>
          </w:tcPr>
          <w:p w14:paraId="6F85B2BA" w14:textId="77777777" w:rsidR="00942865" w:rsidRPr="00942865" w:rsidRDefault="00942865" w:rsidP="006204AC">
            <w:pPr>
              <w:spacing w:after="0" w:line="240" w:lineRule="auto"/>
              <w:jc w:val="both"/>
              <w:rPr>
                <w:rFonts w:ascii="Calibri" w:eastAsia="Times New Roman" w:hAnsi="Calibri" w:cs="Calibri"/>
                <w:color w:val="000000"/>
              </w:rPr>
            </w:pPr>
            <w:r w:rsidRPr="00942865">
              <w:rPr>
                <w:rFonts w:ascii="Calibri" w:eastAsia="Times New Roman" w:hAnsi="Calibri" w:cs="Calibri"/>
                <w:color w:val="000000"/>
              </w:rPr>
              <w:t>serotonin</w:t>
            </w:r>
          </w:p>
        </w:tc>
        <w:tc>
          <w:tcPr>
            <w:tcW w:w="981" w:type="dxa"/>
            <w:shd w:val="clear" w:color="auto" w:fill="auto"/>
            <w:noWrap/>
            <w:vAlign w:val="bottom"/>
            <w:hideMark/>
          </w:tcPr>
          <w:p w14:paraId="77267457" w14:textId="77777777" w:rsidR="00942865" w:rsidRPr="00942865" w:rsidRDefault="00942865" w:rsidP="006204AC">
            <w:pPr>
              <w:spacing w:after="0" w:line="240" w:lineRule="auto"/>
              <w:jc w:val="both"/>
              <w:rPr>
                <w:rFonts w:ascii="Calibri" w:eastAsia="Times New Roman" w:hAnsi="Calibri" w:cs="Calibri"/>
                <w:color w:val="000000"/>
              </w:rPr>
            </w:pPr>
            <w:r w:rsidRPr="00942865">
              <w:rPr>
                <w:rFonts w:ascii="Calibri" w:eastAsia="Times New Roman" w:hAnsi="Calibri" w:cs="Calibri"/>
                <w:color w:val="000000"/>
              </w:rPr>
              <w:t>2</w:t>
            </w:r>
          </w:p>
        </w:tc>
      </w:tr>
      <w:tr w:rsidR="00942865" w:rsidRPr="00942865" w14:paraId="1DDB91E9" w14:textId="77777777" w:rsidTr="00BC5AC1">
        <w:trPr>
          <w:trHeight w:val="290"/>
        </w:trPr>
        <w:tc>
          <w:tcPr>
            <w:tcW w:w="2970" w:type="dxa"/>
            <w:shd w:val="clear" w:color="auto" w:fill="auto"/>
            <w:noWrap/>
            <w:vAlign w:val="bottom"/>
            <w:hideMark/>
          </w:tcPr>
          <w:p w14:paraId="4CE07A8D" w14:textId="77777777" w:rsidR="00942865" w:rsidRPr="00942865" w:rsidRDefault="00942865" w:rsidP="006204AC">
            <w:pPr>
              <w:spacing w:after="0" w:line="240" w:lineRule="auto"/>
              <w:jc w:val="both"/>
              <w:rPr>
                <w:rFonts w:ascii="Calibri" w:eastAsia="Times New Roman" w:hAnsi="Calibri" w:cs="Calibri"/>
                <w:color w:val="000000"/>
              </w:rPr>
            </w:pPr>
            <w:r w:rsidRPr="00942865">
              <w:rPr>
                <w:rFonts w:ascii="Calibri" w:eastAsia="Times New Roman" w:hAnsi="Calibri" w:cs="Calibri"/>
                <w:color w:val="000000"/>
              </w:rPr>
              <w:t>aminoisobutyric</w:t>
            </w:r>
          </w:p>
        </w:tc>
        <w:tc>
          <w:tcPr>
            <w:tcW w:w="981" w:type="dxa"/>
            <w:shd w:val="clear" w:color="auto" w:fill="auto"/>
            <w:noWrap/>
            <w:vAlign w:val="bottom"/>
            <w:hideMark/>
          </w:tcPr>
          <w:p w14:paraId="5ACA4C3C" w14:textId="77777777" w:rsidR="00942865" w:rsidRPr="00942865" w:rsidRDefault="00942865" w:rsidP="006204AC">
            <w:pPr>
              <w:spacing w:after="0" w:line="240" w:lineRule="auto"/>
              <w:jc w:val="both"/>
              <w:rPr>
                <w:rFonts w:ascii="Calibri" w:eastAsia="Times New Roman" w:hAnsi="Calibri" w:cs="Calibri"/>
                <w:color w:val="000000"/>
              </w:rPr>
            </w:pPr>
            <w:r w:rsidRPr="00942865">
              <w:rPr>
                <w:rFonts w:ascii="Calibri" w:eastAsia="Times New Roman" w:hAnsi="Calibri" w:cs="Calibri"/>
                <w:color w:val="000000"/>
              </w:rPr>
              <w:t>1</w:t>
            </w:r>
          </w:p>
        </w:tc>
      </w:tr>
      <w:tr w:rsidR="00942865" w:rsidRPr="00942865" w14:paraId="059567B5" w14:textId="77777777" w:rsidTr="00BC5AC1">
        <w:trPr>
          <w:trHeight w:val="290"/>
        </w:trPr>
        <w:tc>
          <w:tcPr>
            <w:tcW w:w="2970" w:type="dxa"/>
            <w:shd w:val="clear" w:color="auto" w:fill="auto"/>
            <w:noWrap/>
            <w:vAlign w:val="bottom"/>
            <w:hideMark/>
          </w:tcPr>
          <w:p w14:paraId="0B7951A4" w14:textId="4DF0DBDA" w:rsidR="00942865" w:rsidRPr="00942865" w:rsidRDefault="00AE6E78" w:rsidP="006204AC">
            <w:pPr>
              <w:spacing w:after="0" w:line="240" w:lineRule="auto"/>
              <w:jc w:val="both"/>
              <w:rPr>
                <w:rFonts w:ascii="Calibri" w:eastAsia="Times New Roman" w:hAnsi="Calibri" w:cs="Calibri"/>
                <w:color w:val="000000"/>
              </w:rPr>
            </w:pPr>
            <w:r w:rsidRPr="00AE6E78">
              <w:rPr>
                <w:rFonts w:ascii="Calibri" w:eastAsia="Times New Roman" w:hAnsi="Calibri" w:cs="Calibri"/>
                <w:color w:val="000000"/>
              </w:rPr>
              <w:t>5-Hydroxyindoleacetic acid</w:t>
            </w:r>
          </w:p>
        </w:tc>
        <w:tc>
          <w:tcPr>
            <w:tcW w:w="981" w:type="dxa"/>
            <w:shd w:val="clear" w:color="auto" w:fill="auto"/>
            <w:noWrap/>
            <w:vAlign w:val="bottom"/>
            <w:hideMark/>
          </w:tcPr>
          <w:p w14:paraId="483DCAAF" w14:textId="77777777" w:rsidR="00942865" w:rsidRPr="00942865" w:rsidRDefault="00942865" w:rsidP="006204AC">
            <w:pPr>
              <w:spacing w:after="0" w:line="240" w:lineRule="auto"/>
              <w:jc w:val="both"/>
              <w:rPr>
                <w:rFonts w:ascii="Calibri" w:eastAsia="Times New Roman" w:hAnsi="Calibri" w:cs="Calibri"/>
                <w:color w:val="000000"/>
              </w:rPr>
            </w:pPr>
            <w:r w:rsidRPr="00942865">
              <w:rPr>
                <w:rFonts w:ascii="Calibri" w:eastAsia="Times New Roman" w:hAnsi="Calibri" w:cs="Calibri"/>
                <w:color w:val="000000"/>
              </w:rPr>
              <w:t>1</w:t>
            </w:r>
          </w:p>
        </w:tc>
      </w:tr>
      <w:tr w:rsidR="00942865" w:rsidRPr="00942865" w14:paraId="18A40191" w14:textId="77777777" w:rsidTr="00BC5AC1">
        <w:trPr>
          <w:trHeight w:val="290"/>
        </w:trPr>
        <w:tc>
          <w:tcPr>
            <w:tcW w:w="2970" w:type="dxa"/>
            <w:shd w:val="clear" w:color="auto" w:fill="auto"/>
            <w:noWrap/>
            <w:vAlign w:val="bottom"/>
            <w:hideMark/>
          </w:tcPr>
          <w:p w14:paraId="4FB82CD8" w14:textId="0F18E36E" w:rsidR="00942865" w:rsidRPr="00942865" w:rsidRDefault="00AE6E78" w:rsidP="006204AC">
            <w:pPr>
              <w:spacing w:after="0" w:line="240" w:lineRule="auto"/>
              <w:jc w:val="both"/>
              <w:rPr>
                <w:rFonts w:ascii="Calibri" w:eastAsia="Times New Roman" w:hAnsi="Calibri" w:cs="Calibri"/>
                <w:color w:val="000000"/>
              </w:rPr>
            </w:pPr>
            <w:r>
              <w:rPr>
                <w:rFonts w:ascii="Calibri" w:eastAsia="Times New Roman" w:hAnsi="Calibri" w:cs="Calibri"/>
                <w:color w:val="000000"/>
              </w:rPr>
              <w:t>h</w:t>
            </w:r>
            <w:r w:rsidRPr="00AE6E78">
              <w:rPr>
                <w:rFonts w:ascii="Calibri" w:eastAsia="Times New Roman" w:hAnsi="Calibri" w:cs="Calibri"/>
                <w:color w:val="000000"/>
              </w:rPr>
              <w:t>ydroxyproline</w:t>
            </w:r>
          </w:p>
        </w:tc>
        <w:tc>
          <w:tcPr>
            <w:tcW w:w="981" w:type="dxa"/>
            <w:shd w:val="clear" w:color="auto" w:fill="auto"/>
            <w:noWrap/>
            <w:vAlign w:val="bottom"/>
            <w:hideMark/>
          </w:tcPr>
          <w:p w14:paraId="679D4D1B" w14:textId="77777777" w:rsidR="00942865" w:rsidRPr="00942865" w:rsidRDefault="00942865" w:rsidP="006204AC">
            <w:pPr>
              <w:spacing w:after="0" w:line="240" w:lineRule="auto"/>
              <w:jc w:val="both"/>
              <w:rPr>
                <w:rFonts w:ascii="Calibri" w:eastAsia="Times New Roman" w:hAnsi="Calibri" w:cs="Calibri"/>
                <w:color w:val="000000"/>
              </w:rPr>
            </w:pPr>
            <w:r w:rsidRPr="00942865">
              <w:rPr>
                <w:rFonts w:ascii="Calibri" w:eastAsia="Times New Roman" w:hAnsi="Calibri" w:cs="Calibri"/>
                <w:color w:val="000000"/>
              </w:rPr>
              <w:t>2</w:t>
            </w:r>
          </w:p>
        </w:tc>
      </w:tr>
      <w:tr w:rsidR="00942865" w:rsidRPr="00942865" w14:paraId="230E4355" w14:textId="77777777" w:rsidTr="00BC5AC1">
        <w:trPr>
          <w:trHeight w:val="290"/>
        </w:trPr>
        <w:tc>
          <w:tcPr>
            <w:tcW w:w="2970" w:type="dxa"/>
            <w:shd w:val="clear" w:color="auto" w:fill="auto"/>
            <w:noWrap/>
            <w:vAlign w:val="bottom"/>
            <w:hideMark/>
          </w:tcPr>
          <w:p w14:paraId="66DCDBB5" w14:textId="76304F0D" w:rsidR="00942865" w:rsidRPr="00942865" w:rsidRDefault="00AE6E78" w:rsidP="006204AC">
            <w:pPr>
              <w:spacing w:after="0" w:line="240" w:lineRule="auto"/>
              <w:jc w:val="both"/>
              <w:rPr>
                <w:rFonts w:ascii="Calibri" w:eastAsia="Times New Roman" w:hAnsi="Calibri" w:cs="Calibri"/>
                <w:color w:val="000000"/>
              </w:rPr>
            </w:pPr>
            <w:r>
              <w:rPr>
                <w:rFonts w:ascii="Calibri" w:eastAsia="Times New Roman" w:hAnsi="Calibri" w:cs="Calibri"/>
                <w:color w:val="000000"/>
              </w:rPr>
              <w:t>u</w:t>
            </w:r>
            <w:r w:rsidRPr="00AE6E78">
              <w:rPr>
                <w:rFonts w:ascii="Calibri" w:eastAsia="Times New Roman" w:hAnsi="Calibri" w:cs="Calibri"/>
                <w:color w:val="000000"/>
              </w:rPr>
              <w:t>reidopropionic acid</w:t>
            </w:r>
          </w:p>
        </w:tc>
        <w:tc>
          <w:tcPr>
            <w:tcW w:w="981" w:type="dxa"/>
            <w:shd w:val="clear" w:color="auto" w:fill="auto"/>
            <w:noWrap/>
            <w:vAlign w:val="bottom"/>
            <w:hideMark/>
          </w:tcPr>
          <w:p w14:paraId="41E5AC42" w14:textId="77777777" w:rsidR="00942865" w:rsidRPr="00942865" w:rsidRDefault="00942865" w:rsidP="006204AC">
            <w:pPr>
              <w:spacing w:after="0" w:line="240" w:lineRule="auto"/>
              <w:jc w:val="both"/>
              <w:rPr>
                <w:rFonts w:ascii="Calibri" w:eastAsia="Times New Roman" w:hAnsi="Calibri" w:cs="Calibri"/>
                <w:color w:val="000000"/>
              </w:rPr>
            </w:pPr>
            <w:r w:rsidRPr="00942865">
              <w:rPr>
                <w:rFonts w:ascii="Calibri" w:eastAsia="Times New Roman" w:hAnsi="Calibri" w:cs="Calibri"/>
                <w:color w:val="000000"/>
              </w:rPr>
              <w:t>1</w:t>
            </w:r>
          </w:p>
        </w:tc>
      </w:tr>
      <w:tr w:rsidR="00942865" w:rsidRPr="00942865" w14:paraId="38BE6E6F" w14:textId="77777777" w:rsidTr="00BC5AC1">
        <w:trPr>
          <w:trHeight w:val="290"/>
        </w:trPr>
        <w:tc>
          <w:tcPr>
            <w:tcW w:w="2970" w:type="dxa"/>
            <w:shd w:val="clear" w:color="auto" w:fill="auto"/>
            <w:noWrap/>
            <w:vAlign w:val="bottom"/>
            <w:hideMark/>
          </w:tcPr>
          <w:p w14:paraId="7539E82C" w14:textId="77777777" w:rsidR="00942865" w:rsidRPr="00942865" w:rsidRDefault="00942865" w:rsidP="006204AC">
            <w:pPr>
              <w:spacing w:after="0" w:line="240" w:lineRule="auto"/>
              <w:jc w:val="both"/>
              <w:rPr>
                <w:rFonts w:ascii="Calibri" w:eastAsia="Times New Roman" w:hAnsi="Calibri" w:cs="Calibri"/>
                <w:color w:val="000000"/>
              </w:rPr>
            </w:pPr>
            <w:r w:rsidRPr="00942865">
              <w:rPr>
                <w:rFonts w:ascii="Calibri" w:eastAsia="Times New Roman" w:hAnsi="Calibri" w:cs="Calibri"/>
                <w:color w:val="000000"/>
              </w:rPr>
              <w:t>asparagine</w:t>
            </w:r>
          </w:p>
        </w:tc>
        <w:tc>
          <w:tcPr>
            <w:tcW w:w="981" w:type="dxa"/>
            <w:shd w:val="clear" w:color="auto" w:fill="auto"/>
            <w:noWrap/>
            <w:vAlign w:val="bottom"/>
            <w:hideMark/>
          </w:tcPr>
          <w:p w14:paraId="498CC716" w14:textId="77777777" w:rsidR="00942865" w:rsidRPr="00942865" w:rsidRDefault="00942865" w:rsidP="006204AC">
            <w:pPr>
              <w:spacing w:after="0" w:line="240" w:lineRule="auto"/>
              <w:jc w:val="both"/>
              <w:rPr>
                <w:rFonts w:ascii="Calibri" w:eastAsia="Times New Roman" w:hAnsi="Calibri" w:cs="Calibri"/>
                <w:color w:val="000000"/>
              </w:rPr>
            </w:pPr>
            <w:r w:rsidRPr="00942865">
              <w:rPr>
                <w:rFonts w:ascii="Calibri" w:eastAsia="Times New Roman" w:hAnsi="Calibri" w:cs="Calibri"/>
                <w:color w:val="000000"/>
              </w:rPr>
              <w:t>1</w:t>
            </w:r>
          </w:p>
        </w:tc>
      </w:tr>
      <w:tr w:rsidR="00942865" w:rsidRPr="00942865" w14:paraId="4C10D159" w14:textId="77777777" w:rsidTr="00BC5AC1">
        <w:trPr>
          <w:trHeight w:val="290"/>
        </w:trPr>
        <w:tc>
          <w:tcPr>
            <w:tcW w:w="2970" w:type="dxa"/>
            <w:shd w:val="clear" w:color="auto" w:fill="auto"/>
            <w:noWrap/>
            <w:vAlign w:val="bottom"/>
            <w:hideMark/>
          </w:tcPr>
          <w:p w14:paraId="7C9F7130" w14:textId="77777777" w:rsidR="00942865" w:rsidRPr="00942865" w:rsidRDefault="00942865" w:rsidP="006204AC">
            <w:pPr>
              <w:spacing w:after="0" w:line="240" w:lineRule="auto"/>
              <w:jc w:val="both"/>
              <w:rPr>
                <w:rFonts w:ascii="Calibri" w:eastAsia="Times New Roman" w:hAnsi="Calibri" w:cs="Calibri"/>
                <w:color w:val="000000"/>
              </w:rPr>
            </w:pPr>
            <w:r w:rsidRPr="00942865">
              <w:rPr>
                <w:rFonts w:ascii="Calibri" w:eastAsia="Times New Roman" w:hAnsi="Calibri" w:cs="Calibri"/>
                <w:color w:val="000000"/>
              </w:rPr>
              <w:t>creatine</w:t>
            </w:r>
          </w:p>
        </w:tc>
        <w:tc>
          <w:tcPr>
            <w:tcW w:w="981" w:type="dxa"/>
            <w:shd w:val="clear" w:color="auto" w:fill="auto"/>
            <w:noWrap/>
            <w:vAlign w:val="bottom"/>
            <w:hideMark/>
          </w:tcPr>
          <w:p w14:paraId="0BC6289D" w14:textId="77777777" w:rsidR="00942865" w:rsidRPr="00942865" w:rsidRDefault="00942865" w:rsidP="006204AC">
            <w:pPr>
              <w:spacing w:after="0" w:line="240" w:lineRule="auto"/>
              <w:jc w:val="both"/>
              <w:rPr>
                <w:rFonts w:ascii="Calibri" w:eastAsia="Times New Roman" w:hAnsi="Calibri" w:cs="Calibri"/>
                <w:color w:val="000000"/>
              </w:rPr>
            </w:pPr>
            <w:r w:rsidRPr="00942865">
              <w:rPr>
                <w:rFonts w:ascii="Calibri" w:eastAsia="Times New Roman" w:hAnsi="Calibri" w:cs="Calibri"/>
                <w:color w:val="000000"/>
              </w:rPr>
              <w:t>2</w:t>
            </w:r>
          </w:p>
        </w:tc>
      </w:tr>
    </w:tbl>
    <w:p w14:paraId="5309D27C" w14:textId="77777777" w:rsidR="00942865" w:rsidRPr="00067E97" w:rsidRDefault="00942865" w:rsidP="00067E97">
      <w:pPr>
        <w:spacing w:before="120" w:line="480" w:lineRule="auto"/>
        <w:jc w:val="both"/>
        <w:rPr>
          <w:rFonts w:asciiTheme="minorBidi" w:hAnsiTheme="minorBidi"/>
          <w:b/>
          <w:bCs/>
          <w:sz w:val="24"/>
          <w:szCs w:val="24"/>
        </w:rPr>
      </w:pPr>
    </w:p>
    <w:p w14:paraId="3880B890" w14:textId="4C472FD8" w:rsidR="00351F57" w:rsidRPr="00067E97" w:rsidRDefault="00783074" w:rsidP="00FE01B0">
      <w:pPr>
        <w:spacing w:before="120" w:line="360" w:lineRule="auto"/>
        <w:jc w:val="both"/>
        <w:rPr>
          <w:rFonts w:asciiTheme="minorBidi" w:hAnsiTheme="minorBidi"/>
          <w:b/>
          <w:bCs/>
          <w:sz w:val="24"/>
          <w:szCs w:val="24"/>
        </w:rPr>
      </w:pPr>
      <w:r>
        <w:rPr>
          <w:rFonts w:asciiTheme="minorBidi" w:hAnsiTheme="minorBidi"/>
          <w:b/>
          <w:bCs/>
          <w:sz w:val="24"/>
          <w:szCs w:val="24"/>
        </w:rPr>
        <w:t>5</w:t>
      </w:r>
      <w:r w:rsidR="00A04653" w:rsidRPr="00067E97">
        <w:rPr>
          <w:rFonts w:asciiTheme="minorBidi" w:hAnsiTheme="minorBidi"/>
          <w:b/>
          <w:bCs/>
          <w:sz w:val="24"/>
          <w:szCs w:val="24"/>
        </w:rPr>
        <w:t xml:space="preserve">. </w:t>
      </w:r>
      <w:r w:rsidR="00351F57" w:rsidRPr="00067E97">
        <w:rPr>
          <w:rFonts w:asciiTheme="minorBidi" w:hAnsiTheme="minorBidi"/>
          <w:b/>
          <w:bCs/>
          <w:sz w:val="24"/>
          <w:szCs w:val="24"/>
        </w:rPr>
        <w:t>Supplemental Methods</w:t>
      </w:r>
    </w:p>
    <w:p w14:paraId="55968F0F" w14:textId="32D76E19" w:rsidR="00A6733F" w:rsidRPr="00067E97" w:rsidRDefault="00783074" w:rsidP="00FE01B0">
      <w:pPr>
        <w:pStyle w:val="pf0"/>
        <w:spacing w:before="120" w:beforeAutospacing="0" w:line="360" w:lineRule="auto"/>
        <w:jc w:val="both"/>
        <w:rPr>
          <w:rStyle w:val="cf11"/>
          <w:rFonts w:asciiTheme="minorBidi" w:hAnsiTheme="minorBidi" w:cstheme="minorBidi"/>
          <w:sz w:val="24"/>
          <w:szCs w:val="24"/>
        </w:rPr>
      </w:pPr>
      <w:r>
        <w:rPr>
          <w:rFonts w:asciiTheme="minorBidi" w:hAnsiTheme="minorBidi" w:cstheme="minorBidi"/>
          <w:b/>
          <w:bCs/>
        </w:rPr>
        <w:t>5</w:t>
      </w:r>
      <w:r w:rsidR="00351F57" w:rsidRPr="00067E97">
        <w:rPr>
          <w:rFonts w:asciiTheme="minorBidi" w:hAnsiTheme="minorBidi" w:cstheme="minorBidi"/>
          <w:b/>
          <w:bCs/>
        </w:rPr>
        <w:t xml:space="preserve">.1 </w:t>
      </w:r>
      <w:r w:rsidR="00EA78C5" w:rsidRPr="00067E97">
        <w:rPr>
          <w:rFonts w:asciiTheme="minorBidi" w:hAnsiTheme="minorBidi" w:cstheme="minorBidi"/>
          <w:b/>
          <w:bCs/>
        </w:rPr>
        <w:t>I</w:t>
      </w:r>
      <w:r w:rsidR="00A6733F" w:rsidRPr="00067E97">
        <w:rPr>
          <w:rFonts w:asciiTheme="minorBidi" w:hAnsiTheme="minorBidi" w:cstheme="minorBidi"/>
          <w:b/>
          <w:bCs/>
        </w:rPr>
        <w:t>nformation about BONS</w:t>
      </w:r>
      <w:r w:rsidR="00A04653" w:rsidRPr="00067E97">
        <w:rPr>
          <w:rFonts w:asciiTheme="minorBidi" w:hAnsiTheme="minorBidi" w:cstheme="minorBidi"/>
          <w:b/>
          <w:bCs/>
        </w:rPr>
        <w:t xml:space="preserve"> </w:t>
      </w:r>
      <w:r w:rsidR="00A6733F" w:rsidRPr="00067E97">
        <w:rPr>
          <w:rFonts w:asciiTheme="minorBidi" w:hAnsiTheme="minorBidi" w:cstheme="minorBidi"/>
          <w:b/>
          <w:bCs/>
        </w:rPr>
        <w:t>hexose monophosphates</w:t>
      </w:r>
      <w:r w:rsidR="00A04653" w:rsidRPr="00067E97">
        <w:rPr>
          <w:rFonts w:asciiTheme="minorBidi" w:hAnsiTheme="minorBidi" w:cstheme="minorBidi"/>
        </w:rPr>
        <w:t xml:space="preserve">. </w:t>
      </w:r>
      <w:r w:rsidR="00A6733F" w:rsidRPr="00067E97">
        <w:rPr>
          <w:rStyle w:val="cf01"/>
          <w:rFonts w:asciiTheme="minorBidi" w:hAnsiTheme="minorBidi" w:cstheme="minorBidi"/>
          <w:sz w:val="24"/>
          <w:szCs w:val="24"/>
        </w:rPr>
        <w:t>When setting up the LC-MS method, it was observed that the chromatographic method did not resolve synthetic standards of f</w:t>
      </w:r>
      <w:r w:rsidR="00A6733F" w:rsidRPr="00067E97">
        <w:rPr>
          <w:rStyle w:val="cf11"/>
          <w:rFonts w:asciiTheme="minorBidi" w:hAnsiTheme="minorBidi" w:cstheme="minorBidi"/>
          <w:sz w:val="24"/>
          <w:szCs w:val="24"/>
        </w:rPr>
        <w:t>ructose</w:t>
      </w:r>
      <w:r w:rsidR="00EA78C5" w:rsidRPr="00067E97">
        <w:rPr>
          <w:rStyle w:val="cf11"/>
          <w:rFonts w:asciiTheme="minorBidi" w:hAnsiTheme="minorBidi" w:cstheme="minorBidi"/>
          <w:sz w:val="24"/>
          <w:szCs w:val="24"/>
        </w:rPr>
        <w:t>-</w:t>
      </w:r>
      <w:r w:rsidR="00A6733F" w:rsidRPr="00067E97">
        <w:rPr>
          <w:rStyle w:val="cf11"/>
          <w:rFonts w:asciiTheme="minorBidi" w:hAnsiTheme="minorBidi" w:cstheme="minorBidi"/>
          <w:sz w:val="24"/>
          <w:szCs w:val="24"/>
        </w:rPr>
        <w:t>1-phosphate, fructose</w:t>
      </w:r>
      <w:r w:rsidR="00EA78C5" w:rsidRPr="00067E97">
        <w:rPr>
          <w:rStyle w:val="cf11"/>
          <w:rFonts w:asciiTheme="minorBidi" w:hAnsiTheme="minorBidi" w:cstheme="minorBidi"/>
          <w:sz w:val="24"/>
          <w:szCs w:val="24"/>
        </w:rPr>
        <w:t>-</w:t>
      </w:r>
      <w:r w:rsidR="00A6733F" w:rsidRPr="00067E97">
        <w:rPr>
          <w:rStyle w:val="cf11"/>
          <w:rFonts w:asciiTheme="minorBidi" w:hAnsiTheme="minorBidi" w:cstheme="minorBidi"/>
          <w:sz w:val="24"/>
          <w:szCs w:val="24"/>
        </w:rPr>
        <w:t>6-phosphate, glucose</w:t>
      </w:r>
      <w:r w:rsidR="00EA78C5" w:rsidRPr="00067E97">
        <w:rPr>
          <w:rStyle w:val="cf11"/>
          <w:rFonts w:asciiTheme="minorBidi" w:hAnsiTheme="minorBidi" w:cstheme="minorBidi"/>
          <w:sz w:val="24"/>
          <w:szCs w:val="24"/>
        </w:rPr>
        <w:t>-</w:t>
      </w:r>
      <w:r w:rsidR="00A6733F" w:rsidRPr="00067E97">
        <w:rPr>
          <w:rStyle w:val="cf11"/>
          <w:rFonts w:asciiTheme="minorBidi" w:hAnsiTheme="minorBidi" w:cstheme="minorBidi"/>
          <w:sz w:val="24"/>
          <w:szCs w:val="24"/>
        </w:rPr>
        <w:t>1-phosphate, and glucose</w:t>
      </w:r>
      <w:r w:rsidR="00EA78C5" w:rsidRPr="00067E97">
        <w:rPr>
          <w:rStyle w:val="cf11"/>
          <w:rFonts w:asciiTheme="minorBidi" w:hAnsiTheme="minorBidi" w:cstheme="minorBidi"/>
          <w:sz w:val="24"/>
          <w:szCs w:val="24"/>
        </w:rPr>
        <w:t>-</w:t>
      </w:r>
      <w:r w:rsidR="00A6733F" w:rsidRPr="00067E97">
        <w:rPr>
          <w:rStyle w:val="cf11"/>
          <w:rFonts w:asciiTheme="minorBidi" w:hAnsiTheme="minorBidi" w:cstheme="minorBidi"/>
          <w:sz w:val="24"/>
          <w:szCs w:val="24"/>
        </w:rPr>
        <w:t>6-phosphate from one another; nor was found suitable, unique multiple reaction monitoring transitions that could be used to differentiate the</w:t>
      </w:r>
      <w:r w:rsidR="00EA78C5" w:rsidRPr="00067E97">
        <w:rPr>
          <w:rStyle w:val="cf11"/>
          <w:rFonts w:asciiTheme="minorBidi" w:hAnsiTheme="minorBidi" w:cstheme="minorBidi"/>
          <w:sz w:val="24"/>
          <w:szCs w:val="24"/>
        </w:rPr>
        <w:t>se molecules</w:t>
      </w:r>
      <w:r w:rsidR="00A6733F" w:rsidRPr="00067E97">
        <w:rPr>
          <w:rStyle w:val="cf11"/>
          <w:rFonts w:asciiTheme="minorBidi" w:hAnsiTheme="minorBidi" w:cstheme="minorBidi"/>
          <w:sz w:val="24"/>
          <w:szCs w:val="24"/>
        </w:rPr>
        <w:t xml:space="preserve"> in the mass spectrometer. Consequently, it was not possible to determine the relative contributions of each isomer to the signal</w:t>
      </w:r>
      <w:r w:rsidR="00EA78C5" w:rsidRPr="00067E97">
        <w:rPr>
          <w:rStyle w:val="cf11"/>
          <w:rFonts w:asciiTheme="minorBidi" w:hAnsiTheme="minorBidi" w:cstheme="minorBidi"/>
          <w:sz w:val="24"/>
          <w:szCs w:val="24"/>
        </w:rPr>
        <w:t xml:space="preserve">; </w:t>
      </w:r>
      <w:r w:rsidR="00A6733F" w:rsidRPr="00067E97">
        <w:rPr>
          <w:rStyle w:val="cf11"/>
          <w:rFonts w:asciiTheme="minorBidi" w:hAnsiTheme="minorBidi" w:cstheme="minorBidi"/>
          <w:sz w:val="24"/>
          <w:szCs w:val="24"/>
        </w:rPr>
        <w:t xml:space="preserve">therefore, </w:t>
      </w:r>
      <w:r w:rsidR="00EA78C5" w:rsidRPr="00067E97">
        <w:rPr>
          <w:rStyle w:val="cf11"/>
          <w:rFonts w:asciiTheme="minorBidi" w:hAnsiTheme="minorBidi" w:cstheme="minorBidi"/>
          <w:sz w:val="24"/>
          <w:szCs w:val="24"/>
        </w:rPr>
        <w:t>the signal</w:t>
      </w:r>
      <w:r w:rsidR="00A6733F" w:rsidRPr="00067E97">
        <w:rPr>
          <w:rStyle w:val="cf11"/>
          <w:rFonts w:asciiTheme="minorBidi" w:hAnsiTheme="minorBidi" w:cstheme="minorBidi"/>
          <w:sz w:val="24"/>
          <w:szCs w:val="24"/>
        </w:rPr>
        <w:t xml:space="preserve"> was reported as a hybrid of hexose monophosphate</w:t>
      </w:r>
      <w:r w:rsidR="00EA78C5" w:rsidRPr="00067E97">
        <w:rPr>
          <w:rStyle w:val="cf11"/>
          <w:rFonts w:asciiTheme="minorBidi" w:hAnsiTheme="minorBidi" w:cstheme="minorBidi"/>
          <w:sz w:val="24"/>
          <w:szCs w:val="24"/>
        </w:rPr>
        <w:t>s</w:t>
      </w:r>
      <w:r w:rsidR="00A6733F" w:rsidRPr="00067E97">
        <w:rPr>
          <w:rStyle w:val="cf11"/>
          <w:rFonts w:asciiTheme="minorBidi" w:hAnsiTheme="minorBidi" w:cstheme="minorBidi"/>
          <w:sz w:val="24"/>
          <w:szCs w:val="24"/>
        </w:rPr>
        <w:t>.</w:t>
      </w:r>
    </w:p>
    <w:p w14:paraId="33F8F40F" w14:textId="20C8D53C" w:rsidR="00DA142D" w:rsidRPr="00067E97" w:rsidRDefault="00783074" w:rsidP="00FE01B0">
      <w:pPr>
        <w:spacing w:before="120" w:line="360" w:lineRule="auto"/>
        <w:jc w:val="both"/>
        <w:rPr>
          <w:rFonts w:asciiTheme="minorBidi" w:hAnsiTheme="minorBidi"/>
          <w:sz w:val="24"/>
          <w:szCs w:val="24"/>
        </w:rPr>
      </w:pPr>
      <w:r>
        <w:rPr>
          <w:rFonts w:asciiTheme="minorBidi" w:hAnsiTheme="minorBidi"/>
          <w:b/>
          <w:bCs/>
          <w:sz w:val="24"/>
          <w:szCs w:val="24"/>
        </w:rPr>
        <w:t>5</w:t>
      </w:r>
      <w:r w:rsidR="00351F57" w:rsidRPr="00067E97">
        <w:rPr>
          <w:rFonts w:asciiTheme="minorBidi" w:hAnsiTheme="minorBidi"/>
          <w:b/>
          <w:bCs/>
          <w:sz w:val="24"/>
          <w:szCs w:val="24"/>
        </w:rPr>
        <w:t>.2 P</w:t>
      </w:r>
      <w:r w:rsidR="00ED2AD3" w:rsidRPr="00067E97">
        <w:rPr>
          <w:rFonts w:asciiTheme="minorBidi" w:hAnsiTheme="minorBidi"/>
          <w:b/>
          <w:bCs/>
          <w:sz w:val="24"/>
          <w:szCs w:val="24"/>
        </w:rPr>
        <w:t>olygenic factors.</w:t>
      </w:r>
      <w:r w:rsidR="00ED2AD3" w:rsidRPr="00067E97">
        <w:rPr>
          <w:rFonts w:asciiTheme="minorBidi" w:hAnsiTheme="minorBidi"/>
          <w:sz w:val="24"/>
          <w:szCs w:val="24"/>
        </w:rPr>
        <w:t xml:space="preserve"> To extract information across the genome, first, we start</w:t>
      </w:r>
      <w:r w:rsidR="004A53D2" w:rsidRPr="00067E97">
        <w:rPr>
          <w:rFonts w:asciiTheme="minorBidi" w:hAnsiTheme="minorBidi"/>
          <w:sz w:val="24"/>
          <w:szCs w:val="24"/>
        </w:rPr>
        <w:t>ed</w:t>
      </w:r>
      <w:r w:rsidR="00ED2AD3" w:rsidRPr="00067E97">
        <w:rPr>
          <w:rFonts w:asciiTheme="minorBidi" w:hAnsiTheme="minorBidi"/>
          <w:sz w:val="24"/>
          <w:szCs w:val="24"/>
        </w:rPr>
        <w:t xml:space="preserve"> by reducing the number of </w:t>
      </w:r>
      <w:r w:rsidR="00ED2AD3" w:rsidRPr="00067E97">
        <w:rPr>
          <w:rFonts w:asciiTheme="minorBidi" w:eastAsia="Times New Roman" w:hAnsiTheme="minorBidi"/>
          <w:sz w:val="24"/>
          <w:szCs w:val="24"/>
        </w:rPr>
        <w:t>common single nucleotide polymorphisms (</w:t>
      </w:r>
      <w:r w:rsidR="00ED2AD3" w:rsidRPr="00067E97">
        <w:rPr>
          <w:rFonts w:asciiTheme="minorBidi" w:hAnsiTheme="minorBidi"/>
          <w:sz w:val="24"/>
          <w:szCs w:val="24"/>
        </w:rPr>
        <w:t xml:space="preserve">SNPs) because some SNPs </w:t>
      </w:r>
      <w:r w:rsidR="004A53D2" w:rsidRPr="00067E97">
        <w:rPr>
          <w:rFonts w:asciiTheme="minorBidi" w:hAnsiTheme="minorBidi"/>
          <w:sz w:val="24"/>
          <w:szCs w:val="24"/>
        </w:rPr>
        <w:t>we</w:t>
      </w:r>
      <w:r w:rsidR="00ED2AD3" w:rsidRPr="00067E97">
        <w:rPr>
          <w:rFonts w:asciiTheme="minorBidi" w:hAnsiTheme="minorBidi"/>
          <w:sz w:val="24"/>
          <w:szCs w:val="24"/>
        </w:rPr>
        <w:t>re nearly perfectly correlated (&gt;</w:t>
      </w:r>
      <w:r w:rsidR="002B26FA" w:rsidRPr="00067E97">
        <w:rPr>
          <w:rFonts w:asciiTheme="minorBidi" w:hAnsiTheme="minorBidi"/>
          <w:sz w:val="24"/>
          <w:szCs w:val="24"/>
        </w:rPr>
        <w:t xml:space="preserve"> </w:t>
      </w:r>
      <w:r w:rsidR="00ED2AD3" w:rsidRPr="00067E97">
        <w:rPr>
          <w:rFonts w:asciiTheme="minorBidi" w:hAnsiTheme="minorBidi"/>
          <w:sz w:val="24"/>
          <w:szCs w:val="24"/>
        </w:rPr>
        <w:t>0.80) with others, so that one SNP c</w:t>
      </w:r>
      <w:r w:rsidR="004A53D2" w:rsidRPr="00067E97">
        <w:rPr>
          <w:rFonts w:asciiTheme="minorBidi" w:hAnsiTheme="minorBidi"/>
          <w:sz w:val="24"/>
          <w:szCs w:val="24"/>
        </w:rPr>
        <w:t>ould</w:t>
      </w:r>
      <w:r w:rsidR="00ED2AD3" w:rsidRPr="00067E97">
        <w:rPr>
          <w:rFonts w:asciiTheme="minorBidi" w:hAnsiTheme="minorBidi"/>
          <w:sz w:val="24"/>
          <w:szCs w:val="24"/>
        </w:rPr>
        <w:t xml:space="preserve"> thereby serve as a proxy for many others in the analysis. To determine a proxy, we use</w:t>
      </w:r>
      <w:r w:rsidR="004A53D2" w:rsidRPr="00067E97">
        <w:rPr>
          <w:rFonts w:asciiTheme="minorBidi" w:hAnsiTheme="minorBidi"/>
          <w:sz w:val="24"/>
          <w:szCs w:val="24"/>
        </w:rPr>
        <w:t>d</w:t>
      </w:r>
      <w:r w:rsidR="00ED2AD3" w:rsidRPr="00067E97">
        <w:rPr>
          <w:rFonts w:asciiTheme="minorBidi" w:hAnsiTheme="minorBidi"/>
          <w:sz w:val="24"/>
          <w:szCs w:val="24"/>
        </w:rPr>
        <w:t xml:space="preserve"> hierarchical clustering and the square of the correlation measure of linkage disequilibrium </w:t>
      </w:r>
      <w:r w:rsidR="00DA142D" w:rsidRPr="00067E97">
        <w:rPr>
          <w:rFonts w:asciiTheme="minorBidi" w:hAnsiTheme="minorBidi"/>
          <w:sz w:val="24"/>
          <w:szCs w:val="24"/>
        </w:rPr>
        <w:t>(for more details</w:t>
      </w:r>
      <w:r w:rsidR="00B764C7">
        <w:rPr>
          <w:rFonts w:asciiTheme="minorBidi" w:hAnsiTheme="minorBidi"/>
          <w:sz w:val="24"/>
          <w:szCs w:val="24"/>
        </w:rPr>
        <w:t xml:space="preserve">, </w:t>
      </w:r>
      <w:r w:rsidR="00B764C7" w:rsidRPr="00067E97">
        <w:rPr>
          <w:rFonts w:asciiTheme="minorBidi" w:hAnsiTheme="minorBidi"/>
          <w:sz w:val="24"/>
          <w:szCs w:val="24"/>
        </w:rPr>
        <w:t>see</w:t>
      </w:r>
      <w:r w:rsidR="00B764C7">
        <w:rPr>
          <w:rFonts w:asciiTheme="minorBidi" w:hAnsiTheme="minorBidi"/>
          <w:sz w:val="24"/>
          <w:szCs w:val="24"/>
        </w:rPr>
        <w:t xml:space="preserve"> Yazdani and Dunson, 2015</w:t>
      </w:r>
      <w:r w:rsidR="00B764C7" w:rsidRPr="00067E97">
        <w:rPr>
          <w:rFonts w:asciiTheme="minorBidi" w:hAnsiTheme="minorBidi"/>
          <w:sz w:val="24"/>
          <w:szCs w:val="24"/>
        </w:rPr>
        <w:fldChar w:fldCharType="begin"/>
      </w:r>
      <w:r w:rsidR="00B764C7">
        <w:rPr>
          <w:rFonts w:asciiTheme="minorBidi" w:hAnsiTheme="minorBidi"/>
          <w:sz w:val="24"/>
          <w:szCs w:val="24"/>
        </w:rPr>
        <w:instrText xml:space="preserve"> ADDIN EN.CITE &lt;EndNote&gt;&lt;Cite&gt;&lt;Author&gt;Yazdani&lt;/Author&gt;&lt;Year&gt;2015&lt;/Year&gt;&lt;RecNum&gt;638&lt;/RecNum&gt;&lt;DisplayText&gt;&lt;style face="superscript"&gt;1&lt;/style&gt;&lt;/DisplayText&gt;&lt;record&gt;&lt;rec-number&gt;638&lt;/rec-number&gt;&lt;foreign-keys&gt;&lt;key app="EN" db-id="d05rwa92v959vaed5dvva2psw5psvttrte2e" timestamp="1658161334" guid="f14aa3ec-eea7-47ec-a1d1-9c9a01c163c7"&gt;638&lt;/key&gt;&lt;/foreign-keys&gt;&lt;ref-type name="Journal Article"&gt;17&lt;/ref-type&gt;&lt;contributors&gt;&lt;authors&gt;&lt;author&gt;Yazdani, A&lt;/author&gt;&lt;author&gt;Dunson, David B&lt;/author&gt;&lt;/authors&gt;&lt;/contributors&gt;&lt;titles&gt;&lt;title&gt;A hybrid Bayesian approach for genome-wide association studies on related individuals&lt;/title&gt;&lt;secondary-title&gt;Bioinformatics&lt;/secondary-title&gt;&lt;/titles&gt;&lt;periodical&gt;&lt;full-title&gt;Bioinformatics&lt;/full-title&gt;&lt;/periodical&gt;&lt;pages&gt;3890-3896&lt;/pages&gt;&lt;volume&gt;31&lt;/volume&gt;&lt;number&gt;24&lt;/number&gt;&lt;dates&gt;&lt;year&gt;2015&lt;/year&gt;&lt;/dates&gt;&lt;isbn&gt;1460-2059&lt;/isbn&gt;&lt;urls&gt;&lt;/urls&gt;&lt;/record&gt;&lt;/Cite&gt;&lt;/EndNote&gt;</w:instrText>
      </w:r>
      <w:r w:rsidR="00B764C7" w:rsidRPr="00067E97">
        <w:rPr>
          <w:rFonts w:asciiTheme="minorBidi" w:hAnsiTheme="minorBidi"/>
          <w:sz w:val="24"/>
          <w:szCs w:val="24"/>
        </w:rPr>
        <w:fldChar w:fldCharType="separate"/>
      </w:r>
      <w:r w:rsidR="00B764C7" w:rsidRPr="00067E97">
        <w:rPr>
          <w:rFonts w:asciiTheme="minorBidi" w:hAnsiTheme="minorBidi"/>
          <w:noProof/>
          <w:sz w:val="24"/>
          <w:szCs w:val="24"/>
          <w:vertAlign w:val="superscript"/>
        </w:rPr>
        <w:t>1</w:t>
      </w:r>
      <w:r w:rsidR="00B764C7" w:rsidRPr="00067E97">
        <w:rPr>
          <w:rFonts w:asciiTheme="minorBidi" w:hAnsiTheme="minorBidi"/>
          <w:sz w:val="24"/>
          <w:szCs w:val="24"/>
        </w:rPr>
        <w:fldChar w:fldCharType="end"/>
      </w:r>
      <w:r w:rsidR="00B764C7" w:rsidRPr="00067E97">
        <w:rPr>
          <w:rFonts w:asciiTheme="minorBidi" w:hAnsiTheme="minorBidi"/>
          <w:sz w:val="24"/>
          <w:szCs w:val="24"/>
        </w:rPr>
        <w:t>)</w:t>
      </w:r>
      <w:r w:rsidR="00DA142D" w:rsidRPr="00067E97">
        <w:rPr>
          <w:rFonts w:asciiTheme="minorBidi" w:hAnsiTheme="minorBidi"/>
          <w:sz w:val="24"/>
          <w:szCs w:val="24"/>
        </w:rPr>
        <w:t xml:space="preserve">. Second, the genomic information was summarized using the set of principal components applied to each chromosome. We separately applied principal component analysis to each chromosome because it is a safe assumption to consider that chromosomes are independent. Third, the set of principal components responsible for &gt; 90% of the variation over each chromosome was selected. As known, the principal components are independent of each other, and each one comprises variation of multiple SNPs and therefore, termed polygenic factors. </w:t>
      </w:r>
    </w:p>
    <w:p w14:paraId="3B5BB226" w14:textId="7922A975" w:rsidR="004F1593" w:rsidRPr="00067E97" w:rsidRDefault="00783074" w:rsidP="00FE01B0">
      <w:pPr>
        <w:spacing w:before="120" w:line="360" w:lineRule="auto"/>
        <w:jc w:val="both"/>
        <w:rPr>
          <w:rFonts w:asciiTheme="minorBidi" w:hAnsiTheme="minorBidi"/>
          <w:sz w:val="24"/>
          <w:szCs w:val="24"/>
        </w:rPr>
      </w:pPr>
      <w:r>
        <w:rPr>
          <w:rFonts w:asciiTheme="minorBidi" w:eastAsiaTheme="minorEastAsia" w:hAnsiTheme="minorBidi"/>
          <w:b/>
          <w:color w:val="000000"/>
          <w:sz w:val="24"/>
          <w:szCs w:val="24"/>
        </w:rPr>
        <w:t>5</w:t>
      </w:r>
      <w:r w:rsidR="00351F57" w:rsidRPr="00067E97">
        <w:rPr>
          <w:rFonts w:asciiTheme="minorBidi" w:eastAsiaTheme="minorEastAsia" w:hAnsiTheme="minorBidi"/>
          <w:b/>
          <w:color w:val="000000"/>
          <w:sz w:val="24"/>
          <w:szCs w:val="24"/>
        </w:rPr>
        <w:t xml:space="preserve">.3 </w:t>
      </w:r>
      <m:oMath>
        <m:r>
          <m:rPr>
            <m:sty m:val="bi"/>
          </m:rPr>
          <w:rPr>
            <w:rFonts w:ascii="Cambria Math" w:hAnsi="Cambria Math"/>
            <w:color w:val="000000"/>
            <w:sz w:val="24"/>
            <w:szCs w:val="24"/>
          </w:rPr>
          <m:t xml:space="preserve"> V</m:t>
        </m:r>
      </m:oMath>
      <w:r w:rsidR="004F1593" w:rsidRPr="00067E97">
        <w:rPr>
          <w:rFonts w:asciiTheme="minorBidi" w:hAnsiTheme="minorBidi"/>
          <w:b/>
          <w:color w:val="000000"/>
          <w:sz w:val="24"/>
          <w:szCs w:val="24"/>
        </w:rPr>
        <w:t>-structure</w:t>
      </w:r>
      <w:r w:rsidR="004F1593" w:rsidRPr="00067E97">
        <w:rPr>
          <w:rFonts w:asciiTheme="minorBidi" w:hAnsiTheme="minorBidi"/>
          <w:b/>
          <w:sz w:val="24"/>
          <w:szCs w:val="24"/>
        </w:rPr>
        <w:t xml:space="preserve"> identification. </w:t>
      </w:r>
      <w:r w:rsidR="004F1593" w:rsidRPr="00067E97">
        <w:rPr>
          <w:rFonts w:asciiTheme="minorBidi" w:hAnsiTheme="minorBidi"/>
          <w:color w:val="000000"/>
          <w:sz w:val="24"/>
          <w:szCs w:val="24"/>
        </w:rPr>
        <w:t xml:space="preserve">Consider three variables </w:t>
      </w:r>
      <w:r w:rsidR="004F1593" w:rsidRPr="00067E97">
        <w:rPr>
          <w:rFonts w:asciiTheme="minorBidi" w:hAnsiTheme="minorBidi"/>
          <w:noProof/>
          <w:color w:val="000000"/>
          <w:position w:val="-10"/>
          <w:sz w:val="24"/>
          <w:szCs w:val="24"/>
        </w:rPr>
        <w:drawing>
          <wp:inline distT="0" distB="0" distL="0" distR="0" wp14:anchorId="47CE3006" wp14:editId="4C153650">
            <wp:extent cx="212725" cy="2127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2725" cy="212725"/>
                    </a:xfrm>
                    <a:prstGeom prst="rect">
                      <a:avLst/>
                    </a:prstGeom>
                    <a:noFill/>
                    <a:ln>
                      <a:noFill/>
                    </a:ln>
                  </pic:spPr>
                </pic:pic>
              </a:graphicData>
            </a:graphic>
          </wp:inline>
        </w:drawing>
      </w:r>
      <w:r w:rsidR="004F1593" w:rsidRPr="00067E97">
        <w:rPr>
          <w:rFonts w:asciiTheme="minorBidi" w:hAnsiTheme="minorBidi"/>
          <w:color w:val="000000"/>
          <w:sz w:val="24"/>
          <w:szCs w:val="24"/>
        </w:rPr>
        <w:t>,</w:t>
      </w:r>
      <w:r w:rsidR="004F1593" w:rsidRPr="00067E97">
        <w:rPr>
          <w:rFonts w:asciiTheme="minorBidi" w:hAnsiTheme="minorBidi"/>
          <w:noProof/>
          <w:color w:val="000000"/>
          <w:position w:val="-10"/>
          <w:sz w:val="24"/>
          <w:szCs w:val="24"/>
        </w:rPr>
        <w:drawing>
          <wp:inline distT="0" distB="0" distL="0" distR="0" wp14:anchorId="64D1769F" wp14:editId="52C0B09D">
            <wp:extent cx="171450" cy="2127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212725"/>
                    </a:xfrm>
                    <a:prstGeom prst="rect">
                      <a:avLst/>
                    </a:prstGeom>
                    <a:noFill/>
                    <a:ln>
                      <a:noFill/>
                    </a:ln>
                  </pic:spPr>
                </pic:pic>
              </a:graphicData>
            </a:graphic>
          </wp:inline>
        </w:drawing>
      </w:r>
      <w:r w:rsidR="004F1593" w:rsidRPr="00067E97">
        <w:rPr>
          <w:rFonts w:asciiTheme="minorBidi" w:hAnsiTheme="minorBidi"/>
          <w:color w:val="000000"/>
          <w:sz w:val="24"/>
          <w:szCs w:val="24"/>
        </w:rPr>
        <w:t xml:space="preserve">, and </w:t>
      </w:r>
      <w:r w:rsidR="004F1593" w:rsidRPr="00067E97">
        <w:rPr>
          <w:rFonts w:asciiTheme="minorBidi" w:hAnsiTheme="minorBidi"/>
          <w:noProof/>
          <w:color w:val="000000"/>
          <w:position w:val="-12"/>
          <w:sz w:val="24"/>
          <w:szCs w:val="24"/>
        </w:rPr>
        <w:drawing>
          <wp:inline distT="0" distB="0" distL="0" distR="0" wp14:anchorId="454464BB" wp14:editId="6BD930C6">
            <wp:extent cx="191770" cy="2254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1770" cy="225425"/>
                    </a:xfrm>
                    <a:prstGeom prst="rect">
                      <a:avLst/>
                    </a:prstGeom>
                    <a:noFill/>
                    <a:ln>
                      <a:noFill/>
                    </a:ln>
                  </pic:spPr>
                </pic:pic>
              </a:graphicData>
            </a:graphic>
          </wp:inline>
        </w:drawing>
      </w:r>
      <w:r w:rsidR="004F1593" w:rsidRPr="00067E97">
        <w:rPr>
          <w:rFonts w:asciiTheme="minorBidi" w:hAnsiTheme="minorBidi"/>
          <w:color w:val="000000"/>
          <w:sz w:val="24"/>
          <w:szCs w:val="24"/>
        </w:rPr>
        <w:t>. Assume from data</w:t>
      </w:r>
      <w:r w:rsidR="004A53D2" w:rsidRPr="00067E97">
        <w:rPr>
          <w:rFonts w:asciiTheme="minorBidi" w:hAnsiTheme="minorBidi"/>
          <w:color w:val="000000"/>
          <w:sz w:val="24"/>
          <w:szCs w:val="24"/>
        </w:rPr>
        <w:t xml:space="preserve"> that</w:t>
      </w:r>
      <w:r w:rsidR="004F1593" w:rsidRPr="00067E97">
        <w:rPr>
          <w:rFonts w:asciiTheme="minorBidi" w:hAnsiTheme="minorBidi"/>
          <w:color w:val="000000"/>
          <w:sz w:val="24"/>
          <w:szCs w:val="24"/>
        </w:rPr>
        <w:t xml:space="preserve"> we obtain </w:t>
      </w:r>
      <m:oMath>
        <m:sSub>
          <m:sSubPr>
            <m:ctrlPr>
              <w:rPr>
                <w:rFonts w:ascii="Cambria Math" w:hAnsi="Cambria Math"/>
                <w:i/>
                <w:color w:val="000000"/>
                <w:sz w:val="24"/>
                <w:szCs w:val="24"/>
              </w:rPr>
            </m:ctrlPr>
          </m:sSubPr>
          <m:e>
            <m:r>
              <w:rPr>
                <w:rFonts w:ascii="Cambria Math" w:hAnsi="Cambria Math"/>
                <w:color w:val="000000"/>
                <w:sz w:val="24"/>
                <w:szCs w:val="24"/>
              </w:rPr>
              <m:t>Y</m:t>
            </m:r>
          </m:e>
          <m:sub>
            <m:r>
              <w:rPr>
                <w:rFonts w:ascii="Cambria Math" w:hAnsi="Cambria Math"/>
                <w:color w:val="000000"/>
                <w:sz w:val="24"/>
                <w:szCs w:val="24"/>
              </w:rPr>
              <m:t>1</m:t>
            </m:r>
          </m:sub>
        </m:sSub>
        <m:r>
          <w:rPr>
            <w:rFonts w:ascii="Cambria Math" w:hAnsi="Cambria Math"/>
            <w:color w:val="000000"/>
            <w:sz w:val="24"/>
            <w:szCs w:val="24"/>
          </w:rPr>
          <m:t>⊥</m:t>
        </m:r>
        <m:sSub>
          <m:sSubPr>
            <m:ctrlPr>
              <w:rPr>
                <w:rFonts w:ascii="Cambria Math" w:hAnsi="Cambria Math"/>
                <w:i/>
                <w:color w:val="000000"/>
                <w:sz w:val="24"/>
                <w:szCs w:val="24"/>
              </w:rPr>
            </m:ctrlPr>
          </m:sSubPr>
          <m:e>
            <m:r>
              <w:rPr>
                <w:rFonts w:ascii="Cambria Math" w:hAnsi="Cambria Math"/>
                <w:color w:val="000000"/>
                <w:sz w:val="24"/>
                <w:szCs w:val="24"/>
              </w:rPr>
              <m:t>Y</m:t>
            </m:r>
          </m:e>
          <m:sub>
            <m:r>
              <w:rPr>
                <w:rFonts w:ascii="Cambria Math" w:hAnsi="Cambria Math"/>
                <w:color w:val="000000"/>
                <w:sz w:val="24"/>
                <w:szCs w:val="24"/>
              </w:rPr>
              <m:t>2</m:t>
            </m:r>
          </m:sub>
        </m:sSub>
      </m:oMath>
      <w:r w:rsidR="004F1593" w:rsidRPr="00067E97">
        <w:rPr>
          <w:rFonts w:asciiTheme="minorBidi" w:hAnsiTheme="minorBidi"/>
          <w:color w:val="000000"/>
          <w:sz w:val="24"/>
          <w:szCs w:val="24"/>
        </w:rPr>
        <w:t xml:space="preserve">, as well as </w:t>
      </w:r>
      <w:r w:rsidR="004F1593" w:rsidRPr="00067E97">
        <w:rPr>
          <w:rFonts w:asciiTheme="minorBidi" w:hAnsiTheme="minorBidi"/>
          <w:noProof/>
          <w:color w:val="000000"/>
          <w:position w:val="-10"/>
          <w:sz w:val="24"/>
          <w:szCs w:val="24"/>
        </w:rPr>
        <w:drawing>
          <wp:inline distT="0" distB="0" distL="0" distR="0" wp14:anchorId="063109C7" wp14:editId="2250D5DC">
            <wp:extent cx="212725" cy="2127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2725" cy="212725"/>
                    </a:xfrm>
                    <a:prstGeom prst="rect">
                      <a:avLst/>
                    </a:prstGeom>
                    <a:noFill/>
                    <a:ln>
                      <a:noFill/>
                    </a:ln>
                  </pic:spPr>
                </pic:pic>
              </a:graphicData>
            </a:graphic>
          </wp:inline>
        </w:drawing>
      </w:r>
      <w:r w:rsidR="004F1593" w:rsidRPr="00067E97">
        <w:rPr>
          <w:rFonts w:asciiTheme="minorBidi" w:hAnsiTheme="minorBidi"/>
          <w:noProof/>
          <w:color w:val="000000"/>
          <w:sz w:val="24"/>
          <w:szCs w:val="24"/>
        </w:rPr>
        <w:drawing>
          <wp:inline distT="0" distB="0" distL="0" distR="0" wp14:anchorId="1229261A" wp14:editId="4FA76A5E">
            <wp:extent cx="154305" cy="1543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4305" cy="154305"/>
                    </a:xfrm>
                    <a:prstGeom prst="rect">
                      <a:avLst/>
                    </a:prstGeom>
                    <a:noFill/>
                    <a:ln>
                      <a:noFill/>
                    </a:ln>
                  </pic:spPr>
                </pic:pic>
              </a:graphicData>
            </a:graphic>
          </wp:inline>
        </w:drawing>
      </w:r>
      <m:oMath>
        <m:sSub>
          <m:sSubPr>
            <m:ctrlPr>
              <w:rPr>
                <w:rFonts w:ascii="Cambria Math" w:hAnsi="Cambria Math"/>
                <w:i/>
                <w:color w:val="000000"/>
                <w:sz w:val="24"/>
                <w:szCs w:val="24"/>
              </w:rPr>
            </m:ctrlPr>
          </m:sSubPr>
          <m:e>
            <m:r>
              <w:rPr>
                <w:rFonts w:ascii="Cambria Math" w:hAnsi="Cambria Math"/>
                <w:color w:val="000000"/>
                <w:sz w:val="24"/>
                <w:szCs w:val="24"/>
              </w:rPr>
              <m:t>Y</m:t>
            </m:r>
          </m:e>
          <m:sub>
            <m:r>
              <w:rPr>
                <w:rFonts w:ascii="Cambria Math" w:hAnsi="Cambria Math"/>
                <w:color w:val="000000"/>
                <w:sz w:val="24"/>
                <w:szCs w:val="24"/>
              </w:rPr>
              <m:t>2</m:t>
            </m:r>
          </m:sub>
        </m:sSub>
        <m:r>
          <w:rPr>
            <w:rFonts w:ascii="Cambria Math" w:hAnsi="Cambria Math"/>
            <w:color w:val="000000"/>
            <w:sz w:val="24"/>
            <w:szCs w:val="24"/>
          </w:rPr>
          <m:t>|</m:t>
        </m:r>
        <m:sSub>
          <m:sSubPr>
            <m:ctrlPr>
              <w:rPr>
                <w:rFonts w:ascii="Cambria Math" w:hAnsi="Cambria Math"/>
                <w:i/>
                <w:color w:val="000000"/>
                <w:sz w:val="24"/>
                <w:szCs w:val="24"/>
              </w:rPr>
            </m:ctrlPr>
          </m:sSubPr>
          <m:e>
            <m:r>
              <w:rPr>
                <w:rFonts w:ascii="Cambria Math" w:hAnsi="Cambria Math"/>
                <w:color w:val="000000"/>
                <w:sz w:val="24"/>
                <w:szCs w:val="24"/>
              </w:rPr>
              <m:t>Y</m:t>
            </m:r>
          </m:e>
          <m:sub>
            <m:r>
              <w:rPr>
                <w:rFonts w:ascii="Cambria Math" w:hAnsi="Cambria Math"/>
                <w:color w:val="000000"/>
                <w:sz w:val="24"/>
                <w:szCs w:val="24"/>
              </w:rPr>
              <m:t>3</m:t>
            </m:r>
          </m:sub>
        </m:sSub>
      </m:oMath>
      <w:r w:rsidR="004F1593" w:rsidRPr="00067E97">
        <w:rPr>
          <w:rFonts w:asciiTheme="minorBidi" w:hAnsiTheme="minorBidi"/>
          <w:color w:val="000000"/>
          <w:sz w:val="24"/>
          <w:szCs w:val="24"/>
        </w:rPr>
        <w:t xml:space="preserve">; graphically </w:t>
      </w:r>
      <w:r w:rsidR="004F1593" w:rsidRPr="00067E97">
        <w:rPr>
          <w:rFonts w:asciiTheme="minorBidi" w:hAnsiTheme="minorBidi"/>
          <w:noProof/>
          <w:color w:val="000000"/>
          <w:position w:val="-10"/>
          <w:sz w:val="24"/>
          <w:szCs w:val="24"/>
        </w:rPr>
        <w:drawing>
          <wp:inline distT="0" distB="0" distL="0" distR="0" wp14:anchorId="64A87775" wp14:editId="2DFB9F25">
            <wp:extent cx="212725" cy="2127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2725" cy="212725"/>
                    </a:xfrm>
                    <a:prstGeom prst="rect">
                      <a:avLst/>
                    </a:prstGeom>
                    <a:noFill/>
                    <a:ln>
                      <a:noFill/>
                    </a:ln>
                  </pic:spPr>
                </pic:pic>
              </a:graphicData>
            </a:graphic>
          </wp:inline>
        </w:drawing>
      </w:r>
      <w:r w:rsidR="004F1593" w:rsidRPr="00067E97">
        <w:rPr>
          <w:rFonts w:asciiTheme="minorBidi" w:hAnsiTheme="minorBidi"/>
          <w:i/>
          <w:noProof/>
          <w:color w:val="000000"/>
          <w:sz w:val="24"/>
          <w:szCs w:val="24"/>
        </w:rPr>
        <w:drawing>
          <wp:inline distT="0" distB="0" distL="0" distR="0" wp14:anchorId="2915078A" wp14:editId="26CEFC58">
            <wp:extent cx="338455" cy="108585"/>
            <wp:effectExtent l="0" t="0" r="0" b="0"/>
            <wp:docPr id="9" name="Picture 9" descr="Untitled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Untitled Diagram"/>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8455" cy="108585"/>
                    </a:xfrm>
                    <a:prstGeom prst="rect">
                      <a:avLst/>
                    </a:prstGeom>
                    <a:noFill/>
                    <a:ln>
                      <a:noFill/>
                    </a:ln>
                  </pic:spPr>
                </pic:pic>
              </a:graphicData>
            </a:graphic>
          </wp:inline>
        </w:drawing>
      </w:r>
      <w:r w:rsidR="004F1593" w:rsidRPr="00067E97">
        <w:rPr>
          <w:rFonts w:asciiTheme="minorBidi" w:hAnsiTheme="minorBidi"/>
          <w:noProof/>
          <w:color w:val="000000"/>
          <w:position w:val="-12"/>
          <w:sz w:val="24"/>
          <w:szCs w:val="24"/>
        </w:rPr>
        <w:drawing>
          <wp:inline distT="0" distB="0" distL="0" distR="0" wp14:anchorId="6DB3932F" wp14:editId="1D225C66">
            <wp:extent cx="191770" cy="22542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91770" cy="225425"/>
                    </a:xfrm>
                    <a:prstGeom prst="rect">
                      <a:avLst/>
                    </a:prstGeom>
                    <a:noFill/>
                    <a:ln>
                      <a:noFill/>
                    </a:ln>
                  </pic:spPr>
                </pic:pic>
              </a:graphicData>
            </a:graphic>
          </wp:inline>
        </w:drawing>
      </w:r>
      <w:r w:rsidR="004F1593" w:rsidRPr="00067E97">
        <w:rPr>
          <w:rFonts w:asciiTheme="minorBidi" w:hAnsiTheme="minorBidi"/>
          <w:noProof/>
          <w:color w:val="000000"/>
          <w:sz w:val="24"/>
          <w:szCs w:val="24"/>
        </w:rPr>
        <w:drawing>
          <wp:inline distT="0" distB="0" distL="0" distR="0" wp14:anchorId="4A3F854D" wp14:editId="01E9C96C">
            <wp:extent cx="338455" cy="87630"/>
            <wp:effectExtent l="0" t="0" r="0" b="0"/>
            <wp:docPr id="18" name="Picture 18" descr="Untitled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Untitled Diagram"/>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38455" cy="87630"/>
                    </a:xfrm>
                    <a:prstGeom prst="rect">
                      <a:avLst/>
                    </a:prstGeom>
                    <a:noFill/>
                    <a:ln>
                      <a:noFill/>
                    </a:ln>
                  </pic:spPr>
                </pic:pic>
              </a:graphicData>
            </a:graphic>
          </wp:inline>
        </w:drawing>
      </w:r>
      <w:r w:rsidR="004F1593" w:rsidRPr="00067E97">
        <w:rPr>
          <w:rFonts w:asciiTheme="minorBidi" w:hAnsiTheme="minorBidi"/>
          <w:noProof/>
          <w:color w:val="000000"/>
          <w:position w:val="-10"/>
          <w:sz w:val="24"/>
          <w:szCs w:val="24"/>
        </w:rPr>
        <w:drawing>
          <wp:inline distT="0" distB="0" distL="0" distR="0" wp14:anchorId="00E0DDAD" wp14:editId="4DA4D41F">
            <wp:extent cx="171450" cy="21272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212725"/>
                    </a:xfrm>
                    <a:prstGeom prst="rect">
                      <a:avLst/>
                    </a:prstGeom>
                    <a:noFill/>
                    <a:ln>
                      <a:noFill/>
                    </a:ln>
                  </pic:spPr>
                </pic:pic>
              </a:graphicData>
            </a:graphic>
          </wp:inline>
        </w:drawing>
      </w:r>
      <w:r w:rsidR="00B764C7">
        <w:rPr>
          <w:rFonts w:asciiTheme="minorBidi" w:hAnsiTheme="minorBidi"/>
          <w:color w:val="000000"/>
          <w:sz w:val="24"/>
          <w:szCs w:val="24"/>
        </w:rPr>
        <w:t>,</w:t>
      </w:r>
      <w:r w:rsidR="004F1593" w:rsidRPr="00067E97">
        <w:rPr>
          <w:rFonts w:asciiTheme="minorBidi" w:hAnsiTheme="minorBidi"/>
          <w:i/>
          <w:color w:val="000000"/>
          <w:sz w:val="24"/>
          <w:szCs w:val="24"/>
        </w:rPr>
        <w:t xml:space="preserve"> </w:t>
      </w:r>
      <w:r w:rsidR="004F1593" w:rsidRPr="00067E97">
        <w:rPr>
          <w:rFonts w:asciiTheme="minorBidi" w:hAnsiTheme="minorBidi"/>
          <w:color w:val="000000"/>
          <w:sz w:val="24"/>
          <w:szCs w:val="24"/>
        </w:rPr>
        <w:t xml:space="preserve">which is a unique identification of the causal relationship and is called </w:t>
      </w:r>
      <m:oMath>
        <m:r>
          <w:rPr>
            <w:rFonts w:ascii="Cambria Math" w:hAnsi="Cambria Math"/>
            <w:color w:val="000000"/>
            <w:sz w:val="24"/>
            <w:szCs w:val="24"/>
          </w:rPr>
          <m:t>V</m:t>
        </m:r>
      </m:oMath>
      <w:r w:rsidR="004F1593" w:rsidRPr="00067E97">
        <w:rPr>
          <w:rFonts w:asciiTheme="minorBidi" w:hAnsiTheme="minorBidi"/>
          <w:color w:val="000000"/>
          <w:sz w:val="24"/>
          <w:szCs w:val="24"/>
        </w:rPr>
        <w:t>-structure</w:t>
      </w:r>
      <w:r w:rsidR="00067E97">
        <w:rPr>
          <w:rFonts w:asciiTheme="minorBidi" w:hAnsiTheme="minorBidi"/>
          <w:color w:val="000000"/>
          <w:sz w:val="24"/>
          <w:szCs w:val="24"/>
        </w:rPr>
        <w:t xml:space="preserve"> </w:t>
      </w:r>
      <w:r w:rsidR="00067E97">
        <w:rPr>
          <w:rFonts w:asciiTheme="minorBidi" w:hAnsiTheme="minorBidi"/>
          <w:color w:val="000000"/>
          <w:sz w:val="24"/>
          <w:szCs w:val="24"/>
        </w:rPr>
        <w:fldChar w:fldCharType="begin"/>
      </w:r>
      <w:r w:rsidR="00067E97">
        <w:rPr>
          <w:rFonts w:asciiTheme="minorBidi" w:hAnsiTheme="minorBidi"/>
          <w:color w:val="000000"/>
          <w:sz w:val="24"/>
          <w:szCs w:val="24"/>
        </w:rPr>
        <w:instrText xml:space="preserve"> ADDIN EN.CITE &lt;EndNote&gt;&lt;Cite&gt;&lt;Author&gt;Pearl&lt;/Author&gt;&lt;Year&gt;2011&lt;/Year&gt;&lt;RecNum&gt;143&lt;/RecNum&gt;&lt;DisplayText&gt;&lt;style face="superscript"&gt;2&lt;/style&gt;&lt;/DisplayText&gt;&lt;record&gt;&lt;rec-number&gt;143&lt;/rec-number&gt;&lt;foreign-keys&gt;&lt;key app="EN" db-id="d05rwa92v959vaed5dvva2psw5psvttrte2e" timestamp="1610949135" guid="75040b95-a06e-468e-9644-a0b1d1a0a151"&gt;143&lt;/key&gt;&lt;/foreign-keys&gt;&lt;ref-type name="Generic"&gt;13&lt;/ref-type&gt;&lt;contributors&gt;&lt;authors&gt;&lt;author&gt;Pearl, Judea&lt;/author&gt;&lt;/authors&gt;&lt;/contributors&gt;&lt;titles&gt;&lt;title&gt;Causality: Models, reasoning, and inference, second edition&lt;/title&gt;&lt;secondary-title&gt;Causality: Models, Reasoning, and Inference, Second Edition&lt;/secondary-title&gt;&lt;/titles&gt;&lt;dates&gt;&lt;year&gt;2011&lt;/year&gt;&lt;/dates&gt;&lt;isbn&gt;9780511803161&lt;/isbn&gt;&lt;urls&gt;&lt;/urls&gt;&lt;electronic-resource-num&gt;10.1017/CBO9780511803161&lt;/electronic-resource-num&gt;&lt;/record&gt;&lt;/Cite&gt;&lt;/EndNote&gt;</w:instrText>
      </w:r>
      <w:r w:rsidR="00067E97">
        <w:rPr>
          <w:rFonts w:asciiTheme="minorBidi" w:hAnsiTheme="minorBidi"/>
          <w:color w:val="000000"/>
          <w:sz w:val="24"/>
          <w:szCs w:val="24"/>
        </w:rPr>
        <w:fldChar w:fldCharType="separate"/>
      </w:r>
      <w:r w:rsidR="00067E97" w:rsidRPr="00067E97">
        <w:rPr>
          <w:rFonts w:asciiTheme="minorBidi" w:hAnsiTheme="minorBidi"/>
          <w:noProof/>
          <w:color w:val="000000"/>
          <w:sz w:val="24"/>
          <w:szCs w:val="24"/>
          <w:vertAlign w:val="superscript"/>
        </w:rPr>
        <w:t>2</w:t>
      </w:r>
      <w:r w:rsidR="00067E97">
        <w:rPr>
          <w:rFonts w:asciiTheme="minorBidi" w:hAnsiTheme="minorBidi"/>
          <w:color w:val="000000"/>
          <w:sz w:val="24"/>
          <w:szCs w:val="24"/>
        </w:rPr>
        <w:fldChar w:fldCharType="end"/>
      </w:r>
      <w:r w:rsidR="004F1593" w:rsidRPr="00067E97">
        <w:rPr>
          <w:rFonts w:asciiTheme="minorBidi" w:hAnsiTheme="minorBidi"/>
          <w:color w:val="000000"/>
          <w:sz w:val="24"/>
          <w:szCs w:val="24"/>
        </w:rPr>
        <w:t>, two converging arrows whose tails are not connected.</w:t>
      </w:r>
    </w:p>
    <w:p w14:paraId="06AA8B29" w14:textId="7A8FBD17" w:rsidR="00B71365" w:rsidRPr="00067E97" w:rsidRDefault="008C6D7C" w:rsidP="00FE01B0">
      <w:pPr>
        <w:spacing w:before="120" w:line="360" w:lineRule="auto"/>
        <w:jc w:val="both"/>
        <w:rPr>
          <w:rFonts w:asciiTheme="minorBidi" w:hAnsiTheme="minorBidi"/>
          <w:sz w:val="24"/>
          <w:szCs w:val="24"/>
        </w:rPr>
      </w:pPr>
      <m:oMath>
        <m:r>
          <w:rPr>
            <w:rFonts w:ascii="Cambria Math" w:hAnsi="Cambria Math"/>
            <w:color w:val="000000"/>
            <w:sz w:val="24"/>
            <w:szCs w:val="24"/>
          </w:rPr>
          <m:t>V</m:t>
        </m:r>
      </m:oMath>
      <w:r w:rsidRPr="00067E97">
        <w:rPr>
          <w:rFonts w:asciiTheme="minorBidi" w:hAnsiTheme="minorBidi"/>
          <w:color w:val="000000"/>
          <w:sz w:val="24"/>
          <w:szCs w:val="24"/>
        </w:rPr>
        <w:t>-structure</w:t>
      </w:r>
      <w:r w:rsidRPr="00067E97">
        <w:rPr>
          <w:rFonts w:asciiTheme="minorBidi" w:hAnsiTheme="minorBidi"/>
          <w:sz w:val="24"/>
          <w:szCs w:val="24"/>
        </w:rPr>
        <w:t>s make the probability distributions distinguishable</w:t>
      </w:r>
      <w:r w:rsidR="004A53D2" w:rsidRPr="00067E97">
        <w:rPr>
          <w:rFonts w:asciiTheme="minorBidi" w:hAnsiTheme="minorBidi"/>
          <w:sz w:val="24"/>
          <w:szCs w:val="24"/>
        </w:rPr>
        <w:t>;</w:t>
      </w:r>
      <w:r w:rsidRPr="00067E97">
        <w:rPr>
          <w:rFonts w:asciiTheme="minorBidi" w:hAnsiTheme="minorBidi"/>
          <w:sz w:val="24"/>
          <w:szCs w:val="24"/>
        </w:rPr>
        <w:t xml:space="preserve"> therefore, they are identifiable from data.</w:t>
      </w:r>
    </w:p>
    <w:p w14:paraId="342DF9EA" w14:textId="2EBDFCFC" w:rsidR="00FE01B0" w:rsidRDefault="00FE01B0" w:rsidP="00FE01B0">
      <w:pPr>
        <w:spacing w:before="240" w:after="0" w:line="360" w:lineRule="auto"/>
        <w:jc w:val="both"/>
        <w:rPr>
          <w:rFonts w:asciiTheme="minorBidi" w:eastAsia="Times New Roman" w:hAnsiTheme="minorBidi"/>
        </w:rPr>
      </w:pPr>
      <w:r>
        <w:rPr>
          <w:rFonts w:asciiTheme="minorBidi" w:hAnsiTheme="minorBidi"/>
          <w:b/>
          <w:bCs/>
        </w:rPr>
        <w:t xml:space="preserve">5.4 </w:t>
      </w:r>
      <w:r w:rsidRPr="008B0A1D">
        <w:rPr>
          <w:rFonts w:asciiTheme="minorBidi" w:hAnsiTheme="minorBidi"/>
          <w:b/>
          <w:bCs/>
        </w:rPr>
        <w:t xml:space="preserve">Variable-Reduction </w:t>
      </w:r>
      <w:r>
        <w:rPr>
          <w:rFonts w:asciiTheme="minorBidi" w:hAnsiTheme="minorBidi"/>
          <w:b/>
          <w:bCs/>
        </w:rPr>
        <w:t>t</w:t>
      </w:r>
      <w:r w:rsidRPr="008B0A1D">
        <w:rPr>
          <w:rFonts w:asciiTheme="minorBidi" w:hAnsiTheme="minorBidi"/>
          <w:b/>
          <w:bCs/>
        </w:rPr>
        <w:t>est</w:t>
      </w:r>
      <w:r w:rsidRPr="008B0A1D">
        <w:rPr>
          <w:rFonts w:asciiTheme="minorBidi" w:eastAsia="Times New Roman" w:hAnsiTheme="minorBidi"/>
        </w:rPr>
        <w:fldChar w:fldCharType="begin"/>
      </w:r>
      <w:r w:rsidR="00B764C7">
        <w:rPr>
          <w:rFonts w:asciiTheme="minorBidi" w:eastAsia="Times New Roman" w:hAnsiTheme="minorBidi"/>
        </w:rPr>
        <w:instrText xml:space="preserve"> ADDIN EN.CITE &lt;EndNote&gt;&lt;Cite&gt;&lt;Author&gt;Yazdani&lt;/Author&gt;&lt;Year&gt;2022&lt;/Year&gt;&lt;RecNum&gt;655&lt;/RecNum&gt;&lt;DisplayText&gt;&lt;style face="superscript"&gt;3&lt;/style&gt;&lt;/DisplayText&gt;&lt;record&gt;&lt;rec-number&gt;655&lt;/rec-number&gt;&lt;foreign-keys&gt;&lt;key app="EN" db-id="d05rwa92v959vaed5dvva2psw5psvttrte2e" timestamp="1664812343" guid="93413af0-b47b-4a89-bc6d-64225171b510"&gt;655&lt;/key&gt;&lt;/foreign-keys&gt;&lt;ref-type name="Journal Article"&gt;17&lt;/ref-type&gt;&lt;contributors&gt;&lt;authors&gt;&lt;author&gt;Yazdani, A., Yazdani, A., Samiei, A., Kosorok, M. R., &amp;amp; Schaid, D. J. &lt;/author&gt;&lt;/authors&gt;&lt;/contributors&gt;&lt;titles&gt;&lt;title&gt;From classical Mendelian randomization to causal networks for systematic integration of multi-omics. Frontiers in Genetics.&lt;/title&gt;&lt;secondary-title&gt;Frontiers in Genetics&lt;/secondary-title&gt;&lt;/titles&gt;&lt;periodical&gt;&lt;full-title&gt;Frontiers in genetics&lt;/full-title&gt;&lt;/periodical&gt;&lt;dates&gt;&lt;year&gt;2022&lt;/year&gt;&lt;/dates&gt;&lt;work-type&gt;review &lt;/work-type&gt;&lt;urls&gt;&lt;/urls&gt;&lt;electronic-resource-num&gt;https://doi.org/10.3389/fgene.2022.990486&lt;/electronic-resource-num&gt;&lt;/record&gt;&lt;/Cite&gt;&lt;/EndNote&gt;</w:instrText>
      </w:r>
      <w:r w:rsidRPr="008B0A1D">
        <w:rPr>
          <w:rFonts w:asciiTheme="minorBidi" w:eastAsia="Times New Roman" w:hAnsiTheme="minorBidi"/>
        </w:rPr>
        <w:fldChar w:fldCharType="separate"/>
      </w:r>
      <w:r w:rsidR="00B764C7" w:rsidRPr="00B764C7">
        <w:rPr>
          <w:rFonts w:asciiTheme="minorBidi" w:eastAsia="Times New Roman" w:hAnsiTheme="minorBidi"/>
          <w:noProof/>
          <w:vertAlign w:val="superscript"/>
        </w:rPr>
        <w:t>3</w:t>
      </w:r>
      <w:r w:rsidRPr="008B0A1D">
        <w:rPr>
          <w:rFonts w:asciiTheme="minorBidi" w:eastAsia="Times New Roman" w:hAnsiTheme="minorBidi"/>
        </w:rPr>
        <w:fldChar w:fldCharType="end"/>
      </w:r>
      <w:r w:rsidRPr="008B0A1D">
        <w:rPr>
          <w:rFonts w:asciiTheme="minorBidi" w:hAnsiTheme="minorBidi"/>
          <w:b/>
          <w:bCs/>
        </w:rPr>
        <w:t xml:space="preserve">: </w:t>
      </w:r>
      <w:r w:rsidRPr="008B0A1D">
        <w:rPr>
          <w:rFonts w:asciiTheme="minorBidi" w:eastAsia="Times New Roman" w:hAnsiTheme="minorBidi"/>
        </w:rPr>
        <w:t>In an identified network, consider a node that has only a role as a receptor. The property of this node is arrows</w:t>
      </w:r>
      <w:r>
        <w:rPr>
          <w:rFonts w:asciiTheme="minorBidi" w:eastAsia="Times New Roman" w:hAnsiTheme="minorBidi"/>
        </w:rPr>
        <w:t xml:space="preserve"> in, with no</w:t>
      </w:r>
      <w:r w:rsidRPr="008B0A1D">
        <w:rPr>
          <w:rFonts w:asciiTheme="minorBidi" w:eastAsia="Times New Roman" w:hAnsiTheme="minorBidi"/>
        </w:rPr>
        <w:t xml:space="preserve"> arrows </w:t>
      </w:r>
      <w:r>
        <w:rPr>
          <w:rFonts w:asciiTheme="minorBidi" w:eastAsia="Times New Roman" w:hAnsiTheme="minorBidi"/>
        </w:rPr>
        <w:t>out</w:t>
      </w:r>
      <w:r w:rsidRPr="008B0A1D">
        <w:rPr>
          <w:rFonts w:asciiTheme="minorBidi" w:eastAsia="Times New Roman" w:hAnsiTheme="minorBidi"/>
        </w:rPr>
        <w:fldChar w:fldCharType="begin"/>
      </w:r>
      <w:r w:rsidR="00B764C7">
        <w:rPr>
          <w:rFonts w:asciiTheme="minorBidi" w:eastAsia="Times New Roman" w:hAnsiTheme="minorBidi"/>
        </w:rPr>
        <w:instrText xml:space="preserve"> ADDIN EN.CITE &lt;EndNote&gt;&lt;Cite&gt;&lt;Author&gt;Yazdani&lt;/Author&gt;&lt;Year&gt;2022&lt;/Year&gt;&lt;RecNum&gt;655&lt;/RecNum&gt;&lt;DisplayText&gt;&lt;style face="superscript"&gt;3&lt;/style&gt;&lt;/DisplayText&gt;&lt;record&gt;&lt;rec-number&gt;655&lt;/rec-number&gt;&lt;foreign-keys&gt;&lt;key app="EN" db-id="d05rwa92v959vaed5dvva2psw5psvttrte2e" timestamp="1664812343" guid="93413af0-b47b-4a89-bc6d-64225171b510"&gt;655&lt;/key&gt;&lt;/foreign-keys&gt;&lt;ref-type name="Journal Article"&gt;17&lt;/ref-type&gt;&lt;contributors&gt;&lt;authors&gt;&lt;author&gt;Yazdani, A., Yazdani, A., Samiei, A., Kosorok, M. R., &amp;amp; Schaid, D. J. &lt;/author&gt;&lt;/authors&gt;&lt;/contributors&gt;&lt;titles&gt;&lt;title&gt;From classical Mendelian randomization to causal networks for systematic integration of multi-omics. Frontiers in Genetics.&lt;/title&gt;&lt;secondary-title&gt;Frontiers in Genetics&lt;/secondary-title&gt;&lt;/titles&gt;&lt;periodical&gt;&lt;full-title&gt;Frontiers in genetics&lt;/full-title&gt;&lt;/periodical&gt;&lt;dates&gt;&lt;year&gt;2022&lt;/year&gt;&lt;/dates&gt;&lt;work-type&gt;review &lt;/work-type&gt;&lt;urls&gt;&lt;/urls&gt;&lt;electronic-resource-num&gt;https://doi.org/10.3389/fgene.2022.990486&lt;/electronic-resource-num&gt;&lt;/record&gt;&lt;/Cite&gt;&lt;/EndNote&gt;</w:instrText>
      </w:r>
      <w:r w:rsidRPr="008B0A1D">
        <w:rPr>
          <w:rFonts w:asciiTheme="minorBidi" w:eastAsia="Times New Roman" w:hAnsiTheme="minorBidi"/>
        </w:rPr>
        <w:fldChar w:fldCharType="separate"/>
      </w:r>
      <w:r w:rsidR="00B764C7" w:rsidRPr="00B764C7">
        <w:rPr>
          <w:rFonts w:asciiTheme="minorBidi" w:eastAsia="Times New Roman" w:hAnsiTheme="minorBidi"/>
          <w:noProof/>
          <w:vertAlign w:val="superscript"/>
        </w:rPr>
        <w:t>3</w:t>
      </w:r>
      <w:r w:rsidRPr="008B0A1D">
        <w:rPr>
          <w:rFonts w:asciiTheme="minorBidi" w:eastAsia="Times New Roman" w:hAnsiTheme="minorBidi"/>
        </w:rPr>
        <w:fldChar w:fldCharType="end"/>
      </w:r>
      <w:r w:rsidRPr="008B0A1D">
        <w:rPr>
          <w:rFonts w:asciiTheme="minorBidi" w:eastAsia="Times New Roman" w:hAnsiTheme="minorBidi"/>
        </w:rPr>
        <w:t>. From the network, we conclude that the corresponding variable to this node does not affect any other variables. Therefore, if we remove the corresponding variable from the set of variables, and then, identify a network of the subset, we expect the connectivity among the variables in the subset to stay the same as before.</w:t>
      </w:r>
    </w:p>
    <w:p w14:paraId="2242B673" w14:textId="77777777" w:rsidR="00FE01B0" w:rsidRPr="008B0A1D" w:rsidRDefault="00FE01B0" w:rsidP="00FE01B0">
      <w:pPr>
        <w:spacing w:before="60" w:after="0" w:line="360" w:lineRule="auto"/>
        <w:jc w:val="both"/>
        <w:rPr>
          <w:rFonts w:asciiTheme="minorBidi" w:eastAsia="Times New Roman" w:hAnsiTheme="minorBidi"/>
        </w:rPr>
      </w:pPr>
    </w:p>
    <w:p w14:paraId="269E764C" w14:textId="7E30D29A" w:rsidR="00A82B16" w:rsidRDefault="00783074" w:rsidP="00FE01B0">
      <w:pPr>
        <w:spacing w:before="120" w:line="360" w:lineRule="auto"/>
        <w:jc w:val="both"/>
        <w:rPr>
          <w:rFonts w:asciiTheme="minorBidi" w:hAnsiTheme="minorBidi"/>
        </w:rPr>
      </w:pPr>
      <w:r>
        <w:rPr>
          <w:rFonts w:asciiTheme="minorBidi" w:hAnsiTheme="minorBidi"/>
          <w:b/>
          <w:bCs/>
          <w:sz w:val="24"/>
          <w:szCs w:val="24"/>
        </w:rPr>
        <w:t>6</w:t>
      </w:r>
      <w:r w:rsidR="00A82B16" w:rsidRPr="001E36A3">
        <w:rPr>
          <w:rFonts w:asciiTheme="minorBidi" w:hAnsiTheme="minorBidi"/>
          <w:b/>
          <w:bCs/>
          <w:sz w:val="24"/>
          <w:szCs w:val="24"/>
        </w:rPr>
        <w:t xml:space="preserve">. </w:t>
      </w:r>
      <w:r w:rsidR="001E36A3" w:rsidRPr="001E36A3">
        <w:rPr>
          <w:rFonts w:asciiTheme="minorBidi" w:hAnsiTheme="minorBidi"/>
          <w:b/>
          <w:bCs/>
        </w:rPr>
        <w:t>Isocitric acid and the u</w:t>
      </w:r>
      <w:r w:rsidR="001E36A3">
        <w:rPr>
          <w:rFonts w:asciiTheme="minorBidi" w:hAnsiTheme="minorBidi"/>
          <w:b/>
          <w:bCs/>
        </w:rPr>
        <w:t>n</w:t>
      </w:r>
      <w:r w:rsidR="001E36A3" w:rsidRPr="001E36A3">
        <w:rPr>
          <w:rFonts w:asciiTheme="minorBidi" w:hAnsiTheme="minorBidi"/>
          <w:b/>
          <w:bCs/>
        </w:rPr>
        <w:t>derlyi</w:t>
      </w:r>
      <w:r w:rsidR="001E36A3">
        <w:rPr>
          <w:rFonts w:asciiTheme="minorBidi" w:hAnsiTheme="minorBidi"/>
          <w:b/>
          <w:bCs/>
        </w:rPr>
        <w:t>n</w:t>
      </w:r>
      <w:r w:rsidR="001E36A3" w:rsidRPr="001E36A3">
        <w:rPr>
          <w:rFonts w:asciiTheme="minorBidi" w:hAnsiTheme="minorBidi"/>
          <w:b/>
          <w:bCs/>
        </w:rPr>
        <w:t>g connectivity.</w:t>
      </w:r>
      <w:r w:rsidR="001E36A3">
        <w:rPr>
          <w:rFonts w:asciiTheme="minorBidi" w:hAnsiTheme="minorBidi"/>
        </w:rPr>
        <w:t xml:space="preserve"> Is</w:t>
      </w:r>
      <w:r w:rsidR="00A82B16" w:rsidRPr="008F76AE">
        <w:rPr>
          <w:rFonts w:asciiTheme="minorBidi" w:hAnsiTheme="minorBidi"/>
        </w:rPr>
        <w:t xml:space="preserve">ocitric acid is directly connected to guanosine monophosphate (GMP) </w:t>
      </w:r>
      <w:r w:rsidR="00A82B16">
        <w:rPr>
          <w:rFonts w:asciiTheme="minorBidi" w:hAnsiTheme="minorBidi"/>
        </w:rPr>
        <w:t xml:space="preserve">and </w:t>
      </w:r>
      <w:r w:rsidR="00A82B16" w:rsidRPr="008F76AE">
        <w:rPr>
          <w:rFonts w:asciiTheme="minorBidi" w:hAnsiTheme="minorBidi"/>
        </w:rPr>
        <w:t xml:space="preserve">quinolinic </w:t>
      </w:r>
      <w:r w:rsidR="00A82B16">
        <w:rPr>
          <w:rFonts w:asciiTheme="minorBidi" w:hAnsiTheme="minorBidi"/>
        </w:rPr>
        <w:t xml:space="preserve"> acid both </w:t>
      </w:r>
      <w:r w:rsidR="00A82B16" w:rsidRPr="008F76AE">
        <w:rPr>
          <w:rFonts w:asciiTheme="minorBidi" w:hAnsiTheme="minorBidi"/>
        </w:rPr>
        <w:t>associated with HF</w:t>
      </w:r>
      <w:r w:rsidR="00A82B16" w:rsidRPr="008F76AE">
        <w:rPr>
          <w:rFonts w:ascii="Helvetica" w:hAnsi="Helvetica" w:cs="Helvetica"/>
          <w:shd w:val="clear" w:color="auto" w:fill="FFFFFF"/>
        </w:rPr>
        <w:t xml:space="preserve"> </w:t>
      </w:r>
      <w:r w:rsidR="00A82B16" w:rsidRPr="008F76AE">
        <w:rPr>
          <w:rFonts w:ascii="Helvetica" w:hAnsi="Helvetica" w:cs="Helvetica"/>
          <w:shd w:val="clear" w:color="auto" w:fill="FFFFFF"/>
        </w:rPr>
        <w:fldChar w:fldCharType="begin"/>
      </w:r>
      <w:r w:rsidR="00B764C7">
        <w:rPr>
          <w:rFonts w:ascii="Helvetica" w:hAnsi="Helvetica" w:cs="Helvetica"/>
          <w:shd w:val="clear" w:color="auto" w:fill="FFFFFF"/>
        </w:rPr>
        <w:instrText xml:space="preserve"> ADDIN EN.CITE &lt;EndNote&gt;&lt;Cite&gt;&lt;Author&gt;Zhao&lt;/Author&gt;&lt;Year&gt;2020&lt;/Year&gt;&lt;RecNum&gt;689&lt;/RecNum&gt;&lt;DisplayText&gt;&lt;style face="superscript"&gt;4&lt;/style&gt;&lt;/DisplayText&gt;&lt;record&gt;&lt;rec-number&gt;689&lt;/rec-number&gt;&lt;foreign-keys&gt;&lt;key app="EN" db-id="d05rwa92v959vaed5dvva2psw5psvttrte2e" timestamp="1672116116" guid="7ea7cd82-0410-46a5-86ac-b383e0147b9e"&gt;689&lt;/key&gt;&lt;/foreign-keys&gt;&lt;ref-type name="Journal Article"&gt;17&lt;/ref-type&gt;&lt;contributors&gt;&lt;authors&gt;&lt;author&gt;Zhao, DI&lt;/author&gt;&lt;author&gt;Guallar, Eliseo&lt;/author&gt;&lt;author&gt;Vaidya, Dhananjay&lt;/author&gt;&lt;author&gt;Ndumele, Chiadi E&lt;/author&gt;&lt;author&gt;Ouyang, Pamela&lt;/author&gt;&lt;author&gt;Post, Wendy S&lt;/author&gt;&lt;author&gt;Lima, Joao A&lt;/author&gt;&lt;author&gt;Ying, Wendy&lt;/author&gt;&lt;author&gt;Kass, David A&lt;/author&gt;&lt;author&gt;Hoogeveen, Ron C&lt;/author&gt;&lt;/authors&gt;&lt;/contributors&gt;&lt;titles&gt;&lt;title&gt;Cyclic guanosine monophosphate and risk of incident heart failure and other cardiovascular events: the ARIC study&lt;/title&gt;&lt;secondary-title&gt;Journal of the American Heart Association&lt;/secondary-title&gt;&lt;/titles&gt;&lt;periodical&gt;&lt;full-title&gt;Journal of the American Heart Association&lt;/full-title&gt;&lt;/periodical&gt;&lt;pages&gt;e013966&lt;/pages&gt;&lt;volume&gt;9&lt;/volume&gt;&lt;number&gt;2&lt;/number&gt;&lt;dates&gt;&lt;year&gt;2020&lt;/year&gt;&lt;/dates&gt;&lt;isbn&gt;2047-9980&lt;/isbn&gt;&lt;urls&gt;&lt;/urls&gt;&lt;/record&gt;&lt;/Cite&gt;&lt;/EndNote&gt;</w:instrText>
      </w:r>
      <w:r w:rsidR="00A82B16" w:rsidRPr="008F76AE">
        <w:rPr>
          <w:rFonts w:ascii="Helvetica" w:hAnsi="Helvetica" w:cs="Helvetica"/>
          <w:shd w:val="clear" w:color="auto" w:fill="FFFFFF"/>
        </w:rPr>
        <w:fldChar w:fldCharType="separate"/>
      </w:r>
      <w:r w:rsidR="00B764C7" w:rsidRPr="00B764C7">
        <w:rPr>
          <w:rFonts w:ascii="Helvetica" w:hAnsi="Helvetica" w:cs="Helvetica"/>
          <w:noProof/>
          <w:shd w:val="clear" w:color="auto" w:fill="FFFFFF"/>
          <w:vertAlign w:val="superscript"/>
        </w:rPr>
        <w:t>4</w:t>
      </w:r>
      <w:r w:rsidR="00A82B16" w:rsidRPr="008F76AE">
        <w:rPr>
          <w:rFonts w:ascii="Helvetica" w:hAnsi="Helvetica" w:cs="Helvetica"/>
          <w:shd w:val="clear" w:color="auto" w:fill="FFFFFF"/>
        </w:rPr>
        <w:fldChar w:fldCharType="end"/>
      </w:r>
      <w:r w:rsidR="00A82B16" w:rsidRPr="00101ADA">
        <w:rPr>
          <w:rFonts w:asciiTheme="minorBidi" w:hAnsiTheme="minorBidi"/>
        </w:rPr>
        <w:t xml:space="preserve"> </w:t>
      </w:r>
      <w:r w:rsidR="00A82B16" w:rsidRPr="008F76AE">
        <w:rPr>
          <w:rFonts w:asciiTheme="minorBidi" w:hAnsiTheme="minorBidi"/>
        </w:rPr>
        <w:fldChar w:fldCharType="begin"/>
      </w:r>
      <w:r w:rsidR="00B764C7">
        <w:rPr>
          <w:rFonts w:asciiTheme="minorBidi" w:hAnsiTheme="minorBidi"/>
        </w:rPr>
        <w:instrText xml:space="preserve"> ADDIN EN.CITE &lt;EndNote&gt;&lt;Cite&gt;&lt;Author&gt;Lund&lt;/Author&gt;&lt;Year&gt;2020&lt;/Year&gt;&lt;RecNum&gt;692&lt;/RecNum&gt;&lt;DisplayText&gt;&lt;style face="superscript"&gt;5&lt;/style&gt;&lt;/DisplayText&gt;&lt;record&gt;&lt;rec-number&gt;692&lt;/rec-number&gt;&lt;foreign-keys&gt;&lt;key app="EN" db-id="d05rwa92v959vaed5dvva2psw5psvttrte2e" timestamp="1672122823" guid="308e9f67-a064-4d58-8690-085cce287924"&gt;692&lt;/key&gt;&lt;/foreign-keys&gt;&lt;ref-type name="Journal Article"&gt;17&lt;/ref-type&gt;&lt;contributors&gt;&lt;authors&gt;&lt;author&gt;Lund, Anders&lt;/author&gt;&lt;author&gt;Nordrehaug, Jan Erik&lt;/author&gt;&lt;author&gt;Slettom, Grete&lt;/author&gt;&lt;author&gt;Hafstad Solvang, Stein-Erik&lt;/author&gt;&lt;author&gt;Ringdal Pedersen, Eva Kristine&lt;/author&gt;&lt;author&gt;Midttun, Øivind&lt;/author&gt;&lt;author&gt;Ulvik, Arve&lt;/author&gt;&lt;author&gt;Ueland, Per Magne&lt;/author&gt;&lt;author&gt;Nygård, Ottar&lt;/author&gt;&lt;author&gt;Melvaer Giil, Lasse&lt;/author&gt;&lt;/authors&gt;&lt;/contributors&gt;&lt;titles&gt;&lt;title&gt;Plasma kynurenines and prognosis in patients with heart failure&lt;/title&gt;&lt;secondary-title&gt;PLoS One&lt;/secondary-title&gt;&lt;/titles&gt;&lt;periodical&gt;&lt;full-title&gt;PLoS One&lt;/full-title&gt;&lt;/periodical&gt;&lt;pages&gt;e0227365&lt;/pages&gt;&lt;volume&gt;15&lt;/volume&gt;&lt;number&gt;1&lt;/number&gt;&lt;dates&gt;&lt;year&gt;2020&lt;/year&gt;&lt;/dates&gt;&lt;isbn&gt;1932-6203&lt;/isbn&gt;&lt;urls&gt;&lt;/urls&gt;&lt;/record&gt;&lt;/Cite&gt;&lt;/EndNote&gt;</w:instrText>
      </w:r>
      <w:r w:rsidR="00A82B16" w:rsidRPr="008F76AE">
        <w:rPr>
          <w:rFonts w:asciiTheme="minorBidi" w:hAnsiTheme="minorBidi"/>
        </w:rPr>
        <w:fldChar w:fldCharType="separate"/>
      </w:r>
      <w:r w:rsidR="00B764C7" w:rsidRPr="00B764C7">
        <w:rPr>
          <w:rFonts w:asciiTheme="minorBidi" w:hAnsiTheme="minorBidi"/>
          <w:noProof/>
          <w:vertAlign w:val="superscript"/>
        </w:rPr>
        <w:t>5</w:t>
      </w:r>
      <w:r w:rsidR="00A82B16" w:rsidRPr="008F76AE">
        <w:rPr>
          <w:rFonts w:asciiTheme="minorBidi" w:hAnsiTheme="minorBidi"/>
        </w:rPr>
        <w:fldChar w:fldCharType="end"/>
      </w:r>
      <w:r w:rsidR="00A82B16" w:rsidRPr="008F76AE">
        <w:rPr>
          <w:rFonts w:ascii="Helvetica" w:hAnsi="Helvetica" w:cs="Helvetica"/>
          <w:shd w:val="clear" w:color="auto" w:fill="FFFFFF"/>
        </w:rPr>
        <w:t xml:space="preserve">. </w:t>
      </w:r>
      <w:r w:rsidR="00A82B16">
        <w:rPr>
          <w:rFonts w:asciiTheme="minorBidi" w:hAnsiTheme="minorBidi"/>
        </w:rPr>
        <w:t>It</w:t>
      </w:r>
      <w:r w:rsidR="00A82B16" w:rsidRPr="008F76AE">
        <w:rPr>
          <w:rFonts w:asciiTheme="minorBidi" w:hAnsiTheme="minorBidi"/>
        </w:rPr>
        <w:t xml:space="preserve"> is also directly connected to circulating glucuronic acid, a metabolite derived</w:t>
      </w:r>
      <w:r w:rsidR="00A82B16" w:rsidRPr="008F76AE">
        <w:rPr>
          <w:rStyle w:val="cf01"/>
        </w:rPr>
        <w:t xml:space="preserve"> </w:t>
      </w:r>
      <w:r w:rsidR="00A82B16" w:rsidRPr="008F76AE">
        <w:rPr>
          <w:rFonts w:asciiTheme="minorBidi" w:hAnsiTheme="minorBidi"/>
        </w:rPr>
        <w:t>from</w:t>
      </w:r>
      <w:r w:rsidR="00A82B16" w:rsidRPr="008F76AE">
        <w:rPr>
          <w:rStyle w:val="cf01"/>
        </w:rPr>
        <w:t xml:space="preserve"> </w:t>
      </w:r>
      <w:r w:rsidR="00A82B16" w:rsidRPr="008F76AE">
        <w:rPr>
          <w:rFonts w:asciiTheme="minorBidi" w:hAnsiTheme="minorBidi"/>
        </w:rPr>
        <w:t xml:space="preserve">glucose </w:t>
      </w:r>
      <w:r w:rsidR="00A82B16" w:rsidRPr="008F76AE">
        <w:rPr>
          <w:rFonts w:asciiTheme="minorBidi" w:hAnsiTheme="minorBidi"/>
        </w:rPr>
        <w:fldChar w:fldCharType="begin"/>
      </w:r>
      <w:r w:rsidR="00B764C7">
        <w:rPr>
          <w:rFonts w:asciiTheme="minorBidi" w:hAnsiTheme="minorBidi"/>
        </w:rPr>
        <w:instrText xml:space="preserve"> ADDIN EN.CITE &lt;EndNote&gt;&lt;Cite&gt;&lt;Author&gt;Ho&lt;/Author&gt;&lt;Year&gt;2019&lt;/Year&gt;&lt;RecNum&gt;691&lt;/RecNum&gt;&lt;DisplayText&gt;&lt;style face="superscript"&gt;6&lt;/style&gt;&lt;/DisplayText&gt;&lt;record&gt;&lt;rec-number&gt;691&lt;/rec-number&gt;&lt;foreign-keys&gt;&lt;key app="EN" db-id="d05rwa92v959vaed5dvva2psw5psvttrte2e" timestamp="1672122324" guid="c28a0e4e-0fa1-4d62-adef-2b00ecb41252"&gt;691&lt;/key&gt;&lt;/foreign-keys&gt;&lt;ref-type name="Journal Article"&gt;17&lt;/ref-type&gt;&lt;contributors&gt;&lt;authors&gt;&lt;author&gt;Ho, Andrew&lt;/author&gt;&lt;author&gt;Sinick, Jonah&lt;/author&gt;&lt;author&gt;Esko, Tõnu&lt;/author&gt;&lt;author&gt;Fischer, Krista&lt;/author&gt;&lt;author&gt;Menni, Cristina&lt;/author&gt;&lt;author&gt;Zierer, Jonas&lt;/author&gt;&lt;author&gt;Matey-Hernandez, Maria&lt;/author&gt;&lt;author&gt;Fortney, Kristen&lt;/author&gt;&lt;author&gt;Morgen, Eric K&lt;/author&gt;&lt;/authors&gt;&lt;/contributors&gt;&lt;titles&gt;&lt;title&gt;Circulating glucuronic acid predicts healthspan and longevity in humans and mice&lt;/title&gt;&lt;secondary-title&gt;Aging (Albany NY)&lt;/secondary-title&gt;&lt;/titles&gt;&lt;periodical&gt;&lt;full-title&gt;Aging (Albany NY)&lt;/full-title&gt;&lt;/periodical&gt;&lt;pages&gt;7694&lt;/pages&gt;&lt;volume&gt;11&lt;/volume&gt;&lt;number&gt;18&lt;/number&gt;&lt;dates&gt;&lt;year&gt;2019&lt;/year&gt;&lt;/dates&gt;&lt;urls&gt;&lt;/urls&gt;&lt;/record&gt;&lt;/Cite&gt;&lt;/EndNote&gt;</w:instrText>
      </w:r>
      <w:r w:rsidR="00A82B16" w:rsidRPr="008F76AE">
        <w:rPr>
          <w:rFonts w:asciiTheme="minorBidi" w:hAnsiTheme="minorBidi"/>
        </w:rPr>
        <w:fldChar w:fldCharType="separate"/>
      </w:r>
      <w:r w:rsidR="00B764C7" w:rsidRPr="00B764C7">
        <w:rPr>
          <w:rFonts w:asciiTheme="minorBidi" w:hAnsiTheme="minorBidi"/>
          <w:noProof/>
          <w:vertAlign w:val="superscript"/>
        </w:rPr>
        <w:t>6</w:t>
      </w:r>
      <w:r w:rsidR="00A82B16" w:rsidRPr="008F76AE">
        <w:rPr>
          <w:rFonts w:asciiTheme="minorBidi" w:hAnsiTheme="minorBidi"/>
        </w:rPr>
        <w:fldChar w:fldCharType="end"/>
      </w:r>
      <w:r w:rsidR="00A82B16" w:rsidRPr="008F76AE">
        <w:rPr>
          <w:rFonts w:asciiTheme="minorBidi" w:hAnsiTheme="minorBidi"/>
        </w:rPr>
        <w:t>.</w:t>
      </w:r>
      <w:r w:rsidR="00A82B16">
        <w:rPr>
          <w:rFonts w:asciiTheme="minorBidi" w:hAnsiTheme="minorBidi"/>
        </w:rPr>
        <w:t xml:space="preserve"> </w:t>
      </w:r>
      <w:r w:rsidR="00A82B16" w:rsidRPr="008F76AE">
        <w:rPr>
          <w:rFonts w:asciiTheme="minorBidi" w:hAnsiTheme="minorBidi"/>
        </w:rPr>
        <w:t xml:space="preserve">Isocitric acid is also directly connected to cis-aconitic acid, which is directly connected to citrate. Cis-aconitic acid is an intermediate in the isomerization of citrate to isocitrate in the citric acid cycle and is acted upon by aconitase </w:t>
      </w:r>
      <w:r w:rsidR="00A82B16" w:rsidRPr="008F76AE">
        <w:rPr>
          <w:rFonts w:asciiTheme="minorBidi" w:hAnsiTheme="minorBidi"/>
        </w:rPr>
        <w:fldChar w:fldCharType="begin"/>
      </w:r>
      <w:r w:rsidR="00B764C7">
        <w:rPr>
          <w:rFonts w:asciiTheme="minorBidi" w:hAnsiTheme="minorBidi"/>
        </w:rPr>
        <w:instrText xml:space="preserve"> ADDIN EN.CITE &lt;EndNote&gt;&lt;Cite&gt;&lt;RecNum&gt;395&lt;/RecNum&gt;&lt;DisplayText&gt;&lt;style face="superscript"&gt;7&lt;/style&gt;&lt;/DisplayText&gt;&lt;record&gt;&lt;rec-number&gt;395&lt;/rec-number&gt;&lt;foreign-keys&gt;&lt;key app="EN" db-id="d05rwa92v959vaed5dvva2psw5psvttrte2e" timestamp="1613443761" guid="1c2827fe-8c76-4a36-9f1e-4cb8cd7f2651"&gt;395&lt;/key&gt;&lt;/foreign-keys&gt;&lt;ref-type name="Web Page"&gt;12&lt;/ref-type&gt;&lt;contributors&gt;&lt;/contributors&gt;&lt;titles&gt;&lt;/titles&gt;&lt;dates&gt;&lt;/dates&gt;&lt;urls&gt;&lt;related-urls&gt;&lt;url&gt;http://www.who.int/mediacentre/factsheets/fs317/en/&lt;/url&gt;&lt;/related-urls&gt;&lt;/urls&gt;&lt;/record&gt;&lt;/Cite&gt;&lt;/EndNote&gt;</w:instrText>
      </w:r>
      <w:r w:rsidR="00A82B16" w:rsidRPr="008F76AE">
        <w:rPr>
          <w:rFonts w:asciiTheme="minorBidi" w:hAnsiTheme="minorBidi"/>
        </w:rPr>
        <w:fldChar w:fldCharType="separate"/>
      </w:r>
      <w:r w:rsidR="00B764C7" w:rsidRPr="00B764C7">
        <w:rPr>
          <w:rFonts w:asciiTheme="minorBidi" w:hAnsiTheme="minorBidi"/>
          <w:noProof/>
          <w:vertAlign w:val="superscript"/>
        </w:rPr>
        <w:t>7</w:t>
      </w:r>
      <w:r w:rsidR="00A82B16" w:rsidRPr="008F76AE">
        <w:rPr>
          <w:rFonts w:asciiTheme="minorBidi" w:hAnsiTheme="minorBidi"/>
        </w:rPr>
        <w:fldChar w:fldCharType="end"/>
      </w:r>
      <w:r w:rsidR="00A82B16" w:rsidRPr="008F76AE">
        <w:rPr>
          <w:rFonts w:asciiTheme="minorBidi" w:hAnsiTheme="minorBidi"/>
        </w:rPr>
        <w:t xml:space="preserve">. Citrate is an important substrate in cellular energy metabolism </w:t>
      </w:r>
      <w:r w:rsidR="00A82B16" w:rsidRPr="009B1C14">
        <w:rPr>
          <w:rFonts w:asciiTheme="minorBidi" w:hAnsiTheme="minorBidi"/>
        </w:rPr>
        <w:fldChar w:fldCharType="begin"/>
      </w:r>
      <w:r w:rsidR="00B764C7">
        <w:rPr>
          <w:rFonts w:asciiTheme="minorBidi" w:hAnsiTheme="minorBidi"/>
        </w:rPr>
        <w:instrText xml:space="preserve"> ADDIN EN.CITE &lt;EndNote&gt;&lt;Cite&gt;&lt;Author&gt;Iacobazzi&lt;/Author&gt;&lt;Year&gt;2014&lt;/Year&gt;&lt;RecNum&gt;676&lt;/RecNum&gt;&lt;DisplayText&gt;&lt;style face="superscript"&gt;8&lt;/style&gt;&lt;/DisplayText&gt;&lt;record&gt;&lt;rec-number&gt;676&lt;/rec-number&gt;&lt;foreign-keys&gt;&lt;key app="EN" db-id="d05rwa92v959vaed5dvva2psw5psvttrte2e" timestamp="1671473164" guid="b10b82e3-4c1d-4e50-93ab-602c1da7953c"&gt;676&lt;/key&gt;&lt;/foreign-keys&gt;&lt;ref-type name="Journal Article"&gt;17&lt;/ref-type&gt;&lt;contributors&gt;&lt;authors&gt;&lt;author&gt;Iacobazzi, Vito&lt;/author&gt;&lt;author&gt;Infantino, Vittoria&lt;/author&gt;&lt;/authors&gt;&lt;/contributors&gt;&lt;titles&gt;&lt;title&gt;Citrate–new functions for an old metabolite&lt;/title&gt;&lt;secondary-title&gt;biological chemistry&lt;/secondary-title&gt;&lt;/titles&gt;&lt;periodical&gt;&lt;full-title&gt;biological chemistry&lt;/full-title&gt;&lt;/periodical&gt;&lt;pages&gt;387-399&lt;/pages&gt;&lt;volume&gt;395&lt;/volume&gt;&lt;number&gt;4&lt;/number&gt;&lt;dates&gt;&lt;year&gt;2014&lt;/year&gt;&lt;/dates&gt;&lt;isbn&gt;1437-4315&lt;/isbn&gt;&lt;urls&gt;&lt;/urls&gt;&lt;/record&gt;&lt;/Cite&gt;&lt;/EndNote&gt;</w:instrText>
      </w:r>
      <w:r w:rsidR="00A82B16" w:rsidRPr="009B1C14">
        <w:rPr>
          <w:rFonts w:asciiTheme="minorBidi" w:hAnsiTheme="minorBidi"/>
        </w:rPr>
        <w:fldChar w:fldCharType="separate"/>
      </w:r>
      <w:r w:rsidR="00B764C7" w:rsidRPr="00B764C7">
        <w:rPr>
          <w:rFonts w:asciiTheme="minorBidi" w:hAnsiTheme="minorBidi"/>
          <w:noProof/>
          <w:vertAlign w:val="superscript"/>
        </w:rPr>
        <w:t>8</w:t>
      </w:r>
      <w:r w:rsidR="00A82B16" w:rsidRPr="009B1C14">
        <w:rPr>
          <w:rFonts w:asciiTheme="minorBidi" w:hAnsiTheme="minorBidi"/>
        </w:rPr>
        <w:fldChar w:fldCharType="end"/>
      </w:r>
      <w:r w:rsidR="00A82B16" w:rsidRPr="009B1C14">
        <w:rPr>
          <w:rFonts w:asciiTheme="minorBidi" w:hAnsiTheme="minorBidi"/>
        </w:rPr>
        <w:t>.</w:t>
      </w:r>
    </w:p>
    <w:p w14:paraId="648E8771" w14:textId="4EEC232F" w:rsidR="00A82B16" w:rsidRPr="008B0A1D" w:rsidRDefault="00A82B16" w:rsidP="00FE01B0">
      <w:pPr>
        <w:spacing w:before="60" w:after="0" w:line="360" w:lineRule="auto"/>
        <w:jc w:val="center"/>
        <w:rPr>
          <w:rFonts w:asciiTheme="minorBidi" w:hAnsiTheme="minorBidi"/>
          <w:b/>
          <w:sz w:val="20"/>
          <w:szCs w:val="20"/>
        </w:rPr>
      </w:pPr>
      <w:r>
        <w:rPr>
          <w:rFonts w:asciiTheme="minorBidi" w:hAnsiTheme="minorBidi"/>
          <w:b/>
          <w:sz w:val="20"/>
          <w:szCs w:val="20"/>
        </w:rPr>
        <w:t xml:space="preserve">   </w:t>
      </w:r>
      <w:r>
        <w:rPr>
          <w:rFonts w:asciiTheme="minorBidi" w:hAnsiTheme="minorBidi"/>
          <w:b/>
          <w:noProof/>
          <w:sz w:val="20"/>
          <w:szCs w:val="20"/>
        </w:rPr>
        <w:drawing>
          <wp:inline distT="0" distB="0" distL="0" distR="0" wp14:anchorId="007C9B6D" wp14:editId="47635959">
            <wp:extent cx="1807535" cy="1628909"/>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16520" cy="1637006"/>
                    </a:xfrm>
                    <a:prstGeom prst="rect">
                      <a:avLst/>
                    </a:prstGeom>
                    <a:noFill/>
                    <a:ln>
                      <a:noFill/>
                    </a:ln>
                  </pic:spPr>
                </pic:pic>
              </a:graphicData>
            </a:graphic>
          </wp:inline>
        </w:drawing>
      </w:r>
    </w:p>
    <w:p w14:paraId="4AEED876" w14:textId="74D89684" w:rsidR="00A82B16" w:rsidRPr="001E36A3" w:rsidRDefault="00A82B16" w:rsidP="00FE01B0">
      <w:pPr>
        <w:spacing w:before="60" w:after="0" w:line="360" w:lineRule="auto"/>
        <w:jc w:val="both"/>
        <w:rPr>
          <w:rFonts w:asciiTheme="minorBidi" w:hAnsiTheme="minorBidi"/>
          <w:sz w:val="24"/>
          <w:szCs w:val="24"/>
        </w:rPr>
      </w:pPr>
      <w:r w:rsidRPr="001E36A3">
        <w:rPr>
          <w:rFonts w:asciiTheme="minorBidi" w:hAnsiTheme="minorBidi"/>
          <w:b/>
          <w:sz w:val="24"/>
          <w:szCs w:val="24"/>
        </w:rPr>
        <w:t xml:space="preserve">Fig. </w:t>
      </w:r>
      <w:r w:rsidR="00BC5AC1">
        <w:rPr>
          <w:rFonts w:asciiTheme="minorBidi" w:hAnsiTheme="minorBidi"/>
          <w:b/>
          <w:sz w:val="24"/>
          <w:szCs w:val="24"/>
        </w:rPr>
        <w:t>S</w:t>
      </w:r>
      <w:r w:rsidR="001E36A3" w:rsidRPr="001E36A3">
        <w:rPr>
          <w:rFonts w:asciiTheme="minorBidi" w:hAnsiTheme="minorBidi"/>
          <w:b/>
          <w:sz w:val="24"/>
          <w:szCs w:val="24"/>
        </w:rPr>
        <w:t>1</w:t>
      </w:r>
      <w:r w:rsidRPr="001E36A3">
        <w:rPr>
          <w:rFonts w:asciiTheme="minorBidi" w:hAnsiTheme="minorBidi"/>
          <w:b/>
          <w:sz w:val="24"/>
          <w:szCs w:val="24"/>
        </w:rPr>
        <w:t xml:space="preserve">. </w:t>
      </w:r>
      <w:r w:rsidR="001E36A3" w:rsidRPr="001E36A3">
        <w:rPr>
          <w:rFonts w:asciiTheme="minorBidi" w:hAnsiTheme="minorBidi"/>
          <w:b/>
          <w:bCs/>
          <w:sz w:val="24"/>
          <w:szCs w:val="24"/>
        </w:rPr>
        <w:t>The underlying connectivity of isocitric acid.</w:t>
      </w:r>
      <w:r w:rsidR="001E36A3" w:rsidRPr="001E36A3">
        <w:rPr>
          <w:rFonts w:asciiTheme="minorBidi" w:hAnsiTheme="minorBidi"/>
          <w:sz w:val="24"/>
          <w:szCs w:val="24"/>
        </w:rPr>
        <w:t xml:space="preserve"> </w:t>
      </w:r>
      <w:r w:rsidRPr="001E36A3">
        <w:rPr>
          <w:rFonts w:asciiTheme="minorBidi" w:hAnsiTheme="minorBidi"/>
          <w:sz w:val="24"/>
          <w:szCs w:val="24"/>
        </w:rPr>
        <w:t>The neighboring connectivity of isocitric acid with high impact on other</w:t>
      </w:r>
      <w:r w:rsidR="0075523D">
        <w:rPr>
          <w:rFonts w:asciiTheme="minorBidi" w:hAnsiTheme="minorBidi"/>
          <w:sz w:val="24"/>
          <w:szCs w:val="24"/>
        </w:rPr>
        <w:t xml:space="preserve"> molecule</w:t>
      </w:r>
      <w:r w:rsidRPr="001E36A3">
        <w:rPr>
          <w:rFonts w:asciiTheme="minorBidi" w:hAnsiTheme="minorBidi"/>
          <w:sz w:val="24"/>
          <w:szCs w:val="24"/>
        </w:rPr>
        <w:t xml:space="preserve">s (out degree = 4) and also associated with HF risk. The direct connections were not attributed to any other BONSs in the study. Abbreviation: GMP stands for guanosine monophosphate. </w:t>
      </w:r>
    </w:p>
    <w:p w14:paraId="589F5AC4" w14:textId="34CA52D8" w:rsidR="00414DD3" w:rsidRDefault="00414DD3" w:rsidP="00FE01B0">
      <w:pPr>
        <w:spacing w:before="120" w:line="360" w:lineRule="auto"/>
        <w:rPr>
          <w:rFonts w:asciiTheme="minorBidi" w:hAnsiTheme="minorBidi"/>
          <w:b/>
          <w:bCs/>
          <w:sz w:val="24"/>
          <w:szCs w:val="24"/>
        </w:rPr>
      </w:pPr>
    </w:p>
    <w:p w14:paraId="50D907C7" w14:textId="310C38EE" w:rsidR="00AF0399" w:rsidRDefault="00AF0399" w:rsidP="00FE01B0">
      <w:pPr>
        <w:spacing w:before="120" w:line="360" w:lineRule="auto"/>
        <w:rPr>
          <w:rFonts w:asciiTheme="minorBidi" w:hAnsiTheme="minorBidi"/>
          <w:b/>
          <w:bCs/>
          <w:sz w:val="24"/>
          <w:szCs w:val="24"/>
        </w:rPr>
      </w:pPr>
    </w:p>
    <w:p w14:paraId="3CF0E1EC" w14:textId="77777777" w:rsidR="00AF0399" w:rsidRDefault="00AF0399" w:rsidP="00FE01B0">
      <w:pPr>
        <w:spacing w:before="120" w:line="360" w:lineRule="auto"/>
        <w:rPr>
          <w:rFonts w:asciiTheme="minorBidi" w:hAnsiTheme="minorBidi"/>
          <w:b/>
          <w:bCs/>
          <w:sz w:val="24"/>
          <w:szCs w:val="24"/>
        </w:rPr>
      </w:pPr>
    </w:p>
    <w:p w14:paraId="54CBFD35" w14:textId="4DE42917" w:rsidR="00414DD3" w:rsidRPr="00414DD3" w:rsidRDefault="00783074" w:rsidP="00FE01B0">
      <w:pPr>
        <w:spacing w:before="120" w:line="360" w:lineRule="auto"/>
        <w:rPr>
          <w:rFonts w:asciiTheme="minorBidi" w:hAnsiTheme="minorBidi"/>
          <w:sz w:val="24"/>
          <w:szCs w:val="24"/>
        </w:rPr>
      </w:pPr>
      <w:r>
        <w:rPr>
          <w:rFonts w:asciiTheme="minorBidi" w:hAnsiTheme="minorBidi"/>
          <w:b/>
          <w:bCs/>
          <w:sz w:val="24"/>
          <w:szCs w:val="24"/>
        </w:rPr>
        <w:t>7</w:t>
      </w:r>
      <w:r w:rsidR="00414DD3" w:rsidRPr="00414DD3">
        <w:rPr>
          <w:rFonts w:asciiTheme="minorBidi" w:hAnsiTheme="minorBidi"/>
          <w:b/>
          <w:bCs/>
          <w:sz w:val="24"/>
          <w:szCs w:val="24"/>
        </w:rPr>
        <w:t xml:space="preserve">. </w:t>
      </w:r>
      <w:r w:rsidR="007D4C59">
        <w:rPr>
          <w:rFonts w:asciiTheme="minorBidi" w:hAnsiTheme="minorBidi"/>
          <w:b/>
          <w:bCs/>
        </w:rPr>
        <w:t>T</w:t>
      </w:r>
      <w:r w:rsidR="00414DD3" w:rsidRPr="00414DD3">
        <w:rPr>
          <w:rFonts w:asciiTheme="minorBidi" w:hAnsiTheme="minorBidi"/>
          <w:b/>
          <w:bCs/>
        </w:rPr>
        <w:t>he BONS network with a focus on glycocholic acid.</w:t>
      </w:r>
      <w:r w:rsidR="00414DD3">
        <w:rPr>
          <w:rFonts w:asciiTheme="minorBidi" w:hAnsiTheme="minorBidi"/>
        </w:rPr>
        <w:t xml:space="preserve"> </w:t>
      </w:r>
      <w:r w:rsidR="00414DD3" w:rsidRPr="004C27CB">
        <w:rPr>
          <w:rFonts w:asciiTheme="minorBidi" w:hAnsiTheme="minorBidi"/>
        </w:rPr>
        <w:t>The out/in degree of glycocholic acid was not identified because the direction of links directly connected to it were not identified.</w:t>
      </w:r>
    </w:p>
    <w:p w14:paraId="4DD3BAA6" w14:textId="5837AA7B" w:rsidR="00414DD3" w:rsidRDefault="00414DD3" w:rsidP="00FE01B0">
      <w:pPr>
        <w:spacing w:before="60" w:after="0" w:line="360" w:lineRule="auto"/>
        <w:jc w:val="center"/>
        <w:rPr>
          <w:rFonts w:asciiTheme="minorBidi" w:hAnsiTheme="minorBidi"/>
          <w:b/>
          <w:sz w:val="20"/>
          <w:szCs w:val="20"/>
        </w:rPr>
      </w:pPr>
      <w:r>
        <w:rPr>
          <w:noProof/>
        </w:rPr>
        <w:drawing>
          <wp:inline distT="0" distB="0" distL="0" distR="0" wp14:anchorId="4450A956" wp14:editId="657D1D95">
            <wp:extent cx="3421293" cy="1140431"/>
            <wp:effectExtent l="0" t="0" r="0" b="3175"/>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descr="Diagram&#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436979" cy="1145660"/>
                    </a:xfrm>
                    <a:prstGeom prst="rect">
                      <a:avLst/>
                    </a:prstGeom>
                    <a:noFill/>
                    <a:ln>
                      <a:noFill/>
                    </a:ln>
                  </pic:spPr>
                </pic:pic>
              </a:graphicData>
            </a:graphic>
          </wp:inline>
        </w:drawing>
      </w:r>
    </w:p>
    <w:p w14:paraId="4EAC5549" w14:textId="0282F408" w:rsidR="00414DD3" w:rsidRDefault="00414DD3" w:rsidP="00FE01B0">
      <w:pPr>
        <w:spacing w:before="60" w:after="0" w:line="360" w:lineRule="auto"/>
        <w:jc w:val="both"/>
        <w:rPr>
          <w:rFonts w:asciiTheme="minorBidi" w:hAnsiTheme="minorBidi"/>
          <w:sz w:val="20"/>
          <w:szCs w:val="20"/>
        </w:rPr>
      </w:pPr>
      <w:r w:rsidRPr="00414DD3">
        <w:rPr>
          <w:rFonts w:asciiTheme="minorBidi" w:hAnsiTheme="minorBidi"/>
          <w:b/>
          <w:bCs/>
        </w:rPr>
        <w:t xml:space="preserve">Fig. </w:t>
      </w:r>
      <w:r w:rsidR="00BC5AC1">
        <w:rPr>
          <w:rFonts w:asciiTheme="minorBidi" w:hAnsiTheme="minorBidi"/>
          <w:b/>
          <w:bCs/>
        </w:rPr>
        <w:t>S</w:t>
      </w:r>
      <w:r w:rsidRPr="00414DD3">
        <w:rPr>
          <w:rFonts w:asciiTheme="minorBidi" w:hAnsiTheme="minorBidi"/>
          <w:b/>
          <w:bCs/>
        </w:rPr>
        <w:t>2. The neighbors of glycocholic acid in the BONS network.</w:t>
      </w:r>
      <w:r>
        <w:rPr>
          <w:rFonts w:asciiTheme="minorBidi" w:hAnsiTheme="minorBidi"/>
        </w:rPr>
        <w:t xml:space="preserve"> </w:t>
      </w:r>
      <w:r w:rsidRPr="004C27CB">
        <w:rPr>
          <w:rFonts w:asciiTheme="minorBidi" w:hAnsiTheme="minorBidi"/>
        </w:rPr>
        <w:t>The bi-directed links mean the directions between these metabolites were not identified.</w:t>
      </w:r>
    </w:p>
    <w:p w14:paraId="362F40BF" w14:textId="77777777" w:rsidR="00414DD3" w:rsidRPr="00A82B16" w:rsidRDefault="00414DD3" w:rsidP="00FE01B0">
      <w:pPr>
        <w:spacing w:before="120" w:line="360" w:lineRule="auto"/>
        <w:rPr>
          <w:rFonts w:asciiTheme="minorBidi" w:hAnsiTheme="minorBidi"/>
          <w:sz w:val="24"/>
          <w:szCs w:val="24"/>
        </w:rPr>
      </w:pPr>
    </w:p>
    <w:p w14:paraId="65955504" w14:textId="63EF7582" w:rsidR="00067E97" w:rsidRDefault="00067E97" w:rsidP="00FE01B0">
      <w:pPr>
        <w:spacing w:before="120" w:line="360" w:lineRule="auto"/>
        <w:jc w:val="both"/>
        <w:rPr>
          <w:rFonts w:asciiTheme="minorBidi" w:hAnsiTheme="minorBidi"/>
          <w:sz w:val="24"/>
          <w:szCs w:val="24"/>
        </w:rPr>
      </w:pPr>
      <w:r>
        <w:rPr>
          <w:rFonts w:asciiTheme="minorBidi" w:hAnsiTheme="minorBidi"/>
          <w:sz w:val="24"/>
          <w:szCs w:val="24"/>
        </w:rPr>
        <w:t>References</w:t>
      </w:r>
    </w:p>
    <w:p w14:paraId="27631017" w14:textId="77777777" w:rsidR="00B764C7" w:rsidRPr="00B764C7" w:rsidRDefault="00067E97" w:rsidP="00B764C7">
      <w:pPr>
        <w:pStyle w:val="EndNoteBibliography"/>
        <w:spacing w:after="0"/>
        <w:ind w:left="720" w:hanging="720"/>
      </w:pPr>
      <w:r>
        <w:rPr>
          <w:rFonts w:asciiTheme="minorBidi" w:hAnsiTheme="minorBidi"/>
          <w:sz w:val="24"/>
          <w:szCs w:val="24"/>
        </w:rPr>
        <w:fldChar w:fldCharType="begin"/>
      </w:r>
      <w:r>
        <w:rPr>
          <w:rFonts w:asciiTheme="minorBidi" w:hAnsiTheme="minorBidi"/>
          <w:sz w:val="24"/>
          <w:szCs w:val="24"/>
        </w:rPr>
        <w:instrText xml:space="preserve"> ADDIN EN.REFLIST </w:instrText>
      </w:r>
      <w:r>
        <w:rPr>
          <w:rFonts w:asciiTheme="minorBidi" w:hAnsiTheme="minorBidi"/>
          <w:sz w:val="24"/>
          <w:szCs w:val="24"/>
        </w:rPr>
        <w:fldChar w:fldCharType="separate"/>
      </w:r>
      <w:r w:rsidR="00B764C7" w:rsidRPr="00B764C7">
        <w:t>1</w:t>
      </w:r>
      <w:r w:rsidR="00B764C7" w:rsidRPr="00B764C7">
        <w:tab/>
        <w:t xml:space="preserve">Yazdani, A. &amp; Dunson, D. B. A hybrid Bayesian approach for genome-wide association studies on related individuals. </w:t>
      </w:r>
      <w:r w:rsidR="00B764C7" w:rsidRPr="00B764C7">
        <w:rPr>
          <w:i/>
        </w:rPr>
        <w:t>Bioinformatics</w:t>
      </w:r>
      <w:r w:rsidR="00B764C7" w:rsidRPr="00B764C7">
        <w:t xml:space="preserve"> </w:t>
      </w:r>
      <w:r w:rsidR="00B764C7" w:rsidRPr="00B764C7">
        <w:rPr>
          <w:b/>
        </w:rPr>
        <w:t>31</w:t>
      </w:r>
      <w:r w:rsidR="00B764C7" w:rsidRPr="00B764C7">
        <w:t>, 3890-3896 (2015).</w:t>
      </w:r>
    </w:p>
    <w:p w14:paraId="5ACB5CBD" w14:textId="77777777" w:rsidR="00B764C7" w:rsidRPr="00B764C7" w:rsidRDefault="00B764C7" w:rsidP="00B764C7">
      <w:pPr>
        <w:pStyle w:val="EndNoteBibliography"/>
        <w:spacing w:after="0"/>
        <w:ind w:left="720" w:hanging="720"/>
      </w:pPr>
      <w:r w:rsidRPr="00B764C7">
        <w:t>2</w:t>
      </w:r>
      <w:r w:rsidRPr="00B764C7">
        <w:tab/>
        <w:t xml:space="preserve">Pearl, J. in </w:t>
      </w:r>
      <w:r w:rsidRPr="00B764C7">
        <w:rPr>
          <w:i/>
        </w:rPr>
        <w:t>Causality: Models, Reasoning, and Inference, Second Edition</w:t>
      </w:r>
      <w:r w:rsidRPr="00B764C7">
        <w:t xml:space="preserve">    (2011).</w:t>
      </w:r>
    </w:p>
    <w:p w14:paraId="0A43F2F4" w14:textId="3F790530" w:rsidR="00B764C7" w:rsidRPr="00B764C7" w:rsidRDefault="00B764C7" w:rsidP="00B764C7">
      <w:pPr>
        <w:pStyle w:val="EndNoteBibliography"/>
        <w:spacing w:after="0"/>
        <w:ind w:left="720" w:hanging="720"/>
      </w:pPr>
      <w:r w:rsidRPr="00B764C7">
        <w:t>3</w:t>
      </w:r>
      <w:r w:rsidRPr="00B764C7">
        <w:tab/>
        <w:t xml:space="preserve">Yazdani, A., Yazdani, A., Samiei, A., Kosorok, M. R., &amp; Schaid, D. J. . From classical Mendelian randomization to causal networks for systematic integration of multi-omics. Frontiers in Genetics. </w:t>
      </w:r>
      <w:r w:rsidRPr="00B764C7">
        <w:rPr>
          <w:i/>
        </w:rPr>
        <w:t>Frontiers in Genetics</w:t>
      </w:r>
      <w:r w:rsidRPr="00B764C7">
        <w:t>, doi:</w:t>
      </w:r>
      <w:hyperlink r:id="rId15" w:history="1">
        <w:r w:rsidRPr="00B764C7">
          <w:rPr>
            <w:rStyle w:val="Hyperlink"/>
          </w:rPr>
          <w:t>https://doi.org/10.3389/fgene.2022.990486</w:t>
        </w:r>
      </w:hyperlink>
      <w:r w:rsidRPr="00B764C7">
        <w:t xml:space="preserve"> (2022).</w:t>
      </w:r>
    </w:p>
    <w:p w14:paraId="122C10EB" w14:textId="77777777" w:rsidR="00B764C7" w:rsidRPr="00B764C7" w:rsidRDefault="00B764C7" w:rsidP="00B764C7">
      <w:pPr>
        <w:pStyle w:val="EndNoteBibliography"/>
        <w:spacing w:after="0"/>
        <w:ind w:left="720" w:hanging="720"/>
      </w:pPr>
      <w:r w:rsidRPr="00B764C7">
        <w:t>4</w:t>
      </w:r>
      <w:r w:rsidRPr="00B764C7">
        <w:tab/>
        <w:t>Zhao, D.</w:t>
      </w:r>
      <w:r w:rsidRPr="00B764C7">
        <w:rPr>
          <w:i/>
        </w:rPr>
        <w:t xml:space="preserve"> et al.</w:t>
      </w:r>
      <w:r w:rsidRPr="00B764C7">
        <w:t xml:space="preserve"> Cyclic guanosine monophosphate and risk of incident heart failure and other cardiovascular events: the ARIC study. </w:t>
      </w:r>
      <w:r w:rsidRPr="00B764C7">
        <w:rPr>
          <w:i/>
        </w:rPr>
        <w:t>Journal of the American Heart Association</w:t>
      </w:r>
      <w:r w:rsidRPr="00B764C7">
        <w:t xml:space="preserve"> </w:t>
      </w:r>
      <w:r w:rsidRPr="00B764C7">
        <w:rPr>
          <w:b/>
        </w:rPr>
        <w:t>9</w:t>
      </w:r>
      <w:r w:rsidRPr="00B764C7">
        <w:t>, e013966 (2020).</w:t>
      </w:r>
    </w:p>
    <w:p w14:paraId="359D8D74" w14:textId="77777777" w:rsidR="00B764C7" w:rsidRPr="00B764C7" w:rsidRDefault="00B764C7" w:rsidP="00B764C7">
      <w:pPr>
        <w:pStyle w:val="EndNoteBibliography"/>
        <w:spacing w:after="0"/>
        <w:ind w:left="720" w:hanging="720"/>
      </w:pPr>
      <w:r w:rsidRPr="00B764C7">
        <w:t>5</w:t>
      </w:r>
      <w:r w:rsidRPr="00B764C7">
        <w:tab/>
        <w:t>Lund, A.</w:t>
      </w:r>
      <w:r w:rsidRPr="00B764C7">
        <w:rPr>
          <w:i/>
        </w:rPr>
        <w:t xml:space="preserve"> et al.</w:t>
      </w:r>
      <w:r w:rsidRPr="00B764C7">
        <w:t xml:space="preserve"> Plasma kynurenines and prognosis in patients with heart failure. </w:t>
      </w:r>
      <w:r w:rsidRPr="00B764C7">
        <w:rPr>
          <w:i/>
        </w:rPr>
        <w:t>PLoS One</w:t>
      </w:r>
      <w:r w:rsidRPr="00B764C7">
        <w:t xml:space="preserve"> </w:t>
      </w:r>
      <w:r w:rsidRPr="00B764C7">
        <w:rPr>
          <w:b/>
        </w:rPr>
        <w:t>15</w:t>
      </w:r>
      <w:r w:rsidRPr="00B764C7">
        <w:t>, e0227365 (2020).</w:t>
      </w:r>
    </w:p>
    <w:p w14:paraId="0C978B8F" w14:textId="77777777" w:rsidR="00B764C7" w:rsidRPr="00B764C7" w:rsidRDefault="00B764C7" w:rsidP="00B764C7">
      <w:pPr>
        <w:pStyle w:val="EndNoteBibliography"/>
        <w:spacing w:after="0"/>
        <w:ind w:left="720" w:hanging="720"/>
      </w:pPr>
      <w:r w:rsidRPr="00B764C7">
        <w:t>6</w:t>
      </w:r>
      <w:r w:rsidRPr="00B764C7">
        <w:tab/>
        <w:t>Ho, A.</w:t>
      </w:r>
      <w:r w:rsidRPr="00B764C7">
        <w:rPr>
          <w:i/>
        </w:rPr>
        <w:t xml:space="preserve"> et al.</w:t>
      </w:r>
      <w:r w:rsidRPr="00B764C7">
        <w:t xml:space="preserve"> Circulating glucuronic acid predicts healthspan and longevity in humans and mice. </w:t>
      </w:r>
      <w:r w:rsidRPr="00B764C7">
        <w:rPr>
          <w:i/>
        </w:rPr>
        <w:t>Aging (Albany NY)</w:t>
      </w:r>
      <w:r w:rsidRPr="00B764C7">
        <w:t xml:space="preserve"> </w:t>
      </w:r>
      <w:r w:rsidRPr="00B764C7">
        <w:rPr>
          <w:b/>
        </w:rPr>
        <w:t>11</w:t>
      </w:r>
      <w:r w:rsidRPr="00B764C7">
        <w:t>, 7694 (2019).</w:t>
      </w:r>
    </w:p>
    <w:p w14:paraId="03EFA5A6" w14:textId="13ACE6ED" w:rsidR="00B764C7" w:rsidRPr="00B764C7" w:rsidRDefault="00B764C7" w:rsidP="00B764C7">
      <w:pPr>
        <w:pStyle w:val="EndNoteBibliography"/>
        <w:spacing w:after="0"/>
        <w:ind w:left="720" w:hanging="720"/>
      </w:pPr>
      <w:r w:rsidRPr="00B764C7">
        <w:t>7</w:t>
      </w:r>
      <w:r w:rsidRPr="00B764C7">
        <w:tab/>
        <w:t>&lt;</w:t>
      </w:r>
      <w:hyperlink r:id="rId16" w:history="1">
        <w:r w:rsidRPr="00B764C7">
          <w:rPr>
            <w:rStyle w:val="Hyperlink"/>
          </w:rPr>
          <w:t>http://www.who.int/mediacentre/factsheets/fs317/en/</w:t>
        </w:r>
      </w:hyperlink>
      <w:r w:rsidRPr="00B764C7">
        <w:t>&gt; (</w:t>
      </w:r>
    </w:p>
    <w:p w14:paraId="467EDEA0" w14:textId="77777777" w:rsidR="00B764C7" w:rsidRPr="00B764C7" w:rsidRDefault="00B764C7" w:rsidP="00B764C7">
      <w:pPr>
        <w:pStyle w:val="EndNoteBibliography"/>
        <w:ind w:left="720" w:hanging="720"/>
      </w:pPr>
      <w:r w:rsidRPr="00B764C7">
        <w:t>8</w:t>
      </w:r>
      <w:r w:rsidRPr="00B764C7">
        <w:tab/>
        <w:t xml:space="preserve">Iacobazzi, V. &amp; Infantino, V. Citrate–new functions for an old metabolite. </w:t>
      </w:r>
      <w:r w:rsidRPr="00B764C7">
        <w:rPr>
          <w:i/>
        </w:rPr>
        <w:t>biological chemistry</w:t>
      </w:r>
      <w:r w:rsidRPr="00B764C7">
        <w:t xml:space="preserve"> </w:t>
      </w:r>
      <w:r w:rsidRPr="00B764C7">
        <w:rPr>
          <w:b/>
        </w:rPr>
        <w:t>395</w:t>
      </w:r>
      <w:r w:rsidRPr="00B764C7">
        <w:t>, 387-399 (2014).</w:t>
      </w:r>
    </w:p>
    <w:p w14:paraId="03BCEAF9" w14:textId="3E5908A7" w:rsidR="00067E97" w:rsidRPr="00067E97" w:rsidRDefault="00067E97" w:rsidP="00B764C7">
      <w:pPr>
        <w:spacing w:before="120" w:line="360" w:lineRule="auto"/>
        <w:jc w:val="both"/>
        <w:rPr>
          <w:rFonts w:asciiTheme="minorBidi" w:hAnsiTheme="minorBidi"/>
          <w:sz w:val="24"/>
          <w:szCs w:val="24"/>
        </w:rPr>
      </w:pPr>
      <w:r>
        <w:rPr>
          <w:rFonts w:asciiTheme="minorBidi" w:hAnsiTheme="minorBidi"/>
          <w:sz w:val="24"/>
          <w:szCs w:val="24"/>
        </w:rPr>
        <w:fldChar w:fldCharType="end"/>
      </w:r>
    </w:p>
    <w:sectPr w:rsidR="00067E97" w:rsidRPr="00067E97" w:rsidSect="005411DE">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D2C4C1" w14:textId="77777777" w:rsidR="00446C18" w:rsidRDefault="00446C18" w:rsidP="00EA78C5">
      <w:pPr>
        <w:spacing w:after="0" w:line="240" w:lineRule="auto"/>
      </w:pPr>
      <w:r>
        <w:separator/>
      </w:r>
    </w:p>
  </w:endnote>
  <w:endnote w:type="continuationSeparator" w:id="0">
    <w:p w14:paraId="5716EAF8" w14:textId="77777777" w:rsidR="00446C18" w:rsidRDefault="00446C18" w:rsidP="00EA78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oboto">
    <w:altName w:val="Arial"/>
    <w:charset w:val="00"/>
    <w:family w:val="auto"/>
    <w:pitch w:val="variable"/>
    <w:sig w:usb0="E0000AFF" w:usb1="5000217F" w:usb2="00000021" w:usb3="00000000" w:csb0="0000019F" w:csb1="00000000"/>
  </w:font>
  <w:font w:name="AdvOTea1a7398">
    <w:altName w:val="Calibri"/>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49BD6A" w14:textId="77777777" w:rsidR="00446C18" w:rsidRDefault="00446C18" w:rsidP="00EA78C5">
      <w:pPr>
        <w:spacing w:after="0" w:line="240" w:lineRule="auto"/>
      </w:pPr>
      <w:r>
        <w:separator/>
      </w:r>
    </w:p>
  </w:footnote>
  <w:footnote w:type="continuationSeparator" w:id="0">
    <w:p w14:paraId="3AB07DBC" w14:textId="77777777" w:rsidR="00446C18" w:rsidRDefault="00446C18" w:rsidP="00EA78C5">
      <w:pPr>
        <w:spacing w:after="0" w:line="240" w:lineRule="auto"/>
      </w:pPr>
      <w:r>
        <w:continuationSeparator/>
      </w:r>
    </w:p>
  </w:footnote>
  <w:footnote w:id="1">
    <w:p w14:paraId="1FDB4DB0" w14:textId="77777777" w:rsidR="00373EC1" w:rsidRPr="00E065A6" w:rsidRDefault="00373EC1" w:rsidP="00373EC1">
      <w:pPr>
        <w:spacing w:after="0" w:line="240" w:lineRule="auto"/>
        <w:jc w:val="both"/>
        <w:rPr>
          <w:rFonts w:ascii="Arial" w:hAnsi="Arial" w:cs="Arial"/>
          <w:sz w:val="18"/>
          <w:szCs w:val="18"/>
          <w:u w:val="single"/>
          <w:shd w:val="clear" w:color="auto" w:fill="FFFFFF"/>
        </w:rPr>
      </w:pPr>
      <w:r>
        <w:rPr>
          <w:rStyle w:val="FootnoteReference"/>
        </w:rPr>
        <w:footnoteRef/>
      </w:r>
      <w:r w:rsidRPr="00D11F5F">
        <w:rPr>
          <w:rFonts w:ascii="Arial" w:hAnsi="Arial" w:cs="Arial"/>
          <w:sz w:val="18"/>
          <w:szCs w:val="18"/>
        </w:rPr>
        <w:t>Harvard Initiative in Systems Approach</w:t>
      </w:r>
      <w:r>
        <w:rPr>
          <w:rFonts w:ascii="Arial" w:hAnsi="Arial" w:cs="Arial"/>
          <w:sz w:val="18"/>
          <w:szCs w:val="18"/>
        </w:rPr>
        <w:t xml:space="preserve">, Department of Anesthesiology, Perioperative and Pain Medicine, Brigham Women’s </w:t>
      </w:r>
      <w:r w:rsidRPr="00E065A6">
        <w:rPr>
          <w:rFonts w:ascii="Arial" w:hAnsi="Arial" w:cs="Arial"/>
          <w:sz w:val="18"/>
          <w:szCs w:val="18"/>
        </w:rPr>
        <w:t xml:space="preserve">Hospital, </w:t>
      </w:r>
      <w:r w:rsidRPr="00E065A6">
        <w:rPr>
          <w:rFonts w:ascii="Arial" w:hAnsi="Arial" w:cs="Arial"/>
          <w:sz w:val="18"/>
          <w:szCs w:val="18"/>
          <w:shd w:val="clear" w:color="auto" w:fill="FFFFFF"/>
        </w:rPr>
        <w:t xml:space="preserve">Harvard Medical School, Boston, MA 02115, Email: </w:t>
      </w:r>
      <w:hyperlink r:id="rId1" w:history="1">
        <w:r w:rsidRPr="00E065A6">
          <w:rPr>
            <w:rFonts w:ascii="Arial" w:hAnsi="Arial" w:cs="Arial"/>
            <w:sz w:val="18"/>
            <w:szCs w:val="18"/>
          </w:rPr>
          <w:t>ayazdani@bwh.harvard.edu</w:t>
        </w:r>
      </w:hyperlink>
    </w:p>
  </w:footnote>
  <w:footnote w:id="2">
    <w:p w14:paraId="3B40228E" w14:textId="77777777" w:rsidR="00373EC1" w:rsidRPr="000565CA" w:rsidRDefault="00373EC1" w:rsidP="00373EC1">
      <w:pPr>
        <w:tabs>
          <w:tab w:val="left" w:pos="10080"/>
          <w:tab w:val="left" w:pos="10440"/>
        </w:tabs>
        <w:autoSpaceDE w:val="0"/>
        <w:autoSpaceDN w:val="0"/>
        <w:adjustRightInd w:val="0"/>
        <w:spacing w:after="0" w:line="240" w:lineRule="auto"/>
        <w:jc w:val="both"/>
        <w:rPr>
          <w:rFonts w:ascii="Arial" w:hAnsi="Arial" w:cs="Arial"/>
          <w:sz w:val="18"/>
          <w:szCs w:val="18"/>
          <w:shd w:val="clear" w:color="auto" w:fill="FFFFFF"/>
        </w:rPr>
      </w:pPr>
      <w:r w:rsidRPr="00E065A6">
        <w:rPr>
          <w:rStyle w:val="FootnoteReference"/>
        </w:rPr>
        <w:footnoteRef/>
      </w:r>
      <w:r w:rsidRPr="00E065A6">
        <w:rPr>
          <w:rFonts w:ascii="Arial" w:hAnsi="Arial" w:cs="Arial"/>
          <w:sz w:val="18"/>
          <w:szCs w:val="18"/>
          <w:shd w:val="clear" w:color="auto" w:fill="FFFFFF"/>
        </w:rPr>
        <w:t xml:space="preserve"> </w:t>
      </w:r>
      <w:r>
        <w:rPr>
          <w:rFonts w:ascii="Arial" w:hAnsi="Arial" w:cs="Arial"/>
          <w:sz w:val="18"/>
          <w:szCs w:val="18"/>
          <w:shd w:val="clear" w:color="auto" w:fill="FFFFFF"/>
        </w:rPr>
        <w:t xml:space="preserve">Harvard Data Science Initiative </w:t>
      </w:r>
    </w:p>
  </w:footnote>
  <w:footnote w:id="3">
    <w:p w14:paraId="267A79F7" w14:textId="77777777" w:rsidR="00373EC1" w:rsidRPr="000565CA" w:rsidRDefault="00373EC1" w:rsidP="00373EC1">
      <w:pPr>
        <w:tabs>
          <w:tab w:val="left" w:pos="10080"/>
          <w:tab w:val="left" w:pos="10440"/>
        </w:tabs>
        <w:autoSpaceDE w:val="0"/>
        <w:autoSpaceDN w:val="0"/>
        <w:adjustRightInd w:val="0"/>
        <w:spacing w:after="0" w:line="240" w:lineRule="auto"/>
        <w:jc w:val="both"/>
        <w:rPr>
          <w:rFonts w:ascii="Arial" w:hAnsi="Arial" w:cs="Arial"/>
          <w:sz w:val="18"/>
          <w:szCs w:val="18"/>
          <w:shd w:val="clear" w:color="auto" w:fill="FFFFFF"/>
        </w:rPr>
      </w:pPr>
      <w:r w:rsidRPr="00E065A6">
        <w:rPr>
          <w:rStyle w:val="FootnoteReference"/>
        </w:rPr>
        <w:footnoteRef/>
      </w:r>
      <w:r w:rsidRPr="00E065A6">
        <w:rPr>
          <w:rFonts w:ascii="Arial" w:hAnsi="Arial" w:cs="Arial"/>
          <w:sz w:val="18"/>
          <w:szCs w:val="18"/>
          <w:shd w:val="clear" w:color="auto" w:fill="FFFFFF"/>
        </w:rPr>
        <w:t xml:space="preserve"> </w:t>
      </w:r>
      <w:r w:rsidRPr="00D11F5F">
        <w:rPr>
          <w:rFonts w:ascii="Arial" w:hAnsi="Arial" w:cs="Arial"/>
          <w:sz w:val="18"/>
          <w:szCs w:val="18"/>
          <w:shd w:val="clear" w:color="auto" w:fill="FFFFFF"/>
        </w:rPr>
        <w:t>Field Applications Scientist</w:t>
      </w:r>
      <w:r>
        <w:rPr>
          <w:rFonts w:ascii="Arial" w:hAnsi="Arial" w:cs="Arial"/>
          <w:sz w:val="18"/>
          <w:szCs w:val="18"/>
          <w:shd w:val="clear" w:color="auto" w:fill="FFFFFF"/>
        </w:rPr>
        <w:t xml:space="preserve">, </w:t>
      </w:r>
      <w:r w:rsidRPr="00D11F5F">
        <w:rPr>
          <w:rFonts w:ascii="Arial" w:hAnsi="Arial" w:cs="Arial"/>
          <w:sz w:val="18"/>
          <w:szCs w:val="18"/>
          <w:shd w:val="clear" w:color="auto" w:fill="FFFFFF"/>
        </w:rPr>
        <w:t>Beckman Coulter</w:t>
      </w:r>
    </w:p>
  </w:footnote>
  <w:footnote w:id="4">
    <w:p w14:paraId="43A5C8C1" w14:textId="77777777" w:rsidR="00373EC1" w:rsidRDefault="00373EC1" w:rsidP="00373EC1">
      <w:pPr>
        <w:pStyle w:val="Heading2"/>
        <w:shd w:val="clear" w:color="auto" w:fill="FFFFFF"/>
        <w:spacing w:line="240" w:lineRule="auto"/>
        <w:textAlignment w:val="baseline"/>
        <w:rPr>
          <w:rFonts w:ascii="Arial" w:eastAsiaTheme="minorHAnsi" w:hAnsi="Arial" w:cs="Arial"/>
          <w:color w:val="auto"/>
          <w:sz w:val="18"/>
          <w:szCs w:val="18"/>
          <w:shd w:val="clear" w:color="auto" w:fill="FFFFFF"/>
        </w:rPr>
      </w:pPr>
      <w:r w:rsidRPr="00E065A6">
        <w:rPr>
          <w:rStyle w:val="FootnoteReference"/>
          <w:color w:val="auto"/>
        </w:rPr>
        <w:footnoteRef/>
      </w:r>
      <w:r w:rsidRPr="000565CA">
        <w:rPr>
          <w:rFonts w:ascii="Arial" w:eastAsiaTheme="minorHAnsi" w:hAnsi="Arial" w:cs="Arial"/>
          <w:color w:val="auto"/>
          <w:sz w:val="18"/>
          <w:szCs w:val="18"/>
          <w:shd w:val="clear" w:color="auto" w:fill="FFFFFF"/>
        </w:rPr>
        <w:t>Division of Clinical and Translational Sciences, Department of Internal Medicine, at The University of Texas Health Science Center at Houston, McGovern Medical School</w:t>
      </w:r>
    </w:p>
    <w:p w14:paraId="4A136DA7" w14:textId="77777777" w:rsidR="00373EC1" w:rsidRPr="00E065A6" w:rsidRDefault="00373EC1" w:rsidP="00373EC1">
      <w:pPr>
        <w:pStyle w:val="Heading2"/>
        <w:shd w:val="clear" w:color="auto" w:fill="FFFFFF"/>
        <w:spacing w:line="240" w:lineRule="auto"/>
        <w:textAlignment w:val="baseline"/>
        <w:rPr>
          <w:rFonts w:ascii="Arial" w:eastAsiaTheme="minorHAnsi" w:hAnsi="Arial" w:cs="Arial"/>
          <w:color w:val="auto"/>
          <w:sz w:val="18"/>
          <w:szCs w:val="18"/>
          <w:shd w:val="clear" w:color="auto" w:fill="FFFFFF"/>
        </w:rPr>
      </w:pPr>
    </w:p>
  </w:footnote>
  <w:footnote w:id="5">
    <w:p w14:paraId="66627BD4" w14:textId="77777777" w:rsidR="00373EC1" w:rsidRPr="00E7738C" w:rsidRDefault="00373EC1" w:rsidP="00373EC1">
      <w:pPr>
        <w:tabs>
          <w:tab w:val="left" w:pos="10080"/>
          <w:tab w:val="left" w:pos="10440"/>
        </w:tabs>
        <w:autoSpaceDE w:val="0"/>
        <w:autoSpaceDN w:val="0"/>
        <w:adjustRightInd w:val="0"/>
        <w:spacing w:after="0" w:line="240" w:lineRule="auto"/>
        <w:jc w:val="both"/>
        <w:rPr>
          <w:rFonts w:ascii="Arial" w:hAnsi="Arial" w:cs="Arial"/>
          <w:sz w:val="18"/>
          <w:szCs w:val="18"/>
          <w:shd w:val="clear" w:color="auto" w:fill="FFFFFF"/>
        </w:rPr>
      </w:pPr>
      <w:r w:rsidRPr="00E065A6">
        <w:rPr>
          <w:rStyle w:val="FootnoteReference"/>
        </w:rPr>
        <w:footnoteRef/>
      </w:r>
      <w:r w:rsidRPr="00E065A6">
        <w:rPr>
          <w:rFonts w:ascii="Arial" w:hAnsi="Arial" w:cs="Arial"/>
          <w:sz w:val="18"/>
          <w:szCs w:val="18"/>
          <w:shd w:val="clear" w:color="auto" w:fill="FFFFFF"/>
        </w:rPr>
        <w:t xml:space="preserve">Department of Quantitative Health Sciences, Mayo Clinic, Rochester, MN 55902, </w:t>
      </w:r>
    </w:p>
  </w:footnote>
  <w:footnote w:id="6">
    <w:p w14:paraId="6B355DE3" w14:textId="77777777" w:rsidR="00373EC1" w:rsidRPr="00CE5A24" w:rsidRDefault="00373EC1" w:rsidP="00373EC1">
      <w:pPr>
        <w:pStyle w:val="Heading2"/>
        <w:shd w:val="clear" w:color="auto" w:fill="FFFFFF"/>
        <w:spacing w:before="0"/>
        <w:rPr>
          <w:rFonts w:ascii="Roboto" w:hAnsi="Roboto"/>
          <w:color w:val="202124"/>
        </w:rPr>
      </w:pPr>
      <w:r w:rsidRPr="00E065A6">
        <w:rPr>
          <w:rStyle w:val="FootnoteReference"/>
        </w:rPr>
        <w:footnoteRef/>
      </w:r>
      <w:r w:rsidRPr="00E065A6">
        <w:rPr>
          <w:rFonts w:ascii="Arial" w:hAnsi="Arial" w:cs="Arial"/>
          <w:sz w:val="18"/>
          <w:szCs w:val="18"/>
          <w:shd w:val="clear" w:color="auto" w:fill="FFFFFF"/>
        </w:rPr>
        <w:t xml:space="preserve"> </w:t>
      </w:r>
      <w:r w:rsidRPr="00CE5A24">
        <w:rPr>
          <w:rFonts w:ascii="Arial" w:eastAsiaTheme="minorHAnsi" w:hAnsi="Arial" w:cs="Arial"/>
          <w:color w:val="auto"/>
          <w:sz w:val="18"/>
          <w:szCs w:val="18"/>
          <w:shd w:val="clear" w:color="auto" w:fill="FFFFFF"/>
        </w:rPr>
        <w:t xml:space="preserve">School of Mathematics, </w:t>
      </w:r>
      <w:r>
        <w:rPr>
          <w:rFonts w:ascii="Arial" w:eastAsiaTheme="minorHAnsi" w:hAnsi="Arial" w:cs="Arial"/>
          <w:color w:val="auto"/>
          <w:sz w:val="18"/>
          <w:szCs w:val="18"/>
          <w:shd w:val="clear" w:color="auto" w:fill="FFFFFF"/>
        </w:rPr>
        <w:t>U</w:t>
      </w:r>
      <w:r w:rsidRPr="00CE5A24">
        <w:rPr>
          <w:rFonts w:ascii="Arial" w:eastAsiaTheme="minorHAnsi" w:hAnsi="Arial" w:cs="Arial"/>
          <w:color w:val="auto"/>
          <w:sz w:val="18"/>
          <w:szCs w:val="18"/>
          <w:shd w:val="clear" w:color="auto" w:fill="FFFFFF"/>
        </w:rPr>
        <w:t>niversity of science and technology of Iran</w:t>
      </w:r>
      <w:r>
        <w:rPr>
          <w:rFonts w:ascii="Arial" w:eastAsiaTheme="minorHAnsi" w:hAnsi="Arial" w:cs="Arial"/>
          <w:color w:val="auto"/>
          <w:sz w:val="18"/>
          <w:szCs w:val="18"/>
          <w:shd w:val="clear" w:color="auto" w:fill="FFFFFF"/>
        </w:rPr>
        <w:t>, Tehran</w:t>
      </w:r>
    </w:p>
  </w:footnote>
  <w:footnote w:id="7">
    <w:p w14:paraId="795FC08D" w14:textId="77777777" w:rsidR="00373EC1" w:rsidRPr="00E065A6" w:rsidRDefault="00373EC1" w:rsidP="00373EC1">
      <w:pPr>
        <w:tabs>
          <w:tab w:val="left" w:pos="10080"/>
          <w:tab w:val="left" w:pos="10440"/>
        </w:tabs>
        <w:autoSpaceDE w:val="0"/>
        <w:autoSpaceDN w:val="0"/>
        <w:adjustRightInd w:val="0"/>
        <w:spacing w:after="0" w:line="240" w:lineRule="auto"/>
        <w:jc w:val="both"/>
        <w:rPr>
          <w:rFonts w:ascii="Arial" w:hAnsi="Arial" w:cs="Arial"/>
          <w:sz w:val="18"/>
          <w:szCs w:val="18"/>
          <w:u w:val="single"/>
          <w:shd w:val="clear" w:color="auto" w:fill="FFFFFF"/>
        </w:rPr>
      </w:pPr>
      <w:r w:rsidRPr="00E065A6">
        <w:rPr>
          <w:rStyle w:val="FootnoteReference"/>
        </w:rPr>
        <w:footnoteRef/>
      </w:r>
      <w:r w:rsidRPr="00E065A6">
        <w:rPr>
          <w:rFonts w:ascii="Arial" w:hAnsi="Arial" w:cs="Arial"/>
          <w:sz w:val="18"/>
          <w:szCs w:val="18"/>
          <w:shd w:val="clear" w:color="auto" w:fill="FFFFFF"/>
        </w:rPr>
        <w:t xml:space="preserve"> </w:t>
      </w:r>
      <w:r w:rsidRPr="00E065A6">
        <w:rPr>
          <w:sz w:val="20"/>
          <w:szCs w:val="20"/>
        </w:rPr>
        <w:t>Computational Health Informatics Program, Boston Children’s Hospital, Boston, M</w:t>
      </w:r>
      <w:r>
        <w:rPr>
          <w:sz w:val="20"/>
          <w:szCs w:val="20"/>
        </w:rPr>
        <w:t>A</w:t>
      </w:r>
    </w:p>
  </w:footnote>
  <w:footnote w:id="8">
    <w:p w14:paraId="696AE16C" w14:textId="77777777" w:rsidR="00373EC1" w:rsidRPr="00E065A6" w:rsidRDefault="00373EC1" w:rsidP="00373EC1">
      <w:pPr>
        <w:pStyle w:val="Heading2"/>
        <w:shd w:val="clear" w:color="auto" w:fill="FFFFFF"/>
        <w:spacing w:line="240" w:lineRule="auto"/>
        <w:textAlignment w:val="baseline"/>
        <w:rPr>
          <w:color w:val="auto"/>
        </w:rPr>
      </w:pPr>
      <w:r w:rsidRPr="00E065A6">
        <w:rPr>
          <w:rStyle w:val="FootnoteReference"/>
          <w:color w:val="auto"/>
        </w:rPr>
        <w:footnoteRef/>
      </w:r>
      <w:r w:rsidRPr="00E065A6">
        <w:rPr>
          <w:rFonts w:ascii="Arial" w:eastAsiaTheme="minorHAnsi" w:hAnsi="Arial" w:cs="Arial"/>
          <w:color w:val="auto"/>
          <w:sz w:val="18"/>
          <w:szCs w:val="18"/>
          <w:shd w:val="clear" w:color="auto" w:fill="FFFFFF"/>
        </w:rPr>
        <w:t>Division of Pulmonary Medicine, Boston Children's Hospital</w:t>
      </w:r>
    </w:p>
  </w:footnote>
  <w:footnote w:id="9">
    <w:p w14:paraId="4456E458" w14:textId="77777777" w:rsidR="00373EC1" w:rsidRPr="00CE5A24" w:rsidRDefault="00373EC1" w:rsidP="00373EC1">
      <w:pPr>
        <w:tabs>
          <w:tab w:val="left" w:pos="10080"/>
          <w:tab w:val="left" w:pos="10440"/>
        </w:tabs>
        <w:autoSpaceDE w:val="0"/>
        <w:autoSpaceDN w:val="0"/>
        <w:adjustRightInd w:val="0"/>
        <w:spacing w:after="0" w:line="360" w:lineRule="auto"/>
        <w:jc w:val="both"/>
        <w:rPr>
          <w:rFonts w:ascii="Arial" w:hAnsi="Arial" w:cs="Arial"/>
          <w:color w:val="0563C1" w:themeColor="hyperlink"/>
          <w:sz w:val="18"/>
          <w:szCs w:val="18"/>
          <w:u w:val="single"/>
          <w:shd w:val="clear" w:color="auto" w:fill="FFFFFF"/>
        </w:rPr>
      </w:pPr>
      <w:r w:rsidRPr="00E065A6">
        <w:rPr>
          <w:rStyle w:val="FootnoteReference"/>
        </w:rPr>
        <w:footnoteRef/>
      </w:r>
      <w:r>
        <w:rPr>
          <w:rFonts w:ascii="Arial" w:hAnsi="Arial" w:cs="Arial"/>
          <w:sz w:val="18"/>
          <w:szCs w:val="18"/>
          <w:shd w:val="clear" w:color="auto" w:fill="FFFFFF"/>
        </w:rPr>
        <w:t xml:space="preserve"> Division of Food and Nutrition Science, Department of Life Sciences, Chalmers University of Technology, Gothenburg, Sweden</w:t>
      </w:r>
    </w:p>
  </w:footnote>
  <w:footnote w:id="10">
    <w:p w14:paraId="5482E453" w14:textId="77777777" w:rsidR="00373EC1" w:rsidRPr="00E065A6" w:rsidRDefault="00373EC1" w:rsidP="00373EC1">
      <w:pPr>
        <w:tabs>
          <w:tab w:val="left" w:pos="10080"/>
          <w:tab w:val="left" w:pos="10440"/>
        </w:tabs>
        <w:autoSpaceDE w:val="0"/>
        <w:autoSpaceDN w:val="0"/>
        <w:adjustRightInd w:val="0"/>
        <w:spacing w:after="0" w:line="240" w:lineRule="auto"/>
        <w:jc w:val="both"/>
        <w:rPr>
          <w:rFonts w:ascii="Arial" w:hAnsi="Arial" w:cs="Arial"/>
          <w:sz w:val="18"/>
          <w:szCs w:val="18"/>
          <w:u w:val="single"/>
          <w:shd w:val="clear" w:color="auto" w:fill="FFFFFF"/>
        </w:rPr>
      </w:pPr>
      <w:r w:rsidRPr="00E065A6">
        <w:rPr>
          <w:rStyle w:val="FootnoteReference"/>
        </w:rPr>
        <w:footnoteRef/>
      </w:r>
      <w:r w:rsidRPr="00E065A6">
        <w:rPr>
          <w:rFonts w:ascii="Arial" w:hAnsi="Arial" w:cs="Arial"/>
          <w:sz w:val="18"/>
          <w:szCs w:val="18"/>
          <w:shd w:val="clear" w:color="auto" w:fill="FFFFFF"/>
        </w:rPr>
        <w:t xml:space="preserve"> </w:t>
      </w:r>
      <w:r>
        <w:rPr>
          <w:rFonts w:ascii="Arial" w:hAnsi="Arial" w:cs="Arial"/>
          <w:sz w:val="18"/>
          <w:szCs w:val="18"/>
          <w:shd w:val="clear" w:color="auto" w:fill="FFFFFF"/>
        </w:rPr>
        <w:t xml:space="preserve">Department of Medicine, </w:t>
      </w:r>
      <w:r>
        <w:rPr>
          <w:rFonts w:ascii="Arial" w:hAnsi="Arial" w:cs="Arial"/>
          <w:sz w:val="18"/>
          <w:szCs w:val="18"/>
        </w:rPr>
        <w:t xml:space="preserve">Brigham Women’s </w:t>
      </w:r>
      <w:r w:rsidRPr="00E065A6">
        <w:rPr>
          <w:rFonts w:ascii="Arial" w:hAnsi="Arial" w:cs="Arial"/>
          <w:sz w:val="18"/>
          <w:szCs w:val="18"/>
        </w:rPr>
        <w:t xml:space="preserve">Hospital, </w:t>
      </w:r>
      <w:r w:rsidRPr="00E065A6">
        <w:rPr>
          <w:rFonts w:ascii="Arial" w:hAnsi="Arial" w:cs="Arial"/>
          <w:sz w:val="18"/>
          <w:szCs w:val="18"/>
          <w:shd w:val="clear" w:color="auto" w:fill="FFFFFF"/>
        </w:rPr>
        <w:t>Harvard Medical School, Boston, MA</w:t>
      </w:r>
    </w:p>
  </w:footnote>
  <w:footnote w:id="11">
    <w:p w14:paraId="3C7E349F" w14:textId="77777777" w:rsidR="00373EC1" w:rsidRPr="00E065A6" w:rsidRDefault="00373EC1" w:rsidP="00373EC1">
      <w:pPr>
        <w:tabs>
          <w:tab w:val="left" w:pos="10080"/>
          <w:tab w:val="left" w:pos="10440"/>
        </w:tabs>
        <w:autoSpaceDE w:val="0"/>
        <w:autoSpaceDN w:val="0"/>
        <w:adjustRightInd w:val="0"/>
        <w:spacing w:after="0" w:line="240" w:lineRule="auto"/>
        <w:jc w:val="both"/>
        <w:rPr>
          <w:rFonts w:ascii="Arial" w:hAnsi="Arial" w:cs="Arial"/>
          <w:sz w:val="18"/>
          <w:szCs w:val="18"/>
          <w:u w:val="single"/>
          <w:shd w:val="clear" w:color="auto" w:fill="FFFFFF"/>
        </w:rPr>
      </w:pPr>
      <w:r w:rsidRPr="00E065A6">
        <w:rPr>
          <w:rStyle w:val="FootnoteReference"/>
        </w:rPr>
        <w:footnoteRef/>
      </w:r>
      <w:r w:rsidRPr="00E065A6">
        <w:rPr>
          <w:rFonts w:ascii="Arial" w:hAnsi="Arial" w:cs="Arial"/>
          <w:sz w:val="18"/>
          <w:szCs w:val="18"/>
          <w:shd w:val="clear" w:color="auto" w:fill="FFFFFF"/>
        </w:rPr>
        <w:t xml:space="preserve"> </w:t>
      </w:r>
      <w:r w:rsidRPr="00BA2B78">
        <w:rPr>
          <w:rFonts w:ascii="Arial" w:hAnsi="Arial" w:cs="Arial"/>
          <w:sz w:val="18"/>
          <w:szCs w:val="18"/>
        </w:rPr>
        <w:t>Broad Institute of MIT and Harvard</w:t>
      </w:r>
    </w:p>
  </w:footnote>
  <w:footnote w:id="12">
    <w:p w14:paraId="50B583E3" w14:textId="77777777" w:rsidR="00373EC1" w:rsidRPr="00BA2B78" w:rsidRDefault="00373EC1" w:rsidP="00373EC1">
      <w:pPr>
        <w:autoSpaceDE w:val="0"/>
        <w:autoSpaceDN w:val="0"/>
        <w:adjustRightInd w:val="0"/>
        <w:spacing w:after="0" w:line="240" w:lineRule="auto"/>
        <w:rPr>
          <w:sz w:val="20"/>
          <w:szCs w:val="20"/>
        </w:rPr>
      </w:pPr>
      <w:r w:rsidRPr="00E065A6">
        <w:rPr>
          <w:rStyle w:val="FootnoteReference"/>
        </w:rPr>
        <w:footnoteRef/>
      </w:r>
      <w:r w:rsidRPr="00BA2B78">
        <w:rPr>
          <w:rFonts w:ascii="Calibri" w:hAnsi="Calibri" w:cs="Calibri"/>
          <w:color w:val="000000"/>
          <w:sz w:val="20"/>
          <w:szCs w:val="20"/>
        </w:rPr>
        <w:t>ReGenera R&amp;D International for Aging Intervention and Vitality &amp; Longevity Medical Science Commission, Femtec, Milano, Italy</w:t>
      </w:r>
    </w:p>
  </w:footnote>
  <w:footnote w:id="13">
    <w:p w14:paraId="5E918A48" w14:textId="77777777" w:rsidR="00373EC1" w:rsidRPr="00E065A6" w:rsidRDefault="00373EC1" w:rsidP="00373EC1">
      <w:pPr>
        <w:spacing w:after="0" w:line="240" w:lineRule="auto"/>
        <w:jc w:val="both"/>
      </w:pPr>
      <w:r w:rsidRPr="00E065A6">
        <w:rPr>
          <w:rStyle w:val="FootnoteReference"/>
        </w:rPr>
        <w:footnoteRef/>
      </w:r>
      <w:r w:rsidRPr="00E065A6">
        <w:rPr>
          <w:rFonts w:ascii="Arial" w:hAnsi="Arial" w:cs="Arial"/>
          <w:sz w:val="18"/>
          <w:szCs w:val="18"/>
        </w:rPr>
        <w:t xml:space="preserve">Department of Biostatistics, University of North Carolina </w:t>
      </w:r>
      <w:r w:rsidRPr="00E065A6">
        <w:rPr>
          <w:rFonts w:ascii="Arial" w:hAnsi="Arial" w:cs="Arial"/>
          <w:sz w:val="18"/>
          <w:szCs w:val="18"/>
          <w:shd w:val="clear" w:color="auto" w:fill="FFFFFF"/>
        </w:rPr>
        <w:t>at Chapel Hill, Chapel Hill, NC, 27599</w:t>
      </w:r>
    </w:p>
  </w:footnote>
  <w:footnote w:id="14">
    <w:p w14:paraId="1072DECD" w14:textId="77777777" w:rsidR="00373EC1" w:rsidRPr="00E065A6" w:rsidRDefault="00373EC1" w:rsidP="00373EC1">
      <w:pPr>
        <w:spacing w:after="0" w:line="240" w:lineRule="auto"/>
        <w:jc w:val="both"/>
      </w:pPr>
      <w:r w:rsidRPr="00E065A6">
        <w:rPr>
          <w:rStyle w:val="FootnoteReference"/>
        </w:rPr>
        <w:footnoteRef/>
      </w:r>
      <w:r w:rsidRPr="000B0826">
        <w:rPr>
          <w:sz w:val="20"/>
          <w:szCs w:val="20"/>
        </w:rPr>
        <w:t>Center for Lipid Metabolomics, Divisions of Preventive and Cardiovascular Medicine, Harvard Medical School, Boston, MA 02215</w:t>
      </w:r>
    </w:p>
  </w:footnote>
  <w:footnote w:id="15">
    <w:p w14:paraId="21DA0E81" w14:textId="77777777" w:rsidR="00373EC1" w:rsidRPr="00BA2B78" w:rsidRDefault="00373EC1" w:rsidP="00373EC1">
      <w:pPr>
        <w:tabs>
          <w:tab w:val="left" w:pos="10080"/>
          <w:tab w:val="left" w:pos="10440"/>
        </w:tabs>
        <w:autoSpaceDE w:val="0"/>
        <w:autoSpaceDN w:val="0"/>
        <w:adjustRightInd w:val="0"/>
        <w:spacing w:after="0" w:line="240" w:lineRule="auto"/>
        <w:jc w:val="both"/>
        <w:rPr>
          <w:rFonts w:ascii="Arial" w:hAnsi="Arial" w:cs="Arial"/>
          <w:sz w:val="18"/>
          <w:szCs w:val="18"/>
          <w:u w:val="single"/>
          <w:shd w:val="clear" w:color="auto" w:fill="FFFFFF"/>
        </w:rPr>
      </w:pPr>
      <w:r w:rsidRPr="00E065A6">
        <w:rPr>
          <w:rStyle w:val="FootnoteReference"/>
        </w:rPr>
        <w:footnoteRef/>
      </w:r>
      <w:r>
        <w:t xml:space="preserve"> </w:t>
      </w:r>
      <w:r>
        <w:rPr>
          <w:rFonts w:ascii="Arial" w:hAnsi="Arial" w:cs="Arial"/>
          <w:sz w:val="18"/>
          <w:szCs w:val="18"/>
          <w:shd w:val="clear" w:color="auto" w:fill="FFFFFF"/>
        </w:rPr>
        <w:t xml:space="preserve">Department of Medicine, </w:t>
      </w:r>
      <w:r>
        <w:rPr>
          <w:rFonts w:ascii="Arial" w:hAnsi="Arial" w:cs="Arial"/>
          <w:sz w:val="18"/>
          <w:szCs w:val="18"/>
        </w:rPr>
        <w:t xml:space="preserve">Brigham Women’s </w:t>
      </w:r>
      <w:r w:rsidRPr="00E065A6">
        <w:rPr>
          <w:rFonts w:ascii="Arial" w:hAnsi="Arial" w:cs="Arial"/>
          <w:sz w:val="18"/>
          <w:szCs w:val="18"/>
        </w:rPr>
        <w:t xml:space="preserve">Hospital, </w:t>
      </w:r>
      <w:r w:rsidRPr="00E065A6">
        <w:rPr>
          <w:rFonts w:ascii="Arial" w:hAnsi="Arial" w:cs="Arial"/>
          <w:sz w:val="18"/>
          <w:szCs w:val="18"/>
          <w:shd w:val="clear" w:color="auto" w:fill="FFFFFF"/>
        </w:rPr>
        <w:t>Harvard Medical School, Boston, MA</w:t>
      </w:r>
    </w:p>
  </w:footnote>
  <w:footnote w:id="16">
    <w:p w14:paraId="456B2EE6" w14:textId="77777777" w:rsidR="00373EC1" w:rsidRPr="00E065A6" w:rsidRDefault="00373EC1" w:rsidP="00373EC1">
      <w:pPr>
        <w:spacing w:after="0" w:line="240" w:lineRule="auto"/>
        <w:jc w:val="both"/>
      </w:pPr>
      <w:r w:rsidRPr="00E065A6">
        <w:rPr>
          <w:rStyle w:val="FootnoteReference"/>
        </w:rPr>
        <w:footnoteRef/>
      </w:r>
      <w:r w:rsidRPr="00E065A6">
        <w:rPr>
          <w:rFonts w:ascii="Arial" w:hAnsi="Arial" w:cs="Arial"/>
          <w:sz w:val="18"/>
          <w:szCs w:val="18"/>
        </w:rPr>
        <w:t>Department of Biostatistics, Boston University</w:t>
      </w:r>
      <w:r w:rsidRPr="00E065A6">
        <w:rPr>
          <w:rFonts w:ascii="Arial" w:hAnsi="Arial" w:cs="Arial"/>
          <w:sz w:val="18"/>
          <w:szCs w:val="18"/>
          <w:shd w:val="clear" w:color="auto" w:fill="FFFFFF"/>
        </w:rPr>
        <w:t>, Boston, MA, 02118, Email: mlarson@bu.edu</w:t>
      </w:r>
    </w:p>
  </w:footnote>
  <w:footnote w:id="17">
    <w:p w14:paraId="3BF304B2" w14:textId="77777777" w:rsidR="00373EC1" w:rsidRDefault="00373EC1" w:rsidP="00373EC1">
      <w:pPr>
        <w:spacing w:after="0" w:line="240" w:lineRule="auto"/>
        <w:jc w:val="both"/>
        <w:rPr>
          <w:rFonts w:ascii="Arial" w:hAnsi="Arial" w:cs="Arial"/>
          <w:sz w:val="18"/>
          <w:szCs w:val="18"/>
          <w:shd w:val="clear" w:color="auto" w:fill="FFFFFF"/>
        </w:rPr>
      </w:pPr>
      <w:r w:rsidRPr="00E065A6">
        <w:rPr>
          <w:rStyle w:val="FootnoteReference"/>
        </w:rPr>
        <w:footnoteRef/>
      </w:r>
      <w:r w:rsidRPr="00E065A6">
        <w:rPr>
          <w:rFonts w:ascii="Arial" w:hAnsi="Arial" w:cs="Arial"/>
          <w:sz w:val="18"/>
          <w:szCs w:val="18"/>
          <w:shd w:val="clear" w:color="auto" w:fill="FFFFFF"/>
        </w:rPr>
        <w:t>Department of Molecular &amp; Human Genetics, Baylor College of Medicine, Houston, TX, 77030</w:t>
      </w:r>
    </w:p>
    <w:p w14:paraId="75080404" w14:textId="77777777" w:rsidR="00373EC1" w:rsidRPr="008220C8" w:rsidRDefault="00373EC1" w:rsidP="00373EC1">
      <w:pPr>
        <w:spacing w:after="0" w:line="240" w:lineRule="auto"/>
        <w:jc w:val="both"/>
        <w:rPr>
          <w:vertAlign w:val="superscript"/>
        </w:rPr>
      </w:pPr>
      <w:r>
        <w:rPr>
          <w:rFonts w:ascii="Arial" w:hAnsi="Arial" w:cs="Arial"/>
          <w:sz w:val="18"/>
          <w:szCs w:val="18"/>
          <w:shd w:val="clear" w:color="auto" w:fill="FFFFFF"/>
          <w:vertAlign w:val="superscript"/>
        </w:rPr>
        <w:t xml:space="preserve">17 </w:t>
      </w:r>
      <w:r w:rsidRPr="008220C8">
        <w:rPr>
          <w:rFonts w:ascii="Arial" w:hAnsi="Arial" w:cs="Arial"/>
          <w:sz w:val="18"/>
          <w:szCs w:val="18"/>
          <w:shd w:val="clear" w:color="auto" w:fill="FFFFFF"/>
        </w:rPr>
        <w:t xml:space="preserve">These authors </w:t>
      </w:r>
      <w:r>
        <w:rPr>
          <w:rFonts w:ascii="Arial" w:hAnsi="Arial" w:cs="Arial"/>
          <w:sz w:val="18"/>
          <w:szCs w:val="18"/>
          <w:shd w:val="clear" w:color="auto" w:fill="FFFFFF"/>
        </w:rPr>
        <w:t>are co-second author.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E7B69"/>
    <w:multiLevelType w:val="multilevel"/>
    <w:tmpl w:val="201E958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 w15:restartNumberingAfterBreak="0">
    <w:nsid w:val="16CA6DC0"/>
    <w:multiLevelType w:val="hybridMultilevel"/>
    <w:tmpl w:val="5DA06048"/>
    <w:lvl w:ilvl="0" w:tplc="2BC6D470">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834D0C"/>
    <w:multiLevelType w:val="hybridMultilevel"/>
    <w:tmpl w:val="CC7646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795B58"/>
    <w:multiLevelType w:val="multilevel"/>
    <w:tmpl w:val="201E9586"/>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4" w15:restartNumberingAfterBreak="0">
    <w:nsid w:val="332D7824"/>
    <w:multiLevelType w:val="hybridMultilevel"/>
    <w:tmpl w:val="04D0057A"/>
    <w:lvl w:ilvl="0" w:tplc="71E491B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1968A4"/>
    <w:multiLevelType w:val="hybridMultilevel"/>
    <w:tmpl w:val="03B697C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B5D2C56"/>
    <w:multiLevelType w:val="hybridMultilevel"/>
    <w:tmpl w:val="915E2CD4"/>
    <w:lvl w:ilvl="0" w:tplc="FB1AD9BC">
      <w:start w:val="1"/>
      <w:numFmt w:val="decimal"/>
      <w:lvlText w:val="%1."/>
      <w:lvlJc w:val="left"/>
      <w:pPr>
        <w:ind w:left="720" w:hanging="360"/>
      </w:pPr>
      <w:rPr>
        <w:rFonts w:ascii="Arial" w:eastAsia="Times New Roman"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1675B38"/>
    <w:multiLevelType w:val="hybridMultilevel"/>
    <w:tmpl w:val="7E109C80"/>
    <w:lvl w:ilvl="0" w:tplc="C136D54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D5D1E08"/>
    <w:multiLevelType w:val="hybridMultilevel"/>
    <w:tmpl w:val="F6C8ED82"/>
    <w:lvl w:ilvl="0" w:tplc="0A10683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72562622">
    <w:abstractNumId w:val="6"/>
  </w:num>
  <w:num w:numId="2" w16cid:durableId="2112818212">
    <w:abstractNumId w:val="2"/>
  </w:num>
  <w:num w:numId="3" w16cid:durableId="884021502">
    <w:abstractNumId w:val="3"/>
  </w:num>
  <w:num w:numId="4" w16cid:durableId="892887535">
    <w:abstractNumId w:val="5"/>
  </w:num>
  <w:num w:numId="5" w16cid:durableId="923606529">
    <w:abstractNumId w:val="0"/>
  </w:num>
  <w:num w:numId="6" w16cid:durableId="46033076">
    <w:abstractNumId w:val="8"/>
  </w:num>
  <w:num w:numId="7" w16cid:durableId="400956070">
    <w:abstractNumId w:val="1"/>
  </w:num>
  <w:num w:numId="8" w16cid:durableId="1603756403">
    <w:abstractNumId w:val="4"/>
  </w:num>
  <w:num w:numId="9" w16cid:durableId="13834833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doNotDisplayPageBoundaries/>
  <w:defaultTabStop w:val="720"/>
  <w:drawingGridHorizontalSpacing w:val="110"/>
  <w:displayHorizontalDrawingGridEvery w:val="2"/>
  <w:displayVerticalDrawingGridEvery w:val="2"/>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rQ0sTQ2sjQ3MTI0MjZV0lEKTi0uzszPAymwrAUA+TXTRCwAAAA="/>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05rwa92v959vaed5dvva2psw5psvttrte2e&quot;&gt;My EndNote Library&lt;record-ids&gt;&lt;item&gt;143&lt;/item&gt;&lt;item&gt;395&lt;/item&gt;&lt;item&gt;638&lt;/item&gt;&lt;item&gt;655&lt;/item&gt;&lt;item&gt;676&lt;/item&gt;&lt;item&gt;689&lt;/item&gt;&lt;item&gt;691&lt;/item&gt;&lt;item&gt;692&lt;/item&gt;&lt;/record-ids&gt;&lt;/item&gt;&lt;/Libraries&gt;"/>
  </w:docVars>
  <w:rsids>
    <w:rsidRoot w:val="00B71365"/>
    <w:rsid w:val="00060539"/>
    <w:rsid w:val="00067E97"/>
    <w:rsid w:val="000A7832"/>
    <w:rsid w:val="000B680D"/>
    <w:rsid w:val="000B7ED8"/>
    <w:rsid w:val="000E5EA3"/>
    <w:rsid w:val="0013737D"/>
    <w:rsid w:val="00164200"/>
    <w:rsid w:val="001813DD"/>
    <w:rsid w:val="001826D0"/>
    <w:rsid w:val="001E36A3"/>
    <w:rsid w:val="0029257F"/>
    <w:rsid w:val="002B26FA"/>
    <w:rsid w:val="002D332A"/>
    <w:rsid w:val="00320BB1"/>
    <w:rsid w:val="00351F57"/>
    <w:rsid w:val="00366D5E"/>
    <w:rsid w:val="00373EC1"/>
    <w:rsid w:val="004143E6"/>
    <w:rsid w:val="00414DD3"/>
    <w:rsid w:val="00446C18"/>
    <w:rsid w:val="004572DA"/>
    <w:rsid w:val="004653F2"/>
    <w:rsid w:val="00474572"/>
    <w:rsid w:val="004A53D2"/>
    <w:rsid w:val="004A6266"/>
    <w:rsid w:val="004C087B"/>
    <w:rsid w:val="004C3907"/>
    <w:rsid w:val="004F1593"/>
    <w:rsid w:val="005411DE"/>
    <w:rsid w:val="00586B82"/>
    <w:rsid w:val="005A588F"/>
    <w:rsid w:val="006204AC"/>
    <w:rsid w:val="00635815"/>
    <w:rsid w:val="0067229E"/>
    <w:rsid w:val="00686238"/>
    <w:rsid w:val="006C157D"/>
    <w:rsid w:val="007060EC"/>
    <w:rsid w:val="00743446"/>
    <w:rsid w:val="0075523D"/>
    <w:rsid w:val="007747BC"/>
    <w:rsid w:val="00783074"/>
    <w:rsid w:val="007D44A3"/>
    <w:rsid w:val="007D4C59"/>
    <w:rsid w:val="00807AD1"/>
    <w:rsid w:val="008A06BC"/>
    <w:rsid w:val="008B6CEB"/>
    <w:rsid w:val="008C6D7C"/>
    <w:rsid w:val="00913422"/>
    <w:rsid w:val="00942865"/>
    <w:rsid w:val="009A22BF"/>
    <w:rsid w:val="009B6ECF"/>
    <w:rsid w:val="009D3065"/>
    <w:rsid w:val="009E5675"/>
    <w:rsid w:val="00A04653"/>
    <w:rsid w:val="00A31A25"/>
    <w:rsid w:val="00A65C7F"/>
    <w:rsid w:val="00A6733F"/>
    <w:rsid w:val="00A82B16"/>
    <w:rsid w:val="00AE6E78"/>
    <w:rsid w:val="00AF0399"/>
    <w:rsid w:val="00B43FDD"/>
    <w:rsid w:val="00B71365"/>
    <w:rsid w:val="00B7164A"/>
    <w:rsid w:val="00B764C7"/>
    <w:rsid w:val="00B8766A"/>
    <w:rsid w:val="00BC5AC1"/>
    <w:rsid w:val="00C30FA5"/>
    <w:rsid w:val="00C42771"/>
    <w:rsid w:val="00C45EF7"/>
    <w:rsid w:val="00D170D7"/>
    <w:rsid w:val="00D32EBF"/>
    <w:rsid w:val="00DA142D"/>
    <w:rsid w:val="00DE02A8"/>
    <w:rsid w:val="00E00B9D"/>
    <w:rsid w:val="00EA78C5"/>
    <w:rsid w:val="00ED2AD3"/>
    <w:rsid w:val="00F06F3F"/>
    <w:rsid w:val="00F327BC"/>
    <w:rsid w:val="00F9082E"/>
    <w:rsid w:val="00FC18A5"/>
    <w:rsid w:val="00FE01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6F4695"/>
  <w15:chartTrackingRefBased/>
  <w15:docId w15:val="{0570FD23-C847-45B3-B854-B868700ED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F9082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8766A"/>
    <w:pPr>
      <w:spacing w:before="240" w:after="0" w:line="240" w:lineRule="auto"/>
      <w:ind w:left="720" w:firstLine="432"/>
      <w:contextualSpacing/>
      <w:jc w:val="both"/>
    </w:pPr>
  </w:style>
  <w:style w:type="paragraph" w:customStyle="1" w:styleId="pf0">
    <w:name w:val="pf0"/>
    <w:basedOn w:val="Normal"/>
    <w:rsid w:val="00A6733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f01">
    <w:name w:val="cf01"/>
    <w:basedOn w:val="DefaultParagraphFont"/>
    <w:rsid w:val="00A6733F"/>
    <w:rPr>
      <w:rFonts w:ascii="Segoe UI" w:hAnsi="Segoe UI" w:cs="Segoe UI" w:hint="default"/>
      <w:sz w:val="18"/>
      <w:szCs w:val="18"/>
    </w:rPr>
  </w:style>
  <w:style w:type="character" w:customStyle="1" w:styleId="cf11">
    <w:name w:val="cf11"/>
    <w:basedOn w:val="DefaultParagraphFont"/>
    <w:rsid w:val="00A6733F"/>
    <w:rPr>
      <w:rFonts w:ascii="Segoe UI" w:hAnsi="Segoe UI" w:cs="Segoe UI" w:hint="default"/>
      <w:sz w:val="18"/>
      <w:szCs w:val="18"/>
    </w:rPr>
  </w:style>
  <w:style w:type="character" w:styleId="CommentReference">
    <w:name w:val="annotation reference"/>
    <w:basedOn w:val="DefaultParagraphFont"/>
    <w:uiPriority w:val="99"/>
    <w:semiHidden/>
    <w:unhideWhenUsed/>
    <w:rsid w:val="00A04653"/>
    <w:rPr>
      <w:sz w:val="16"/>
      <w:szCs w:val="16"/>
    </w:rPr>
  </w:style>
  <w:style w:type="paragraph" w:styleId="CommentText">
    <w:name w:val="annotation text"/>
    <w:basedOn w:val="Normal"/>
    <w:link w:val="CommentTextChar"/>
    <w:uiPriority w:val="99"/>
    <w:unhideWhenUsed/>
    <w:rsid w:val="00A04653"/>
    <w:pPr>
      <w:spacing w:line="240" w:lineRule="auto"/>
    </w:pPr>
    <w:rPr>
      <w:sz w:val="20"/>
      <w:szCs w:val="20"/>
    </w:rPr>
  </w:style>
  <w:style w:type="character" w:customStyle="1" w:styleId="CommentTextChar">
    <w:name w:val="Comment Text Char"/>
    <w:basedOn w:val="DefaultParagraphFont"/>
    <w:link w:val="CommentText"/>
    <w:uiPriority w:val="99"/>
    <w:rsid w:val="00A04653"/>
    <w:rPr>
      <w:sz w:val="20"/>
      <w:szCs w:val="20"/>
    </w:rPr>
  </w:style>
  <w:style w:type="table" w:styleId="TableGrid">
    <w:name w:val="Table Grid"/>
    <w:basedOn w:val="TableNormal"/>
    <w:uiPriority w:val="39"/>
    <w:rsid w:val="00A046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A78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78C5"/>
  </w:style>
  <w:style w:type="paragraph" w:styleId="Footer">
    <w:name w:val="footer"/>
    <w:basedOn w:val="Normal"/>
    <w:link w:val="FooterChar"/>
    <w:uiPriority w:val="99"/>
    <w:unhideWhenUsed/>
    <w:rsid w:val="00EA78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78C5"/>
  </w:style>
  <w:style w:type="paragraph" w:styleId="CommentSubject">
    <w:name w:val="annotation subject"/>
    <w:basedOn w:val="CommentText"/>
    <w:next w:val="CommentText"/>
    <w:link w:val="CommentSubjectChar"/>
    <w:uiPriority w:val="99"/>
    <w:semiHidden/>
    <w:unhideWhenUsed/>
    <w:rsid w:val="00EA78C5"/>
    <w:rPr>
      <w:b/>
      <w:bCs/>
    </w:rPr>
  </w:style>
  <w:style w:type="character" w:customStyle="1" w:styleId="CommentSubjectChar">
    <w:name w:val="Comment Subject Char"/>
    <w:basedOn w:val="CommentTextChar"/>
    <w:link w:val="CommentSubject"/>
    <w:uiPriority w:val="99"/>
    <w:semiHidden/>
    <w:rsid w:val="00EA78C5"/>
    <w:rPr>
      <w:b/>
      <w:bCs/>
      <w:sz w:val="20"/>
      <w:szCs w:val="20"/>
    </w:rPr>
  </w:style>
  <w:style w:type="paragraph" w:styleId="Revision">
    <w:name w:val="Revision"/>
    <w:hidden/>
    <w:uiPriority w:val="99"/>
    <w:semiHidden/>
    <w:rsid w:val="00EA78C5"/>
    <w:pPr>
      <w:spacing w:after="0" w:line="240" w:lineRule="auto"/>
    </w:pPr>
  </w:style>
  <w:style w:type="paragraph" w:customStyle="1" w:styleId="EndNoteBibliographyTitle">
    <w:name w:val="EndNote Bibliography Title"/>
    <w:basedOn w:val="Normal"/>
    <w:link w:val="EndNoteBibliographyTitleChar"/>
    <w:rsid w:val="00067E97"/>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067E97"/>
    <w:rPr>
      <w:rFonts w:ascii="Calibri" w:hAnsi="Calibri" w:cs="Calibri"/>
      <w:noProof/>
    </w:rPr>
  </w:style>
  <w:style w:type="paragraph" w:customStyle="1" w:styleId="EndNoteBibliography">
    <w:name w:val="EndNote Bibliography"/>
    <w:basedOn w:val="Normal"/>
    <w:link w:val="EndNoteBibliographyChar"/>
    <w:rsid w:val="00067E97"/>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067E97"/>
    <w:rPr>
      <w:rFonts w:ascii="Calibri" w:hAnsi="Calibri" w:cs="Calibri"/>
      <w:noProof/>
    </w:rPr>
  </w:style>
  <w:style w:type="character" w:styleId="PlaceholderText">
    <w:name w:val="Placeholder Text"/>
    <w:basedOn w:val="DefaultParagraphFont"/>
    <w:uiPriority w:val="99"/>
    <w:semiHidden/>
    <w:rsid w:val="00F327BC"/>
    <w:rPr>
      <w:color w:val="808080"/>
    </w:rPr>
  </w:style>
  <w:style w:type="character" w:styleId="Hyperlink">
    <w:name w:val="Hyperlink"/>
    <w:basedOn w:val="DefaultParagraphFont"/>
    <w:uiPriority w:val="99"/>
    <w:unhideWhenUsed/>
    <w:rsid w:val="00B764C7"/>
    <w:rPr>
      <w:color w:val="0563C1" w:themeColor="hyperlink"/>
      <w:u w:val="single"/>
    </w:rPr>
  </w:style>
  <w:style w:type="character" w:styleId="UnresolvedMention">
    <w:name w:val="Unresolved Mention"/>
    <w:basedOn w:val="DefaultParagraphFont"/>
    <w:uiPriority w:val="99"/>
    <w:semiHidden/>
    <w:unhideWhenUsed/>
    <w:rsid w:val="00B764C7"/>
    <w:rPr>
      <w:color w:val="605E5C"/>
      <w:shd w:val="clear" w:color="auto" w:fill="E1DFDD"/>
    </w:rPr>
  </w:style>
  <w:style w:type="character" w:customStyle="1" w:styleId="Heading2Char">
    <w:name w:val="Heading 2 Char"/>
    <w:basedOn w:val="DefaultParagraphFont"/>
    <w:link w:val="Heading2"/>
    <w:uiPriority w:val="9"/>
    <w:rsid w:val="00F9082E"/>
    <w:rPr>
      <w:rFonts w:asciiTheme="majorHAnsi" w:eastAsiaTheme="majorEastAsia" w:hAnsiTheme="majorHAnsi" w:cstheme="majorBidi"/>
      <w:color w:val="2F5496" w:themeColor="accent1" w:themeShade="BF"/>
      <w:sz w:val="26"/>
      <w:szCs w:val="26"/>
    </w:rPr>
  </w:style>
  <w:style w:type="character" w:styleId="FootnoteReference">
    <w:name w:val="footnote reference"/>
    <w:basedOn w:val="DefaultParagraphFont"/>
    <w:semiHidden/>
    <w:unhideWhenUsed/>
    <w:rsid w:val="00F9082E"/>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774172">
      <w:bodyDiv w:val="1"/>
      <w:marLeft w:val="0"/>
      <w:marRight w:val="0"/>
      <w:marTop w:val="0"/>
      <w:marBottom w:val="0"/>
      <w:divBdr>
        <w:top w:val="none" w:sz="0" w:space="0" w:color="auto"/>
        <w:left w:val="none" w:sz="0" w:space="0" w:color="auto"/>
        <w:bottom w:val="none" w:sz="0" w:space="0" w:color="auto"/>
        <w:right w:val="none" w:sz="0" w:space="0" w:color="auto"/>
      </w:divBdr>
    </w:div>
    <w:div w:id="1561287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who.int/mediacentre/factsheets/fs317/e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https://doi.org/10.3389/fgene.2022.990486"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png"/></Relationships>
</file>

<file path=word/_rels/footnotes.xml.rels><?xml version="1.0" encoding="UTF-8" standalone="yes"?>
<Relationships xmlns="http://schemas.openxmlformats.org/package/2006/relationships"><Relationship Id="rId1" Type="http://schemas.openxmlformats.org/officeDocument/2006/relationships/hyperlink" Target="mailto:ayazdani@bwh.harvard.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167</TotalTime>
  <Pages>5</Pages>
  <Words>2502</Words>
  <Characters>14264</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Yazdani, Azam, PhD, MSc</dc:creator>
  <cp:keywords/>
  <dc:description/>
  <cp:lastModifiedBy>Yazdani, Azam, PhD, MSc</cp:lastModifiedBy>
  <cp:revision>32</cp:revision>
  <dcterms:created xsi:type="dcterms:W3CDTF">2023-04-04T00:18:00Z</dcterms:created>
  <dcterms:modified xsi:type="dcterms:W3CDTF">2023-08-10T20:41:00Z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bc06e3deebabbaf0fab69d9ae66998755cbf6c6bcdb413248c545fdc1a8c9ddf</vt:lpwstr>
  </property>
</Properties>
</file>