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9DA31" w14:textId="6B875EE4" w:rsidR="00E560BD" w:rsidRDefault="004003D3" w:rsidP="004003D3">
      <w:pPr>
        <w:spacing w:line="360" w:lineRule="auto"/>
        <w:jc w:val="both"/>
        <w:rPr>
          <w:rFonts w:ascii="Times New Roman" w:hAnsi="Times New Roman" w:cs="Times New Roman"/>
          <w:b/>
          <w:bCs/>
          <w:sz w:val="28"/>
          <w:szCs w:val="28"/>
        </w:rPr>
      </w:pPr>
      <w:bookmarkStart w:id="0" w:name="_Hlk135126826"/>
      <w:bookmarkStart w:id="1" w:name="_Hlk118446549"/>
      <w:bookmarkStart w:id="2" w:name="_Hlk118446351"/>
      <w:bookmarkStart w:id="3" w:name="_Hlk124337626"/>
      <w:r w:rsidRPr="004003D3">
        <w:rPr>
          <w:rFonts w:ascii="Times New Roman" w:hAnsi="Times New Roman" w:cs="Times New Roman"/>
          <w:b/>
          <w:bCs/>
          <w:sz w:val="28"/>
          <w:szCs w:val="28"/>
        </w:rPr>
        <w:t>Robust identification of shared key genomic biomarkers for diagnosis and therapies of pancreatic cancer with type-2 diabetes</w:t>
      </w:r>
    </w:p>
    <w:p w14:paraId="5E31CE7E" w14:textId="77777777" w:rsidR="004003D3" w:rsidRPr="00E560BD" w:rsidRDefault="004003D3" w:rsidP="004003D3">
      <w:pPr>
        <w:spacing w:line="360" w:lineRule="auto"/>
        <w:jc w:val="both"/>
        <w:rPr>
          <w:rFonts w:ascii="Times New Roman" w:hAnsi="Times New Roman" w:cs="Times New Roman"/>
          <w:b/>
          <w:bCs/>
        </w:rPr>
      </w:pPr>
    </w:p>
    <w:p w14:paraId="3F3E19E4" w14:textId="319A22E8" w:rsidR="00951113" w:rsidRDefault="00951113" w:rsidP="004003D3">
      <w:pPr>
        <w:pStyle w:val="Standard"/>
        <w:spacing w:line="360" w:lineRule="auto"/>
        <w:rPr>
          <w:rFonts w:ascii="Times New Roman" w:eastAsia="Calibri" w:hAnsi="Times New Roman"/>
          <w:sz w:val="18"/>
          <w:szCs w:val="18"/>
          <w:vertAlign w:val="superscript"/>
        </w:rPr>
      </w:pPr>
      <w:r w:rsidRPr="00AC131E">
        <w:rPr>
          <w:rFonts w:ascii="Times New Roman" w:eastAsia="Calibri" w:hAnsi="Times New Roman"/>
          <w:sz w:val="18"/>
          <w:szCs w:val="18"/>
        </w:rPr>
        <w:t>Md. Bayazid Hossen</w:t>
      </w:r>
      <w:r w:rsidRPr="00AC131E">
        <w:rPr>
          <w:rFonts w:ascii="Times New Roman" w:eastAsia="Calibri" w:hAnsi="Times New Roman"/>
          <w:sz w:val="18"/>
          <w:szCs w:val="18"/>
          <w:vertAlign w:val="superscript"/>
        </w:rPr>
        <w:t>1</w:t>
      </w:r>
      <w:r w:rsidRPr="00AC131E">
        <w:rPr>
          <w:rFonts w:ascii="Times New Roman" w:eastAsia="Calibri" w:hAnsi="Times New Roman"/>
          <w:sz w:val="18"/>
          <w:szCs w:val="18"/>
        </w:rPr>
        <w:t>,</w:t>
      </w:r>
      <w:r w:rsidRPr="00AC131E">
        <w:rPr>
          <w:rFonts w:ascii="Times New Roman" w:hAnsi="Times New Roman"/>
          <w:sz w:val="18"/>
          <w:szCs w:val="18"/>
        </w:rPr>
        <w:t xml:space="preserve"> </w:t>
      </w:r>
      <w:r w:rsidRPr="00AC131E">
        <w:rPr>
          <w:rFonts w:ascii="Times New Roman" w:eastAsia="Calibri" w:hAnsi="Times New Roman"/>
          <w:sz w:val="18"/>
          <w:szCs w:val="18"/>
        </w:rPr>
        <w:t>Md. Ariful Islam</w:t>
      </w:r>
      <w:r w:rsidRPr="00AC131E">
        <w:rPr>
          <w:rFonts w:ascii="Times New Roman" w:eastAsia="Calibri" w:hAnsi="Times New Roman"/>
          <w:sz w:val="18"/>
          <w:szCs w:val="18"/>
          <w:vertAlign w:val="superscript"/>
        </w:rPr>
        <w:t>1</w:t>
      </w:r>
      <w:r w:rsidRPr="00AC131E">
        <w:rPr>
          <w:rFonts w:ascii="Times New Roman" w:eastAsia="Calibri" w:hAnsi="Times New Roman"/>
          <w:sz w:val="18"/>
          <w:szCs w:val="18"/>
        </w:rPr>
        <w:t>, Md. Abu Horaira</w:t>
      </w:r>
      <w:r>
        <w:rPr>
          <w:rFonts w:ascii="Times New Roman" w:eastAsia="Calibri" w:hAnsi="Times New Roman"/>
          <w:sz w:val="18"/>
          <w:szCs w:val="18"/>
          <w:vertAlign w:val="superscript"/>
        </w:rPr>
        <w:t>1,2</w:t>
      </w:r>
      <w:r w:rsidRPr="00AC131E">
        <w:rPr>
          <w:rFonts w:ascii="Times New Roman" w:eastAsia="Calibri" w:hAnsi="Times New Roman"/>
          <w:sz w:val="18"/>
          <w:szCs w:val="18"/>
        </w:rPr>
        <w:t>, Md. Ahad Ali</w:t>
      </w:r>
      <w:r w:rsidRPr="00AC131E">
        <w:rPr>
          <w:rFonts w:ascii="Times New Roman" w:eastAsia="Calibri" w:hAnsi="Times New Roman"/>
          <w:sz w:val="18"/>
          <w:szCs w:val="18"/>
          <w:vertAlign w:val="superscript"/>
        </w:rPr>
        <w:t>3</w:t>
      </w:r>
      <w:r w:rsidRPr="00AC131E">
        <w:rPr>
          <w:rFonts w:ascii="Times New Roman" w:eastAsia="Calibri" w:hAnsi="Times New Roman"/>
          <w:sz w:val="18"/>
          <w:szCs w:val="18"/>
        </w:rPr>
        <w:t>, Umma Hafsah Himu</w:t>
      </w:r>
      <w:r w:rsidRPr="00AC131E">
        <w:rPr>
          <w:rFonts w:ascii="Times New Roman" w:eastAsia="Calibri" w:hAnsi="Times New Roman"/>
          <w:sz w:val="18"/>
          <w:szCs w:val="18"/>
          <w:vertAlign w:val="superscript"/>
        </w:rPr>
        <w:t>1</w:t>
      </w:r>
      <w:r w:rsidRPr="00AC131E">
        <w:rPr>
          <w:rFonts w:ascii="Times New Roman" w:eastAsia="Calibri" w:hAnsi="Times New Roman"/>
          <w:sz w:val="18"/>
          <w:szCs w:val="18"/>
        </w:rPr>
        <w:t>, Md. Kaderi Kibria</w:t>
      </w:r>
      <w:r w:rsidRPr="00AC131E">
        <w:rPr>
          <w:rFonts w:ascii="Times New Roman" w:eastAsia="Calibri" w:hAnsi="Times New Roman"/>
          <w:sz w:val="18"/>
          <w:szCs w:val="18"/>
          <w:vertAlign w:val="superscript"/>
        </w:rPr>
        <w:t>1,4</w:t>
      </w:r>
      <w:r w:rsidRPr="00AC131E">
        <w:rPr>
          <w:rFonts w:ascii="Times New Roman" w:eastAsia="Calibri" w:hAnsi="Times New Roman"/>
          <w:sz w:val="18"/>
          <w:szCs w:val="18"/>
        </w:rPr>
        <w:t>, Md. Selim Reza</w:t>
      </w:r>
      <w:r w:rsidRPr="00AC131E">
        <w:rPr>
          <w:rFonts w:ascii="Times New Roman" w:eastAsia="Calibri" w:hAnsi="Times New Roman"/>
          <w:sz w:val="18"/>
          <w:szCs w:val="18"/>
          <w:vertAlign w:val="superscript"/>
        </w:rPr>
        <w:t>1</w:t>
      </w:r>
      <w:r w:rsidR="00B554D9">
        <w:rPr>
          <w:rFonts w:ascii="Times New Roman" w:eastAsia="Calibri" w:hAnsi="Times New Roman"/>
          <w:sz w:val="18"/>
          <w:szCs w:val="18"/>
          <w:vertAlign w:val="superscript"/>
        </w:rPr>
        <w:t>,5</w:t>
      </w:r>
      <w:r w:rsidRPr="00AC131E">
        <w:rPr>
          <w:rFonts w:ascii="Times New Roman" w:eastAsia="Calibri" w:hAnsi="Times New Roman"/>
          <w:sz w:val="18"/>
          <w:szCs w:val="18"/>
        </w:rPr>
        <w:t>, Arnob Sarker</w:t>
      </w:r>
      <w:r w:rsidR="00B554D9">
        <w:rPr>
          <w:rFonts w:ascii="Times New Roman" w:eastAsia="Calibri" w:hAnsi="Times New Roman"/>
          <w:sz w:val="18"/>
          <w:szCs w:val="18"/>
          <w:vertAlign w:val="superscript"/>
        </w:rPr>
        <w:t>6</w:t>
      </w:r>
      <w:r w:rsidRPr="00AC131E">
        <w:rPr>
          <w:rFonts w:ascii="Times New Roman" w:eastAsia="Calibri" w:hAnsi="Times New Roman"/>
          <w:sz w:val="18"/>
          <w:szCs w:val="18"/>
        </w:rPr>
        <w:t>, Md. Alim Hossen</w:t>
      </w:r>
      <w:r w:rsidRPr="00AC131E">
        <w:rPr>
          <w:rFonts w:ascii="Times New Roman" w:eastAsia="Calibri" w:hAnsi="Times New Roman"/>
          <w:sz w:val="18"/>
          <w:szCs w:val="18"/>
          <w:vertAlign w:val="superscript"/>
        </w:rPr>
        <w:t>1</w:t>
      </w:r>
      <w:r w:rsidRPr="00AC131E">
        <w:rPr>
          <w:rFonts w:ascii="Times New Roman" w:eastAsia="Calibri" w:hAnsi="Times New Roman"/>
          <w:sz w:val="18"/>
          <w:szCs w:val="18"/>
        </w:rPr>
        <w:t>, Md. Hadiul Kabir</w:t>
      </w:r>
      <w:r w:rsidRPr="00AC131E">
        <w:rPr>
          <w:rFonts w:ascii="Times New Roman" w:eastAsia="Calibri" w:hAnsi="Times New Roman"/>
          <w:sz w:val="18"/>
          <w:szCs w:val="18"/>
          <w:vertAlign w:val="superscript"/>
        </w:rPr>
        <w:t>1</w:t>
      </w:r>
      <w:r w:rsidRPr="00AC131E">
        <w:rPr>
          <w:rFonts w:ascii="Times New Roman" w:eastAsia="Calibri" w:hAnsi="Times New Roman"/>
          <w:sz w:val="18"/>
          <w:szCs w:val="18"/>
        </w:rPr>
        <w:t xml:space="preserve"> and Md. Nurul Haque Mollah</w:t>
      </w:r>
      <w:r w:rsidRPr="00AC131E">
        <w:rPr>
          <w:rFonts w:ascii="Times New Roman" w:eastAsia="Calibri" w:hAnsi="Times New Roman"/>
          <w:sz w:val="18"/>
          <w:szCs w:val="18"/>
          <w:vertAlign w:val="superscript"/>
        </w:rPr>
        <w:t>1*</w:t>
      </w:r>
    </w:p>
    <w:p w14:paraId="5D104B1C" w14:textId="77777777" w:rsidR="00A91BCF" w:rsidRDefault="00A91BCF" w:rsidP="00B554D9">
      <w:pPr>
        <w:pStyle w:val="Standard"/>
        <w:spacing w:line="360" w:lineRule="auto"/>
        <w:rPr>
          <w:rFonts w:ascii="Times New Roman" w:eastAsia="Calibri" w:hAnsi="Times New Roman"/>
          <w:sz w:val="18"/>
          <w:szCs w:val="18"/>
          <w:vertAlign w:val="superscript"/>
        </w:rPr>
      </w:pPr>
    </w:p>
    <w:p w14:paraId="76D94C89" w14:textId="5E1AE78E" w:rsidR="00A91BCF" w:rsidRDefault="00A91BCF" w:rsidP="00A91BCF">
      <w:pPr>
        <w:spacing w:after="0" w:line="480" w:lineRule="auto"/>
        <w:jc w:val="center"/>
        <w:rPr>
          <w:rFonts w:ascii="Times New Roman" w:hAnsi="Times New Roman" w:cs="Times New Roman"/>
          <w:b/>
          <w:iCs/>
          <w:sz w:val="36"/>
          <w:szCs w:val="36"/>
          <w:lang w:val="en-AU"/>
        </w:rPr>
      </w:pPr>
      <w:r>
        <w:rPr>
          <w:rFonts w:ascii="Times New Roman" w:hAnsi="Times New Roman" w:cs="Times New Roman"/>
          <w:b/>
          <w:iCs/>
          <w:sz w:val="36"/>
          <w:szCs w:val="36"/>
          <w:lang w:val="en-AU"/>
        </w:rPr>
        <w:t>(</w:t>
      </w:r>
      <w:r w:rsidRPr="00D14C46">
        <w:rPr>
          <w:rFonts w:ascii="Times New Roman" w:hAnsi="Times New Roman" w:cs="Times New Roman"/>
          <w:b/>
          <w:iCs/>
          <w:sz w:val="36"/>
          <w:szCs w:val="36"/>
          <w:lang w:val="en-AU"/>
        </w:rPr>
        <w:t>Additional File</w:t>
      </w:r>
      <w:r>
        <w:rPr>
          <w:rFonts w:ascii="Times New Roman" w:hAnsi="Times New Roman" w:cs="Times New Roman"/>
          <w:b/>
          <w:iCs/>
          <w:sz w:val="36"/>
          <w:szCs w:val="36"/>
          <w:lang w:val="en-AU"/>
        </w:rPr>
        <w:t>)</w:t>
      </w:r>
    </w:p>
    <w:p w14:paraId="060D11D3" w14:textId="77777777" w:rsidR="00B554D9" w:rsidRDefault="00B554D9" w:rsidP="00B554D9">
      <w:pPr>
        <w:pStyle w:val="Standard"/>
        <w:spacing w:line="360" w:lineRule="auto"/>
        <w:rPr>
          <w:rFonts w:ascii="Times New Roman" w:eastAsia="Calibri" w:hAnsi="Times New Roman"/>
          <w:sz w:val="18"/>
          <w:szCs w:val="18"/>
          <w:vertAlign w:val="superscript"/>
        </w:rPr>
      </w:pPr>
    </w:p>
    <w:tbl>
      <w:tblPr>
        <w:tblStyle w:val="TableGrid"/>
        <w:tblW w:w="5000" w:type="pct"/>
        <w:jc w:val="center"/>
        <w:tblLook w:val="04A0" w:firstRow="1" w:lastRow="0" w:firstColumn="1" w:lastColumn="0" w:noHBand="0" w:noVBand="1"/>
      </w:tblPr>
      <w:tblGrid>
        <w:gridCol w:w="8594"/>
        <w:gridCol w:w="982"/>
      </w:tblGrid>
      <w:tr w:rsidR="00B10B47" w:rsidRPr="00420D87" w14:paraId="04AF96AF" w14:textId="77777777" w:rsidTr="009A52D4">
        <w:trPr>
          <w:trHeight w:val="185"/>
          <w:jc w:val="center"/>
        </w:trPr>
        <w:tc>
          <w:tcPr>
            <w:tcW w:w="4487" w:type="pct"/>
          </w:tcPr>
          <w:bookmarkEnd w:id="0"/>
          <w:bookmarkEnd w:id="1"/>
          <w:p w14:paraId="7ED48E79" w14:textId="77777777" w:rsidR="00B10B47" w:rsidRPr="00420D87" w:rsidRDefault="00B10B47" w:rsidP="00725907">
            <w:pPr>
              <w:jc w:val="center"/>
              <w:rPr>
                <w:rFonts w:ascii="Times New Roman" w:hAnsi="Times New Roman" w:cs="Times New Roman"/>
                <w:b/>
              </w:rPr>
            </w:pPr>
            <w:r>
              <w:rPr>
                <w:rFonts w:ascii="Times New Roman" w:hAnsi="Times New Roman" w:cs="Times New Roman"/>
                <w:b/>
              </w:rPr>
              <w:t>Supplementary Sections/Tables/Figures legends</w:t>
            </w:r>
          </w:p>
        </w:tc>
        <w:tc>
          <w:tcPr>
            <w:tcW w:w="513" w:type="pct"/>
          </w:tcPr>
          <w:p w14:paraId="3B6AA102" w14:textId="77777777" w:rsidR="00B10B47" w:rsidRPr="00420D87" w:rsidRDefault="00B10B47" w:rsidP="00725907">
            <w:pPr>
              <w:jc w:val="center"/>
              <w:rPr>
                <w:rFonts w:ascii="Times New Roman" w:hAnsi="Times New Roman" w:cs="Times New Roman"/>
                <w:b/>
              </w:rPr>
            </w:pPr>
            <w:r w:rsidRPr="00420D87">
              <w:rPr>
                <w:rFonts w:ascii="Times New Roman" w:hAnsi="Times New Roman" w:cs="Times New Roman"/>
                <w:b/>
              </w:rPr>
              <w:t>Pages</w:t>
            </w:r>
          </w:p>
        </w:tc>
      </w:tr>
      <w:tr w:rsidR="00B10B47" w:rsidRPr="00420D87" w14:paraId="0AA1D28F" w14:textId="77777777" w:rsidTr="009A52D4">
        <w:trPr>
          <w:trHeight w:val="185"/>
          <w:jc w:val="center"/>
        </w:trPr>
        <w:tc>
          <w:tcPr>
            <w:tcW w:w="4487" w:type="pct"/>
            <w:tcBorders>
              <w:bottom w:val="single" w:sz="4" w:space="0" w:color="auto"/>
            </w:tcBorders>
          </w:tcPr>
          <w:p w14:paraId="5F345997" w14:textId="5A3109B8" w:rsidR="00B10B47" w:rsidRPr="00420D87" w:rsidRDefault="00A91BCF" w:rsidP="00725907">
            <w:pPr>
              <w:rPr>
                <w:rFonts w:ascii="Times New Roman" w:hAnsi="Times New Roman" w:cs="Times New Roman"/>
                <w:b/>
              </w:rPr>
            </w:pPr>
            <w:r w:rsidRPr="00A91BCF">
              <w:rPr>
                <w:rFonts w:ascii="Times New Roman" w:hAnsi="Times New Roman" w:cs="Times New Roman"/>
                <w:b/>
              </w:rPr>
              <w:t>Supplementary Sections</w:t>
            </w:r>
            <w:r w:rsidR="009A52D4">
              <w:rPr>
                <w:rFonts w:ascii="Times New Roman" w:hAnsi="Times New Roman" w:cs="Times New Roman"/>
                <w:b/>
              </w:rPr>
              <w:t xml:space="preserve">: </w:t>
            </w:r>
            <w:r w:rsidR="009A52D4" w:rsidRPr="009A52D4">
              <w:rPr>
                <w:rFonts w:ascii="Times New Roman" w:hAnsi="Times New Roman" w:cs="Times New Roman"/>
                <w:bCs/>
              </w:rPr>
              <w:t xml:space="preserve">Details of </w:t>
            </w:r>
            <w:r w:rsidR="00B10B47" w:rsidRPr="009A52D4">
              <w:rPr>
                <w:rFonts w:ascii="Times New Roman" w:hAnsi="Times New Roman" w:cs="Times New Roman"/>
                <w:bCs/>
              </w:rPr>
              <w:t>Integrated statistics and bioinformatics approaches</w:t>
            </w:r>
          </w:p>
        </w:tc>
        <w:tc>
          <w:tcPr>
            <w:tcW w:w="513" w:type="pct"/>
            <w:tcBorders>
              <w:bottom w:val="single" w:sz="4" w:space="0" w:color="auto"/>
            </w:tcBorders>
          </w:tcPr>
          <w:p w14:paraId="765DE186" w14:textId="77777777" w:rsidR="00B10B47" w:rsidRPr="00420D87" w:rsidRDefault="00B10B47" w:rsidP="00725907">
            <w:pPr>
              <w:jc w:val="center"/>
              <w:rPr>
                <w:rFonts w:ascii="Times New Roman" w:hAnsi="Times New Roman" w:cs="Times New Roman"/>
                <w:b/>
              </w:rPr>
            </w:pPr>
            <w:r w:rsidRPr="00420D87">
              <w:rPr>
                <w:rFonts w:ascii="Times New Roman" w:hAnsi="Times New Roman" w:cs="Times New Roman"/>
                <w:b/>
              </w:rPr>
              <w:t>2-</w:t>
            </w:r>
            <w:r>
              <w:rPr>
                <w:rFonts w:ascii="Times New Roman" w:hAnsi="Times New Roman" w:cs="Times New Roman"/>
                <w:b/>
              </w:rPr>
              <w:t>7</w:t>
            </w:r>
          </w:p>
        </w:tc>
      </w:tr>
      <w:tr w:rsidR="00B10B47" w:rsidRPr="00420D87" w14:paraId="2A43B6FE" w14:textId="77777777" w:rsidTr="009A52D4">
        <w:trPr>
          <w:trHeight w:val="185"/>
          <w:jc w:val="center"/>
        </w:trPr>
        <w:tc>
          <w:tcPr>
            <w:tcW w:w="4487" w:type="pct"/>
            <w:tcBorders>
              <w:top w:val="single" w:sz="4" w:space="0" w:color="auto"/>
              <w:left w:val="single" w:sz="4" w:space="0" w:color="auto"/>
              <w:bottom w:val="single" w:sz="4" w:space="0" w:color="auto"/>
              <w:right w:val="nil"/>
            </w:tcBorders>
          </w:tcPr>
          <w:p w14:paraId="7D177B9B" w14:textId="24526BF6" w:rsidR="00B10B47" w:rsidRPr="00420D87" w:rsidRDefault="00A91BCF" w:rsidP="00725907">
            <w:pPr>
              <w:rPr>
                <w:rFonts w:ascii="Times New Roman" w:hAnsi="Times New Roman" w:cs="Times New Roman"/>
                <w:b/>
              </w:rPr>
            </w:pPr>
            <w:r w:rsidRPr="00A91BCF">
              <w:rPr>
                <w:rFonts w:ascii="Times New Roman" w:hAnsi="Times New Roman" w:cs="Times New Roman"/>
                <w:b/>
              </w:rPr>
              <w:t xml:space="preserve">Supplementary </w:t>
            </w:r>
            <w:r w:rsidR="00D14C46" w:rsidRPr="00D14C46">
              <w:rPr>
                <w:rFonts w:ascii="Times New Roman" w:hAnsi="Times New Roman" w:cs="Times New Roman"/>
                <w:b/>
              </w:rPr>
              <w:t>Figure</w:t>
            </w:r>
            <w:r w:rsidR="009A52D4">
              <w:rPr>
                <w:rFonts w:ascii="Times New Roman" w:hAnsi="Times New Roman" w:cs="Times New Roman"/>
                <w:b/>
              </w:rPr>
              <w:t>:</w:t>
            </w:r>
          </w:p>
        </w:tc>
        <w:tc>
          <w:tcPr>
            <w:tcW w:w="513" w:type="pct"/>
            <w:tcBorders>
              <w:top w:val="single" w:sz="4" w:space="0" w:color="auto"/>
              <w:left w:val="nil"/>
              <w:bottom w:val="single" w:sz="4" w:space="0" w:color="auto"/>
              <w:right w:val="single" w:sz="4" w:space="0" w:color="auto"/>
            </w:tcBorders>
          </w:tcPr>
          <w:p w14:paraId="08EDEA57" w14:textId="77777777" w:rsidR="00B10B47" w:rsidRPr="00420D87" w:rsidRDefault="00B10B47" w:rsidP="00725907">
            <w:pPr>
              <w:jc w:val="center"/>
              <w:rPr>
                <w:rFonts w:ascii="Times New Roman" w:hAnsi="Times New Roman" w:cs="Times New Roman"/>
                <w:b/>
              </w:rPr>
            </w:pPr>
          </w:p>
        </w:tc>
      </w:tr>
      <w:tr w:rsidR="00B10B47" w:rsidRPr="00420D87" w14:paraId="2CE5891E" w14:textId="77777777" w:rsidTr="009A52D4">
        <w:trPr>
          <w:trHeight w:val="359"/>
          <w:jc w:val="center"/>
        </w:trPr>
        <w:tc>
          <w:tcPr>
            <w:tcW w:w="4487" w:type="pct"/>
            <w:tcBorders>
              <w:top w:val="single" w:sz="4" w:space="0" w:color="auto"/>
              <w:left w:val="single" w:sz="4" w:space="0" w:color="auto"/>
              <w:bottom w:val="single" w:sz="4" w:space="0" w:color="auto"/>
              <w:right w:val="single" w:sz="4" w:space="0" w:color="auto"/>
            </w:tcBorders>
          </w:tcPr>
          <w:p w14:paraId="02CFE846" w14:textId="77777777" w:rsidR="00B10B47" w:rsidRPr="00420D87" w:rsidRDefault="00B10B47" w:rsidP="00725907">
            <w:pPr>
              <w:jc w:val="both"/>
              <w:rPr>
                <w:rFonts w:ascii="Times New Roman" w:hAnsi="Times New Roman" w:cs="Times New Roman"/>
              </w:rPr>
            </w:pPr>
            <w:r>
              <w:rPr>
                <w:rFonts w:ascii="Times New Roman" w:hAnsi="Times New Roman" w:cs="Times New Roman"/>
                <w:b/>
                <w:bCs/>
              </w:rPr>
              <w:t xml:space="preserve">Figure </w:t>
            </w:r>
            <w:r w:rsidRPr="00420D87">
              <w:rPr>
                <w:rFonts w:ascii="Times New Roman" w:hAnsi="Times New Roman" w:cs="Times New Roman"/>
                <w:b/>
                <w:bCs/>
              </w:rPr>
              <w:t xml:space="preserve">S1. </w:t>
            </w:r>
            <w:r w:rsidRPr="00420D87">
              <w:rPr>
                <w:rFonts w:ascii="Times New Roman" w:hAnsi="Times New Roman" w:cs="Times New Roman"/>
              </w:rPr>
              <w:t xml:space="preserve">The Venn diagrams to show common differentially expressed genes (cDEGs) of pancreatic cancer (PC) </w:t>
            </w:r>
          </w:p>
        </w:tc>
        <w:tc>
          <w:tcPr>
            <w:tcW w:w="513" w:type="pct"/>
            <w:tcBorders>
              <w:top w:val="single" w:sz="4" w:space="0" w:color="auto"/>
              <w:left w:val="single" w:sz="4" w:space="0" w:color="auto"/>
              <w:bottom w:val="single" w:sz="4" w:space="0" w:color="auto"/>
              <w:right w:val="single" w:sz="4" w:space="0" w:color="auto"/>
            </w:tcBorders>
          </w:tcPr>
          <w:p w14:paraId="7D0E692B"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8</w:t>
            </w:r>
          </w:p>
        </w:tc>
      </w:tr>
      <w:tr w:rsidR="00B10B47" w:rsidRPr="00420D87" w14:paraId="19911717" w14:textId="77777777" w:rsidTr="009A52D4">
        <w:trPr>
          <w:trHeight w:val="359"/>
          <w:jc w:val="center"/>
        </w:trPr>
        <w:tc>
          <w:tcPr>
            <w:tcW w:w="4487" w:type="pct"/>
            <w:tcBorders>
              <w:top w:val="single" w:sz="4" w:space="0" w:color="auto"/>
              <w:left w:val="single" w:sz="4" w:space="0" w:color="auto"/>
              <w:bottom w:val="single" w:sz="4" w:space="0" w:color="auto"/>
              <w:right w:val="single" w:sz="4" w:space="0" w:color="auto"/>
            </w:tcBorders>
          </w:tcPr>
          <w:p w14:paraId="7CC9FD11" w14:textId="77777777" w:rsidR="00B10B47" w:rsidRPr="00420D87" w:rsidRDefault="00B10B47" w:rsidP="00725907">
            <w:pPr>
              <w:jc w:val="both"/>
              <w:rPr>
                <w:rFonts w:ascii="Times New Roman" w:hAnsi="Times New Roman" w:cs="Times New Roman"/>
              </w:rPr>
            </w:pPr>
            <w:r>
              <w:rPr>
                <w:rFonts w:ascii="Times New Roman" w:hAnsi="Times New Roman" w:cs="Times New Roman"/>
                <w:b/>
                <w:bCs/>
              </w:rPr>
              <w:t xml:space="preserve">Figure </w:t>
            </w:r>
            <w:r w:rsidRPr="00420D87">
              <w:rPr>
                <w:rFonts w:ascii="Times New Roman" w:hAnsi="Times New Roman" w:cs="Times New Roman"/>
                <w:b/>
                <w:bCs/>
              </w:rPr>
              <w:t xml:space="preserve">S2. </w:t>
            </w:r>
            <w:r w:rsidRPr="00420D87">
              <w:rPr>
                <w:rFonts w:ascii="Times New Roman" w:hAnsi="Times New Roman" w:cs="Times New Roman"/>
              </w:rPr>
              <w:t>The Venn diagrams to show common differentially expressed genes (cDEGs) of type-2 diabetes (T2D)</w:t>
            </w:r>
          </w:p>
        </w:tc>
        <w:tc>
          <w:tcPr>
            <w:tcW w:w="513" w:type="pct"/>
            <w:tcBorders>
              <w:top w:val="single" w:sz="4" w:space="0" w:color="auto"/>
              <w:left w:val="single" w:sz="4" w:space="0" w:color="auto"/>
              <w:bottom w:val="single" w:sz="4" w:space="0" w:color="auto"/>
              <w:right w:val="single" w:sz="4" w:space="0" w:color="auto"/>
            </w:tcBorders>
          </w:tcPr>
          <w:p w14:paraId="6BFE65B7"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8</w:t>
            </w:r>
          </w:p>
        </w:tc>
      </w:tr>
      <w:tr w:rsidR="00B10B47" w:rsidRPr="00420D87" w14:paraId="2C7B6037" w14:textId="77777777" w:rsidTr="009A52D4">
        <w:trPr>
          <w:trHeight w:val="359"/>
          <w:jc w:val="center"/>
        </w:trPr>
        <w:tc>
          <w:tcPr>
            <w:tcW w:w="4487" w:type="pct"/>
            <w:tcBorders>
              <w:top w:val="single" w:sz="4" w:space="0" w:color="auto"/>
              <w:left w:val="single" w:sz="4" w:space="0" w:color="auto"/>
              <w:bottom w:val="single" w:sz="4" w:space="0" w:color="auto"/>
              <w:right w:val="single" w:sz="4" w:space="0" w:color="auto"/>
            </w:tcBorders>
          </w:tcPr>
          <w:p w14:paraId="6E2F9FB3" w14:textId="285D533E" w:rsidR="00B10B47" w:rsidRPr="00420D87" w:rsidRDefault="00B10B47" w:rsidP="00725907">
            <w:pPr>
              <w:spacing w:line="360" w:lineRule="auto"/>
              <w:jc w:val="both"/>
              <w:rPr>
                <w:rFonts w:ascii="Times New Roman" w:hAnsi="Times New Roman" w:cs="Times New Roman"/>
                <w:shd w:val="clear" w:color="auto" w:fill="FFFFFF"/>
              </w:rPr>
            </w:pPr>
            <w:r>
              <w:rPr>
                <w:rFonts w:ascii="Times New Roman" w:hAnsi="Times New Roman" w:cs="Times New Roman"/>
                <w:b/>
                <w:bCs/>
              </w:rPr>
              <w:t xml:space="preserve">Figure </w:t>
            </w:r>
            <w:r w:rsidRPr="00420D87">
              <w:rPr>
                <w:rFonts w:ascii="Times New Roman" w:hAnsi="Times New Roman" w:cs="Times New Roman"/>
                <w:b/>
                <w:bCs/>
              </w:rPr>
              <w:t>S3.</w:t>
            </w:r>
            <w:r w:rsidRPr="00420D87">
              <w:rPr>
                <w:rFonts w:ascii="Times New Roman" w:hAnsi="Times New Roman" w:cs="Times New Roman"/>
              </w:rPr>
              <w:t xml:space="preserve"> Differential expression pattern analysis of </w:t>
            </w:r>
            <w:r w:rsidR="00A91BCF">
              <w:rPr>
                <w:rFonts w:ascii="Times New Roman" w:hAnsi="Times New Roman" w:cs="Times New Roman"/>
              </w:rPr>
              <w:t>sKGBs</w:t>
            </w:r>
            <w:r w:rsidRPr="00420D87">
              <w:rPr>
                <w:rFonts w:ascii="Times New Roman" w:hAnsi="Times New Roman" w:cs="Times New Roman"/>
              </w:rPr>
              <w:t xml:space="preserve"> with </w:t>
            </w:r>
            <w:r w:rsidRPr="00420D87">
              <w:rPr>
                <w:rFonts w:ascii="Times New Roman" w:hAnsi="Times New Roman" w:cs="Times New Roman"/>
                <w:shd w:val="clear" w:color="auto" w:fill="FFFFFF"/>
              </w:rPr>
              <w:t>Boxplots</w:t>
            </w:r>
          </w:p>
        </w:tc>
        <w:tc>
          <w:tcPr>
            <w:tcW w:w="513" w:type="pct"/>
            <w:tcBorders>
              <w:top w:val="single" w:sz="4" w:space="0" w:color="auto"/>
              <w:left w:val="single" w:sz="4" w:space="0" w:color="auto"/>
              <w:bottom w:val="single" w:sz="4" w:space="0" w:color="auto"/>
              <w:right w:val="single" w:sz="4" w:space="0" w:color="auto"/>
            </w:tcBorders>
          </w:tcPr>
          <w:p w14:paraId="340E87C5"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9</w:t>
            </w:r>
          </w:p>
        </w:tc>
      </w:tr>
      <w:tr w:rsidR="00B10B47" w:rsidRPr="00420D87" w14:paraId="72E4F40D" w14:textId="77777777" w:rsidTr="009A52D4">
        <w:trPr>
          <w:trHeight w:val="243"/>
          <w:jc w:val="center"/>
        </w:trPr>
        <w:tc>
          <w:tcPr>
            <w:tcW w:w="4487" w:type="pct"/>
            <w:tcBorders>
              <w:top w:val="single" w:sz="4" w:space="0" w:color="auto"/>
              <w:left w:val="single" w:sz="4" w:space="0" w:color="auto"/>
              <w:bottom w:val="single" w:sz="4" w:space="0" w:color="auto"/>
              <w:right w:val="single" w:sz="4" w:space="0" w:color="auto"/>
            </w:tcBorders>
          </w:tcPr>
          <w:p w14:paraId="1426FB0B" w14:textId="3E647378" w:rsidR="00B10B47" w:rsidRPr="00420D87" w:rsidRDefault="00B10B47" w:rsidP="00725907">
            <w:pPr>
              <w:jc w:val="both"/>
              <w:rPr>
                <w:rFonts w:ascii="Times New Roman" w:hAnsi="Times New Roman" w:cs="Times New Roman"/>
                <w:b/>
                <w:bCs/>
              </w:rPr>
            </w:pPr>
            <w:r>
              <w:rPr>
                <w:rFonts w:ascii="Times New Roman" w:hAnsi="Times New Roman" w:cs="Times New Roman"/>
                <w:b/>
                <w:bCs/>
              </w:rPr>
              <w:t xml:space="preserve">Figure </w:t>
            </w:r>
            <w:r w:rsidRPr="00420D87">
              <w:rPr>
                <w:rFonts w:ascii="Times New Roman" w:hAnsi="Times New Roman" w:cs="Times New Roman"/>
                <w:b/>
                <w:bCs/>
              </w:rPr>
              <w:t xml:space="preserve">S4. </w:t>
            </w:r>
            <w:r w:rsidR="00A91BCF">
              <w:rPr>
                <w:rFonts w:ascii="Times New Roman" w:hAnsi="Times New Roman" w:cs="Times New Roman"/>
              </w:rPr>
              <w:t>sKGBs</w:t>
            </w:r>
            <w:r w:rsidRPr="00420D87">
              <w:rPr>
                <w:rFonts w:ascii="Times New Roman" w:hAnsi="Times New Roman" w:cs="Times New Roman"/>
              </w:rPr>
              <w:t>-TF-miRNA coregulatory networks.</w:t>
            </w:r>
          </w:p>
        </w:tc>
        <w:tc>
          <w:tcPr>
            <w:tcW w:w="513" w:type="pct"/>
            <w:tcBorders>
              <w:top w:val="single" w:sz="4" w:space="0" w:color="auto"/>
              <w:left w:val="single" w:sz="4" w:space="0" w:color="auto"/>
              <w:bottom w:val="single" w:sz="4" w:space="0" w:color="auto"/>
              <w:right w:val="single" w:sz="4" w:space="0" w:color="auto"/>
            </w:tcBorders>
          </w:tcPr>
          <w:p w14:paraId="36799F67"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10</w:t>
            </w:r>
          </w:p>
        </w:tc>
      </w:tr>
      <w:tr w:rsidR="00B10B47" w:rsidRPr="00420D87" w14:paraId="0F59B745" w14:textId="77777777" w:rsidTr="009A52D4">
        <w:trPr>
          <w:trHeight w:val="584"/>
          <w:jc w:val="center"/>
        </w:trPr>
        <w:tc>
          <w:tcPr>
            <w:tcW w:w="4487" w:type="pct"/>
            <w:tcBorders>
              <w:top w:val="single" w:sz="4" w:space="0" w:color="auto"/>
              <w:left w:val="single" w:sz="4" w:space="0" w:color="auto"/>
              <w:bottom w:val="single" w:sz="4" w:space="0" w:color="auto"/>
              <w:right w:val="single" w:sz="4" w:space="0" w:color="auto"/>
            </w:tcBorders>
          </w:tcPr>
          <w:p w14:paraId="54739B6B" w14:textId="77777777" w:rsidR="00B10B47" w:rsidRPr="00F9788C" w:rsidRDefault="00B10B47" w:rsidP="00725907">
            <w:pPr>
              <w:jc w:val="both"/>
              <w:rPr>
                <w:rFonts w:ascii="Times New Roman" w:hAnsi="Times New Roman" w:cs="Times New Roman"/>
              </w:rPr>
            </w:pPr>
            <w:r>
              <w:rPr>
                <w:rFonts w:ascii="Times New Roman" w:hAnsi="Times New Roman" w:cs="Times New Roman"/>
                <w:b/>
                <w:bCs/>
              </w:rPr>
              <w:t>Figure S5</w:t>
            </w:r>
            <w:r w:rsidRPr="00AC131E">
              <w:rPr>
                <w:rFonts w:ascii="Times New Roman" w:hAnsi="Times New Roman" w:cs="Times New Roman"/>
                <w:b/>
                <w:bCs/>
              </w:rPr>
              <w:t>.</w:t>
            </w:r>
            <w:r w:rsidRPr="00AC131E">
              <w:rPr>
                <w:rFonts w:ascii="Times New Roman" w:hAnsi="Times New Roman" w:cs="Times New Roman"/>
              </w:rPr>
              <w:t xml:space="preserve"> The pattern of HOMO and LUMO frontier molecular orbital surfaces of (A) NVP.BHG712, (B) Irinotecan, (C) Olaparib, (D) Gliquidone, (E) Herbacetin, (F) Linsitinib</w:t>
            </w:r>
          </w:p>
        </w:tc>
        <w:tc>
          <w:tcPr>
            <w:tcW w:w="513" w:type="pct"/>
            <w:tcBorders>
              <w:top w:val="single" w:sz="4" w:space="0" w:color="auto"/>
              <w:left w:val="single" w:sz="4" w:space="0" w:color="auto"/>
              <w:bottom w:val="single" w:sz="4" w:space="0" w:color="auto"/>
              <w:right w:val="single" w:sz="4" w:space="0" w:color="auto"/>
            </w:tcBorders>
          </w:tcPr>
          <w:p w14:paraId="721E4C15"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11</w:t>
            </w:r>
          </w:p>
        </w:tc>
      </w:tr>
      <w:tr w:rsidR="00B10B47" w:rsidRPr="00420D87" w14:paraId="0C70141B" w14:textId="77777777" w:rsidTr="009A52D4">
        <w:trPr>
          <w:trHeight w:val="243"/>
          <w:jc w:val="center"/>
        </w:trPr>
        <w:tc>
          <w:tcPr>
            <w:tcW w:w="4487" w:type="pct"/>
            <w:tcBorders>
              <w:top w:val="single" w:sz="4" w:space="0" w:color="auto"/>
              <w:left w:val="single" w:sz="4" w:space="0" w:color="auto"/>
              <w:bottom w:val="single" w:sz="4" w:space="0" w:color="auto"/>
              <w:right w:val="nil"/>
            </w:tcBorders>
          </w:tcPr>
          <w:p w14:paraId="7FD88C6F" w14:textId="0F5F684D" w:rsidR="00B10B47" w:rsidRPr="00420D87" w:rsidRDefault="00A91BCF" w:rsidP="00725907">
            <w:pPr>
              <w:jc w:val="both"/>
              <w:rPr>
                <w:rFonts w:ascii="Times New Roman" w:hAnsi="Times New Roman" w:cs="Times New Roman"/>
                <w:b/>
                <w:bCs/>
              </w:rPr>
            </w:pPr>
            <w:r w:rsidRPr="00A91BCF">
              <w:rPr>
                <w:rFonts w:ascii="Times New Roman" w:hAnsi="Times New Roman" w:cs="Times New Roman"/>
                <w:b/>
              </w:rPr>
              <w:t xml:space="preserve">Supplementary </w:t>
            </w:r>
            <w:r w:rsidR="00D14C46" w:rsidRPr="00D14C46">
              <w:rPr>
                <w:rFonts w:ascii="Times New Roman" w:hAnsi="Times New Roman" w:cs="Times New Roman"/>
                <w:b/>
              </w:rPr>
              <w:t>Table</w:t>
            </w:r>
            <w:r w:rsidR="00E65CAE">
              <w:rPr>
                <w:rFonts w:ascii="Times New Roman" w:hAnsi="Times New Roman" w:cs="Times New Roman"/>
                <w:b/>
              </w:rPr>
              <w:t>:</w:t>
            </w:r>
          </w:p>
        </w:tc>
        <w:tc>
          <w:tcPr>
            <w:tcW w:w="513" w:type="pct"/>
            <w:tcBorders>
              <w:top w:val="single" w:sz="4" w:space="0" w:color="auto"/>
              <w:left w:val="nil"/>
              <w:bottom w:val="single" w:sz="4" w:space="0" w:color="auto"/>
              <w:right w:val="single" w:sz="4" w:space="0" w:color="auto"/>
            </w:tcBorders>
          </w:tcPr>
          <w:p w14:paraId="31906B45" w14:textId="77777777" w:rsidR="00B10B47" w:rsidRPr="00420D87" w:rsidRDefault="00B10B47" w:rsidP="00725907">
            <w:pPr>
              <w:jc w:val="center"/>
              <w:rPr>
                <w:rFonts w:ascii="Times New Roman" w:hAnsi="Times New Roman" w:cs="Times New Roman"/>
                <w:b/>
              </w:rPr>
            </w:pPr>
          </w:p>
        </w:tc>
      </w:tr>
      <w:tr w:rsidR="00B10B47" w:rsidRPr="00420D87" w14:paraId="55B4567C" w14:textId="77777777" w:rsidTr="009A52D4">
        <w:trPr>
          <w:trHeight w:val="206"/>
          <w:jc w:val="center"/>
        </w:trPr>
        <w:tc>
          <w:tcPr>
            <w:tcW w:w="4487" w:type="pct"/>
            <w:tcBorders>
              <w:top w:val="single" w:sz="4" w:space="0" w:color="auto"/>
            </w:tcBorders>
          </w:tcPr>
          <w:p w14:paraId="42C001B6" w14:textId="7A6F4E9B"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S1.</w:t>
            </w:r>
            <w:r w:rsidRPr="00420D87">
              <w:rPr>
                <w:rFonts w:ascii="Times New Roman" w:hAnsi="Times New Roman" w:cs="Times New Roman"/>
              </w:rPr>
              <w:t xml:space="preserve"> Two-way contingency table for </w:t>
            </w:r>
            <w:r w:rsidR="00A91BCF">
              <w:rPr>
                <w:rFonts w:ascii="Times New Roman" w:hAnsi="Times New Roman" w:cs="Times New Roman"/>
              </w:rPr>
              <w:t>sKGBs</w:t>
            </w:r>
            <w:r w:rsidRPr="00420D87">
              <w:rPr>
                <w:rFonts w:ascii="Times New Roman" w:hAnsi="Times New Roman" w:cs="Times New Roman"/>
              </w:rPr>
              <w:t>-set enrichment analysis</w:t>
            </w:r>
          </w:p>
        </w:tc>
        <w:tc>
          <w:tcPr>
            <w:tcW w:w="513" w:type="pct"/>
            <w:tcBorders>
              <w:top w:val="single" w:sz="4" w:space="0" w:color="auto"/>
            </w:tcBorders>
          </w:tcPr>
          <w:p w14:paraId="5B0E7BE8"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12</w:t>
            </w:r>
          </w:p>
        </w:tc>
      </w:tr>
      <w:tr w:rsidR="00B10B47" w:rsidRPr="00420D87" w14:paraId="7FC31E8D" w14:textId="77777777" w:rsidTr="009A52D4">
        <w:trPr>
          <w:trHeight w:val="206"/>
          <w:jc w:val="center"/>
        </w:trPr>
        <w:tc>
          <w:tcPr>
            <w:tcW w:w="4487" w:type="pct"/>
          </w:tcPr>
          <w:p w14:paraId="0266BFC6" w14:textId="77777777"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S2.</w:t>
            </w:r>
            <w:r w:rsidRPr="00420D87">
              <w:rPr>
                <w:rFonts w:ascii="Times New Roman" w:hAnsi="Times New Roman" w:cs="Times New Roman"/>
              </w:rPr>
              <w:t xml:space="preserve"> Collection of pancreatic cancer (PC) related candidate drug agents from published articles</w:t>
            </w:r>
          </w:p>
        </w:tc>
        <w:tc>
          <w:tcPr>
            <w:tcW w:w="513" w:type="pct"/>
          </w:tcPr>
          <w:p w14:paraId="3AD7B18C"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12-13</w:t>
            </w:r>
          </w:p>
        </w:tc>
      </w:tr>
      <w:tr w:rsidR="00B10B47" w:rsidRPr="00420D87" w14:paraId="25C86FF6" w14:textId="77777777" w:rsidTr="009A52D4">
        <w:trPr>
          <w:trHeight w:val="206"/>
          <w:jc w:val="center"/>
        </w:trPr>
        <w:tc>
          <w:tcPr>
            <w:tcW w:w="4487" w:type="pct"/>
          </w:tcPr>
          <w:p w14:paraId="7B77FE21" w14:textId="77777777"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S3.</w:t>
            </w:r>
            <w:r w:rsidRPr="00420D87">
              <w:rPr>
                <w:rFonts w:ascii="Times New Roman" w:hAnsi="Times New Roman" w:cs="Times New Roman"/>
              </w:rPr>
              <w:t xml:space="preserve"> Collection of type-2 diabetes (T2D) related candidate drug agents from published articles</w:t>
            </w:r>
          </w:p>
        </w:tc>
        <w:tc>
          <w:tcPr>
            <w:tcW w:w="513" w:type="pct"/>
          </w:tcPr>
          <w:p w14:paraId="455D4261"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13-15</w:t>
            </w:r>
          </w:p>
        </w:tc>
      </w:tr>
      <w:tr w:rsidR="00B10B47" w:rsidRPr="00420D87" w14:paraId="0269A018" w14:textId="77777777" w:rsidTr="009A52D4">
        <w:trPr>
          <w:trHeight w:val="206"/>
          <w:jc w:val="center"/>
        </w:trPr>
        <w:tc>
          <w:tcPr>
            <w:tcW w:w="4487" w:type="pct"/>
          </w:tcPr>
          <w:p w14:paraId="157BF95A" w14:textId="77777777"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w:t>
            </w:r>
            <w:r>
              <w:rPr>
                <w:rFonts w:ascii="Times New Roman" w:hAnsi="Times New Roman" w:cs="Times New Roman"/>
                <w:b/>
              </w:rPr>
              <w:t>4</w:t>
            </w:r>
            <w:r w:rsidRPr="00420D87">
              <w:rPr>
                <w:rFonts w:ascii="Times New Roman" w:hAnsi="Times New Roman" w:cs="Times New Roman"/>
                <w:b/>
              </w:rPr>
              <w:t>.</w:t>
            </w:r>
            <w:r w:rsidRPr="00420D87">
              <w:rPr>
                <w:rFonts w:ascii="Times New Roman" w:hAnsi="Times New Roman" w:cs="Times New Roman"/>
              </w:rPr>
              <w:t xml:space="preserve"> List of upregulated and downregulated cDEGs of PC in 3 datasets (GSE16515, GSE15471, GSE71989)</w:t>
            </w:r>
          </w:p>
        </w:tc>
        <w:tc>
          <w:tcPr>
            <w:tcW w:w="513" w:type="pct"/>
          </w:tcPr>
          <w:p w14:paraId="5019A206"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15-16</w:t>
            </w:r>
          </w:p>
        </w:tc>
      </w:tr>
      <w:tr w:rsidR="00B10B47" w:rsidRPr="00420D87" w14:paraId="1BD59D21" w14:textId="77777777" w:rsidTr="009A52D4">
        <w:trPr>
          <w:trHeight w:val="206"/>
          <w:jc w:val="center"/>
        </w:trPr>
        <w:tc>
          <w:tcPr>
            <w:tcW w:w="4487" w:type="pct"/>
          </w:tcPr>
          <w:p w14:paraId="292F5904" w14:textId="77777777"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w:t>
            </w:r>
            <w:r>
              <w:rPr>
                <w:rFonts w:ascii="Times New Roman" w:hAnsi="Times New Roman" w:cs="Times New Roman"/>
                <w:b/>
              </w:rPr>
              <w:t>5</w:t>
            </w:r>
            <w:r w:rsidRPr="00420D87">
              <w:rPr>
                <w:rFonts w:ascii="Times New Roman" w:hAnsi="Times New Roman" w:cs="Times New Roman"/>
                <w:b/>
              </w:rPr>
              <w:t>.</w:t>
            </w:r>
            <w:r w:rsidRPr="00420D87">
              <w:rPr>
                <w:rFonts w:ascii="Times New Roman" w:hAnsi="Times New Roman" w:cs="Times New Roman"/>
              </w:rPr>
              <w:t xml:space="preserve"> List of upregulated and downregulated cDEGs of T2D in 2 datasets (GSE13015 and GSE21321)</w:t>
            </w:r>
          </w:p>
        </w:tc>
        <w:tc>
          <w:tcPr>
            <w:tcW w:w="513" w:type="pct"/>
          </w:tcPr>
          <w:p w14:paraId="1876ACF3"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16-18</w:t>
            </w:r>
          </w:p>
        </w:tc>
      </w:tr>
      <w:tr w:rsidR="00B10B47" w:rsidRPr="00420D87" w14:paraId="1BF51DA6" w14:textId="77777777" w:rsidTr="009A52D4">
        <w:trPr>
          <w:trHeight w:val="206"/>
          <w:jc w:val="center"/>
        </w:trPr>
        <w:tc>
          <w:tcPr>
            <w:tcW w:w="4487" w:type="pct"/>
          </w:tcPr>
          <w:p w14:paraId="6CF9ACF7" w14:textId="77777777"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w:t>
            </w:r>
            <w:r>
              <w:rPr>
                <w:rFonts w:ascii="Times New Roman" w:hAnsi="Times New Roman" w:cs="Times New Roman"/>
                <w:b/>
              </w:rPr>
              <w:t>6</w:t>
            </w:r>
            <w:r w:rsidRPr="00420D87">
              <w:rPr>
                <w:rFonts w:ascii="Times New Roman" w:hAnsi="Times New Roman" w:cs="Times New Roman"/>
                <w:b/>
              </w:rPr>
              <w:t>.</w:t>
            </w:r>
            <w:r w:rsidRPr="00420D87">
              <w:rPr>
                <w:rFonts w:ascii="Times New Roman" w:hAnsi="Times New Roman" w:cs="Times New Roman"/>
              </w:rPr>
              <w:t xml:space="preserve"> List of upregulated and downregulated shared DEGs (sDEGs) between PC and T2D</w:t>
            </w:r>
          </w:p>
        </w:tc>
        <w:tc>
          <w:tcPr>
            <w:tcW w:w="513" w:type="pct"/>
          </w:tcPr>
          <w:p w14:paraId="416D5F7D"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18</w:t>
            </w:r>
          </w:p>
        </w:tc>
      </w:tr>
      <w:tr w:rsidR="00B10B47" w:rsidRPr="00420D87" w14:paraId="471F4373" w14:textId="77777777" w:rsidTr="009A52D4">
        <w:trPr>
          <w:trHeight w:val="206"/>
          <w:jc w:val="center"/>
        </w:trPr>
        <w:tc>
          <w:tcPr>
            <w:tcW w:w="4487" w:type="pct"/>
          </w:tcPr>
          <w:p w14:paraId="257F179D" w14:textId="253AFA9F"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w:t>
            </w:r>
            <w:r>
              <w:rPr>
                <w:rFonts w:ascii="Times New Roman" w:hAnsi="Times New Roman" w:cs="Times New Roman"/>
                <w:b/>
              </w:rPr>
              <w:t>7</w:t>
            </w:r>
            <w:r w:rsidRPr="00420D87">
              <w:rPr>
                <w:rFonts w:ascii="Times New Roman" w:hAnsi="Times New Roman" w:cs="Times New Roman"/>
                <w:b/>
              </w:rPr>
              <w:t>.</w:t>
            </w:r>
            <w:r w:rsidRPr="00420D87">
              <w:rPr>
                <w:rFonts w:ascii="Times New Roman" w:hAnsi="Times New Roman" w:cs="Times New Roman"/>
              </w:rPr>
              <w:t xml:space="preserve"> List of </w:t>
            </w:r>
            <w:r w:rsidR="00A91BCF" w:rsidRPr="00A91BCF">
              <w:rPr>
                <w:rFonts w:ascii="Times New Roman" w:hAnsi="Times New Roman" w:cs="Times New Roman"/>
              </w:rPr>
              <w:t xml:space="preserve">shared key genomic biomarkers (sKGBs) </w:t>
            </w:r>
            <w:r w:rsidRPr="00420D87">
              <w:rPr>
                <w:rFonts w:ascii="Times New Roman" w:hAnsi="Times New Roman" w:cs="Times New Roman"/>
              </w:rPr>
              <w:t xml:space="preserve">from </w:t>
            </w:r>
            <w:r>
              <w:rPr>
                <w:rFonts w:ascii="Times New Roman" w:hAnsi="Times New Roman" w:cs="Times New Roman"/>
              </w:rPr>
              <w:t xml:space="preserve">the </w:t>
            </w:r>
            <w:r w:rsidRPr="00420D87">
              <w:rPr>
                <w:rFonts w:ascii="Times New Roman" w:hAnsi="Times New Roman" w:cs="Times New Roman"/>
              </w:rPr>
              <w:t>PPI network based on different topological measures</w:t>
            </w:r>
          </w:p>
        </w:tc>
        <w:tc>
          <w:tcPr>
            <w:tcW w:w="513" w:type="pct"/>
          </w:tcPr>
          <w:p w14:paraId="17B99F41"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18</w:t>
            </w:r>
          </w:p>
        </w:tc>
      </w:tr>
      <w:tr w:rsidR="00B10B47" w:rsidRPr="00420D87" w14:paraId="418C719E" w14:textId="77777777" w:rsidTr="009A52D4">
        <w:trPr>
          <w:trHeight w:val="425"/>
          <w:jc w:val="center"/>
        </w:trPr>
        <w:tc>
          <w:tcPr>
            <w:tcW w:w="4487" w:type="pct"/>
          </w:tcPr>
          <w:p w14:paraId="156B6D85" w14:textId="589A9ADB" w:rsidR="00B10B47" w:rsidRPr="00420D87" w:rsidRDefault="00B10B47" w:rsidP="00725907">
            <w:pPr>
              <w:spacing w:line="276" w:lineRule="auto"/>
              <w:jc w:val="both"/>
              <w:rPr>
                <w:rFonts w:ascii="Times New Roman" w:hAnsi="Times New Roman" w:cs="Times New Roman"/>
                <w:b/>
                <w:bCs/>
              </w:rPr>
            </w:pPr>
            <w:r w:rsidRPr="00420D87">
              <w:rPr>
                <w:rFonts w:ascii="Times New Roman" w:hAnsi="Times New Roman" w:cs="Times New Roman"/>
                <w:b/>
              </w:rPr>
              <w:t>Table S</w:t>
            </w:r>
            <w:r>
              <w:rPr>
                <w:rFonts w:ascii="Times New Roman" w:hAnsi="Times New Roman" w:cs="Times New Roman"/>
                <w:b/>
              </w:rPr>
              <w:t>8</w:t>
            </w:r>
            <w:r w:rsidRPr="00420D87">
              <w:rPr>
                <w:rFonts w:ascii="Times New Roman" w:hAnsi="Times New Roman" w:cs="Times New Roman"/>
                <w:b/>
              </w:rPr>
              <w:t>.</w:t>
            </w:r>
            <w:r w:rsidRPr="00420D87">
              <w:rPr>
                <w:rFonts w:ascii="Times New Roman" w:hAnsi="Times New Roman" w:cs="Times New Roman"/>
              </w:rPr>
              <w:t xml:space="preserve"> Association of </w:t>
            </w:r>
            <w:r w:rsidR="00A91BCF">
              <w:rPr>
                <w:rFonts w:ascii="Times New Roman" w:hAnsi="Times New Roman" w:cs="Times New Roman"/>
              </w:rPr>
              <w:t>sKGBs</w:t>
            </w:r>
            <w:r w:rsidRPr="00420D87">
              <w:rPr>
                <w:rFonts w:ascii="Times New Roman" w:hAnsi="Times New Roman" w:cs="Times New Roman"/>
              </w:rPr>
              <w:t xml:space="preserve"> with different diseases</w:t>
            </w:r>
          </w:p>
        </w:tc>
        <w:tc>
          <w:tcPr>
            <w:tcW w:w="513" w:type="pct"/>
          </w:tcPr>
          <w:p w14:paraId="55553984"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19</w:t>
            </w:r>
          </w:p>
        </w:tc>
      </w:tr>
      <w:tr w:rsidR="00B10B47" w:rsidRPr="00420D87" w14:paraId="6BC2AE27" w14:textId="77777777" w:rsidTr="009A52D4">
        <w:trPr>
          <w:trHeight w:val="359"/>
          <w:jc w:val="center"/>
        </w:trPr>
        <w:tc>
          <w:tcPr>
            <w:tcW w:w="4487" w:type="pct"/>
          </w:tcPr>
          <w:p w14:paraId="43EF8D1F" w14:textId="77777777" w:rsidR="00B10B47" w:rsidRPr="00420D87" w:rsidRDefault="00B10B47" w:rsidP="00725907">
            <w:pPr>
              <w:jc w:val="both"/>
              <w:rPr>
                <w:rFonts w:ascii="Times New Roman" w:hAnsi="Times New Roman" w:cs="Times New Roman"/>
                <w:b/>
                <w:bCs/>
              </w:rPr>
            </w:pPr>
            <w:r w:rsidRPr="00420D87">
              <w:rPr>
                <w:rFonts w:ascii="Times New Roman" w:hAnsi="Times New Roman" w:cs="Times New Roman"/>
                <w:b/>
              </w:rPr>
              <w:t>Table S</w:t>
            </w:r>
            <w:r>
              <w:rPr>
                <w:rFonts w:ascii="Times New Roman" w:hAnsi="Times New Roman" w:cs="Times New Roman"/>
                <w:b/>
              </w:rPr>
              <w:t>9</w:t>
            </w:r>
            <w:r w:rsidRPr="00420D87">
              <w:rPr>
                <w:rFonts w:ascii="Times New Roman" w:hAnsi="Times New Roman" w:cs="Times New Roman"/>
                <w:b/>
              </w:rPr>
              <w:t>.</w:t>
            </w:r>
            <w:r w:rsidRPr="00420D87">
              <w:rPr>
                <w:rFonts w:ascii="Times New Roman" w:hAnsi="Times New Roman" w:cs="Times New Roman"/>
              </w:rPr>
              <w:t xml:space="preserve"> Test performance scores of the Random Forest based prediction model with the cutoff at FPR = 20%</w:t>
            </w:r>
          </w:p>
        </w:tc>
        <w:tc>
          <w:tcPr>
            <w:tcW w:w="513" w:type="pct"/>
          </w:tcPr>
          <w:p w14:paraId="5805A61E"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20</w:t>
            </w:r>
          </w:p>
        </w:tc>
      </w:tr>
      <w:tr w:rsidR="00B10B47" w:rsidRPr="00420D87" w14:paraId="138B093D" w14:textId="77777777" w:rsidTr="009A52D4">
        <w:trPr>
          <w:trHeight w:val="370"/>
          <w:jc w:val="center"/>
        </w:trPr>
        <w:tc>
          <w:tcPr>
            <w:tcW w:w="4487" w:type="pct"/>
          </w:tcPr>
          <w:p w14:paraId="26A00588" w14:textId="0183C7A4" w:rsidR="00B10B47" w:rsidRPr="00420D87" w:rsidRDefault="00B10B47" w:rsidP="00725907">
            <w:pPr>
              <w:jc w:val="both"/>
              <w:rPr>
                <w:rFonts w:ascii="Times New Roman" w:hAnsi="Times New Roman" w:cs="Times New Roman"/>
                <w:b/>
                <w:bCs/>
              </w:rPr>
            </w:pPr>
            <w:r w:rsidRPr="00420D87">
              <w:rPr>
                <w:rFonts w:ascii="Times New Roman" w:hAnsi="Times New Roman" w:cs="Times New Roman"/>
                <w:b/>
              </w:rPr>
              <w:t>Table S1</w:t>
            </w:r>
            <w:r>
              <w:rPr>
                <w:rFonts w:ascii="Times New Roman" w:hAnsi="Times New Roman" w:cs="Times New Roman"/>
                <w:b/>
              </w:rPr>
              <w:t>0</w:t>
            </w:r>
            <w:r w:rsidRPr="00420D87">
              <w:rPr>
                <w:rFonts w:ascii="Times New Roman" w:hAnsi="Times New Roman" w:cs="Times New Roman"/>
                <w:b/>
              </w:rPr>
              <w:t>.</w:t>
            </w:r>
            <w:r w:rsidRPr="00420D87">
              <w:rPr>
                <w:rFonts w:ascii="Times New Roman" w:hAnsi="Times New Roman" w:cs="Times New Roman"/>
              </w:rPr>
              <w:t xml:space="preserve"> Correlation between immune infiltration levels and the expressions of </w:t>
            </w:r>
            <w:r w:rsidR="00A91BCF">
              <w:rPr>
                <w:rFonts w:ascii="Times New Roman" w:hAnsi="Times New Roman" w:cs="Times New Roman"/>
              </w:rPr>
              <w:t>sKGBs</w:t>
            </w:r>
            <w:r w:rsidRPr="00420D87">
              <w:rPr>
                <w:rFonts w:ascii="Times New Roman" w:hAnsi="Times New Roman" w:cs="Times New Roman"/>
              </w:rPr>
              <w:t xml:space="preserve"> in PC</w:t>
            </w:r>
          </w:p>
        </w:tc>
        <w:tc>
          <w:tcPr>
            <w:tcW w:w="513" w:type="pct"/>
          </w:tcPr>
          <w:p w14:paraId="6400F384"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20</w:t>
            </w:r>
          </w:p>
        </w:tc>
      </w:tr>
      <w:tr w:rsidR="00B10B47" w:rsidRPr="00420D87" w14:paraId="3527075D" w14:textId="77777777" w:rsidTr="009A52D4">
        <w:trPr>
          <w:trHeight w:val="370"/>
          <w:jc w:val="center"/>
        </w:trPr>
        <w:tc>
          <w:tcPr>
            <w:tcW w:w="4487" w:type="pct"/>
          </w:tcPr>
          <w:p w14:paraId="57EE2D6B" w14:textId="77777777" w:rsidR="00B10B47" w:rsidRPr="00420D87" w:rsidRDefault="00B10B47" w:rsidP="00725907">
            <w:pPr>
              <w:jc w:val="both"/>
              <w:rPr>
                <w:rFonts w:ascii="Times New Roman" w:hAnsi="Times New Roman" w:cs="Times New Roman"/>
                <w:b/>
              </w:rPr>
            </w:pPr>
            <w:r w:rsidRPr="00420D87">
              <w:rPr>
                <w:rFonts w:ascii="Times New Roman" w:hAnsi="Times New Roman" w:cs="Times New Roman"/>
                <w:b/>
              </w:rPr>
              <w:lastRenderedPageBreak/>
              <w:t>Table S1</w:t>
            </w:r>
            <w:r>
              <w:rPr>
                <w:rFonts w:ascii="Times New Roman" w:hAnsi="Times New Roman" w:cs="Times New Roman"/>
                <w:b/>
              </w:rPr>
              <w:t>1</w:t>
            </w:r>
            <w:r w:rsidRPr="00420D87">
              <w:rPr>
                <w:rFonts w:ascii="Times New Roman" w:hAnsi="Times New Roman" w:cs="Times New Roman"/>
                <w:b/>
              </w:rPr>
              <w:t xml:space="preserve">. </w:t>
            </w:r>
            <w:r w:rsidRPr="00420D87">
              <w:rPr>
                <w:rFonts w:ascii="Times New Roman" w:hAnsi="Times New Roman" w:cs="Times New Roman"/>
              </w:rPr>
              <w:t>Docking/(binding affinity) scores (kcal/mol) between the proposed target genes/proteins (receptors) and top ordered 50 candidate drugs Out of 327).</w:t>
            </w:r>
          </w:p>
        </w:tc>
        <w:tc>
          <w:tcPr>
            <w:tcW w:w="513" w:type="pct"/>
          </w:tcPr>
          <w:p w14:paraId="67514DEA"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21-22</w:t>
            </w:r>
          </w:p>
        </w:tc>
      </w:tr>
      <w:tr w:rsidR="00B10B47" w:rsidRPr="00420D87" w14:paraId="5518B6F3" w14:textId="77777777" w:rsidTr="009A52D4">
        <w:trPr>
          <w:trHeight w:val="278"/>
          <w:jc w:val="center"/>
        </w:trPr>
        <w:tc>
          <w:tcPr>
            <w:tcW w:w="4487" w:type="pct"/>
          </w:tcPr>
          <w:p w14:paraId="35525034" w14:textId="77777777" w:rsidR="00B10B47" w:rsidRPr="00420D87" w:rsidRDefault="00B10B47" w:rsidP="00725907">
            <w:pPr>
              <w:jc w:val="both"/>
              <w:rPr>
                <w:rFonts w:ascii="Times New Roman" w:eastAsia="Times New Roman" w:hAnsi="Times New Roman" w:cs="Times New Roman"/>
                <w:b/>
                <w:bCs/>
              </w:rPr>
            </w:pPr>
            <w:r w:rsidRPr="00420D87">
              <w:rPr>
                <w:rFonts w:ascii="Times New Roman" w:hAnsi="Times New Roman" w:cs="Times New Roman"/>
                <w:b/>
              </w:rPr>
              <w:t>Table S1</w:t>
            </w:r>
            <w:r>
              <w:rPr>
                <w:rFonts w:ascii="Times New Roman" w:hAnsi="Times New Roman" w:cs="Times New Roman"/>
                <w:b/>
              </w:rPr>
              <w:t>2</w:t>
            </w:r>
            <w:r w:rsidRPr="00420D87">
              <w:rPr>
                <w:rFonts w:ascii="Times New Roman" w:hAnsi="Times New Roman" w:cs="Times New Roman"/>
                <w:b/>
              </w:rPr>
              <w:t>.</w:t>
            </w:r>
            <w:r w:rsidRPr="00420D87">
              <w:rPr>
                <w:rFonts w:ascii="Times New Roman" w:hAnsi="Times New Roman" w:cs="Times New Roman"/>
              </w:rPr>
              <w:t xml:space="preserve"> Drug-likeness profile of top-ranked eight drugs</w:t>
            </w:r>
          </w:p>
        </w:tc>
        <w:tc>
          <w:tcPr>
            <w:tcW w:w="513" w:type="pct"/>
          </w:tcPr>
          <w:p w14:paraId="31DBB76E"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23</w:t>
            </w:r>
          </w:p>
        </w:tc>
      </w:tr>
      <w:tr w:rsidR="00B10B47" w:rsidRPr="00420D87" w14:paraId="25E861A7" w14:textId="77777777" w:rsidTr="009A52D4">
        <w:trPr>
          <w:trHeight w:val="359"/>
          <w:jc w:val="center"/>
        </w:trPr>
        <w:tc>
          <w:tcPr>
            <w:tcW w:w="4487" w:type="pct"/>
          </w:tcPr>
          <w:p w14:paraId="302F66C3" w14:textId="77777777" w:rsidR="00B10B47" w:rsidRPr="00420D87" w:rsidRDefault="00B10B47" w:rsidP="00725907">
            <w:pPr>
              <w:jc w:val="both"/>
              <w:rPr>
                <w:rFonts w:ascii="Times New Roman" w:hAnsi="Times New Roman" w:cs="Times New Roman"/>
                <w:b/>
                <w:bCs/>
              </w:rPr>
            </w:pPr>
            <w:r w:rsidRPr="00420D87">
              <w:rPr>
                <w:rFonts w:ascii="Times New Roman" w:hAnsi="Times New Roman" w:cs="Times New Roman"/>
                <w:b/>
              </w:rPr>
              <w:t>Table S1</w:t>
            </w:r>
            <w:r>
              <w:rPr>
                <w:rFonts w:ascii="Times New Roman" w:hAnsi="Times New Roman" w:cs="Times New Roman"/>
                <w:b/>
              </w:rPr>
              <w:t>3</w:t>
            </w:r>
            <w:r w:rsidRPr="00420D87">
              <w:rPr>
                <w:rFonts w:ascii="Times New Roman" w:hAnsi="Times New Roman" w:cs="Times New Roman"/>
                <w:b/>
              </w:rPr>
              <w:t>.</w:t>
            </w:r>
            <w:r w:rsidRPr="00420D87">
              <w:rPr>
                <w:rFonts w:ascii="Times New Roman" w:hAnsi="Times New Roman" w:cs="Times New Roman"/>
              </w:rPr>
              <w:t xml:space="preserve"> ADME/T profile of top-ranked eight drugs</w:t>
            </w:r>
          </w:p>
        </w:tc>
        <w:tc>
          <w:tcPr>
            <w:tcW w:w="513" w:type="pct"/>
          </w:tcPr>
          <w:p w14:paraId="2586228E"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24</w:t>
            </w:r>
          </w:p>
        </w:tc>
      </w:tr>
      <w:tr w:rsidR="00B10B47" w:rsidRPr="00420D87" w14:paraId="1C7006FB" w14:textId="77777777" w:rsidTr="009A52D4">
        <w:trPr>
          <w:trHeight w:val="359"/>
          <w:jc w:val="center"/>
        </w:trPr>
        <w:tc>
          <w:tcPr>
            <w:tcW w:w="4487" w:type="pct"/>
          </w:tcPr>
          <w:p w14:paraId="5EF702C2" w14:textId="77777777" w:rsidR="00B10B47" w:rsidRPr="00420D87" w:rsidRDefault="00B10B47" w:rsidP="00725907">
            <w:pPr>
              <w:jc w:val="both"/>
              <w:rPr>
                <w:rFonts w:ascii="Times New Roman" w:hAnsi="Times New Roman" w:cs="Times New Roman"/>
                <w:b/>
                <w:bCs/>
              </w:rPr>
            </w:pPr>
            <w:r w:rsidRPr="00420D87">
              <w:rPr>
                <w:rFonts w:ascii="Times New Roman" w:hAnsi="Times New Roman" w:cs="Times New Roman"/>
                <w:b/>
              </w:rPr>
              <w:t>Table S1</w:t>
            </w:r>
            <w:r>
              <w:rPr>
                <w:rFonts w:ascii="Times New Roman" w:hAnsi="Times New Roman" w:cs="Times New Roman"/>
                <w:b/>
              </w:rPr>
              <w:t>4</w:t>
            </w:r>
            <w:r w:rsidRPr="00420D87">
              <w:rPr>
                <w:rFonts w:ascii="Times New Roman" w:hAnsi="Times New Roman" w:cs="Times New Roman"/>
                <w:b/>
              </w:rPr>
              <w:t>.</w:t>
            </w:r>
            <w:r w:rsidRPr="00420D87">
              <w:rPr>
                <w:rFonts w:ascii="Times New Roman" w:hAnsi="Times New Roman" w:cs="Times New Roman"/>
              </w:rPr>
              <w:t xml:space="preserve"> The 3-dimension view of strong binding interactions between targets and drugs</w:t>
            </w:r>
          </w:p>
        </w:tc>
        <w:tc>
          <w:tcPr>
            <w:tcW w:w="513" w:type="pct"/>
          </w:tcPr>
          <w:p w14:paraId="4531A411" w14:textId="77777777" w:rsidR="00B10B47" w:rsidRPr="00420D87" w:rsidRDefault="00B10B47" w:rsidP="00725907">
            <w:pPr>
              <w:jc w:val="center"/>
              <w:rPr>
                <w:rFonts w:ascii="Times New Roman" w:hAnsi="Times New Roman" w:cs="Times New Roman"/>
              </w:rPr>
            </w:pPr>
            <w:r>
              <w:rPr>
                <w:rFonts w:ascii="Times New Roman" w:hAnsi="Times New Roman" w:cs="Times New Roman"/>
              </w:rPr>
              <w:t>25</w:t>
            </w:r>
          </w:p>
        </w:tc>
      </w:tr>
      <w:tr w:rsidR="00B10B47" w:rsidRPr="00420D87" w14:paraId="5B8E70C1" w14:textId="77777777" w:rsidTr="009A52D4">
        <w:trPr>
          <w:trHeight w:val="201"/>
          <w:jc w:val="center"/>
        </w:trPr>
        <w:tc>
          <w:tcPr>
            <w:tcW w:w="4487" w:type="pct"/>
          </w:tcPr>
          <w:p w14:paraId="10C886C1" w14:textId="77777777" w:rsidR="00B10B47" w:rsidRPr="00420D87" w:rsidRDefault="00B10B47" w:rsidP="00725907">
            <w:pPr>
              <w:jc w:val="both"/>
              <w:rPr>
                <w:rFonts w:ascii="Times New Roman" w:hAnsi="Times New Roman" w:cs="Times New Roman"/>
                <w:b/>
                <w:bCs/>
              </w:rPr>
            </w:pPr>
            <w:r w:rsidRPr="00420D87">
              <w:rPr>
                <w:rFonts w:ascii="Times New Roman" w:hAnsi="Times New Roman" w:cs="Times New Roman"/>
                <w:b/>
                <w:bCs/>
              </w:rPr>
              <w:t>References</w:t>
            </w:r>
          </w:p>
        </w:tc>
        <w:tc>
          <w:tcPr>
            <w:tcW w:w="513" w:type="pct"/>
          </w:tcPr>
          <w:p w14:paraId="77E65D19" w14:textId="77777777" w:rsidR="00B10B47" w:rsidRPr="00420D87" w:rsidRDefault="00B10B47" w:rsidP="00725907">
            <w:pPr>
              <w:jc w:val="center"/>
              <w:rPr>
                <w:rFonts w:ascii="Times New Roman" w:hAnsi="Times New Roman" w:cs="Times New Roman"/>
                <w:b/>
              </w:rPr>
            </w:pPr>
            <w:r>
              <w:rPr>
                <w:rFonts w:ascii="Times New Roman" w:hAnsi="Times New Roman" w:cs="Times New Roman"/>
                <w:b/>
              </w:rPr>
              <w:t>25-29</w:t>
            </w:r>
          </w:p>
        </w:tc>
      </w:tr>
    </w:tbl>
    <w:p w14:paraId="16242410" w14:textId="77777777" w:rsidR="00A91BCF" w:rsidRDefault="00A91BCF" w:rsidP="00447ECA">
      <w:pPr>
        <w:pStyle w:val="Title"/>
        <w:spacing w:line="360" w:lineRule="auto"/>
        <w:rPr>
          <w:rFonts w:ascii="Times New Roman" w:hAnsi="Times New Roman" w:cs="Times New Roman"/>
          <w:b/>
          <w:sz w:val="24"/>
          <w:szCs w:val="24"/>
        </w:rPr>
      </w:pPr>
    </w:p>
    <w:p w14:paraId="1C43AA47" w14:textId="77777777" w:rsidR="00A91BCF" w:rsidRDefault="00A91BCF" w:rsidP="00447ECA">
      <w:pPr>
        <w:pStyle w:val="Title"/>
        <w:spacing w:line="360" w:lineRule="auto"/>
        <w:rPr>
          <w:rFonts w:ascii="Times New Roman" w:hAnsi="Times New Roman" w:cs="Times New Roman"/>
          <w:b/>
          <w:sz w:val="24"/>
          <w:szCs w:val="24"/>
        </w:rPr>
      </w:pPr>
    </w:p>
    <w:p w14:paraId="3C67027D" w14:textId="03883AC8" w:rsidR="00A91BCF" w:rsidRPr="00A91BCF" w:rsidRDefault="00A91BCF" w:rsidP="00447ECA">
      <w:pPr>
        <w:pStyle w:val="Title"/>
        <w:spacing w:line="360" w:lineRule="auto"/>
        <w:rPr>
          <w:rFonts w:ascii="Times New Roman" w:hAnsi="Times New Roman" w:cs="Times New Roman"/>
          <w:b/>
          <w:sz w:val="24"/>
          <w:szCs w:val="24"/>
        </w:rPr>
      </w:pPr>
      <w:r w:rsidRPr="00A91BCF">
        <w:rPr>
          <w:rFonts w:ascii="Times New Roman" w:hAnsi="Times New Roman" w:cs="Times New Roman"/>
          <w:b/>
          <w:sz w:val="24"/>
          <w:szCs w:val="24"/>
        </w:rPr>
        <w:t xml:space="preserve">Supplementary Sections: </w:t>
      </w:r>
    </w:p>
    <w:p w14:paraId="71C6F31C" w14:textId="5A319D29" w:rsidR="003C6347" w:rsidRPr="00447ECA" w:rsidRDefault="00447ECA" w:rsidP="00447ECA">
      <w:pPr>
        <w:pStyle w:val="Title"/>
        <w:spacing w:line="360" w:lineRule="auto"/>
        <w:rPr>
          <w:rFonts w:ascii="Times New Roman" w:hAnsi="Times New Roman" w:cs="Times New Roman"/>
          <w:sz w:val="24"/>
          <w:szCs w:val="24"/>
          <w:shd w:val="clear" w:color="auto" w:fill="FFFFFF"/>
        </w:rPr>
      </w:pPr>
      <w:r>
        <w:rPr>
          <w:rFonts w:ascii="Times New Roman" w:hAnsi="Times New Roman" w:cs="Times New Roman"/>
          <w:sz w:val="24"/>
          <w:szCs w:val="24"/>
        </w:rPr>
        <w:t>The detail descriptions on i</w:t>
      </w:r>
      <w:r w:rsidR="00920A42" w:rsidRPr="00447ECA">
        <w:rPr>
          <w:rFonts w:ascii="Times New Roman" w:hAnsi="Times New Roman" w:cs="Times New Roman"/>
          <w:sz w:val="24"/>
          <w:szCs w:val="24"/>
          <w:shd w:val="clear" w:color="auto" w:fill="FFFFFF"/>
        </w:rPr>
        <w:t>ntegrated statistics and bioinformatics approaches</w:t>
      </w:r>
      <w:r w:rsidR="00F87CCF" w:rsidRPr="00447ECA">
        <w:rPr>
          <w:rFonts w:ascii="Times New Roman" w:hAnsi="Times New Roman" w:cs="Times New Roman"/>
          <w:sz w:val="24"/>
          <w:szCs w:val="24"/>
          <w:shd w:val="clear" w:color="auto" w:fill="FFFFFF"/>
        </w:rPr>
        <w:t xml:space="preserve"> </w:t>
      </w:r>
      <w:r w:rsidR="00F55749">
        <w:rPr>
          <w:rFonts w:ascii="Times New Roman" w:hAnsi="Times New Roman" w:cs="Times New Roman"/>
          <w:sz w:val="24"/>
          <w:szCs w:val="24"/>
          <w:shd w:val="clear" w:color="auto" w:fill="FFFFFF"/>
        </w:rPr>
        <w:t>are</w:t>
      </w:r>
      <w:r>
        <w:rPr>
          <w:rFonts w:ascii="Times New Roman" w:hAnsi="Times New Roman" w:cs="Times New Roman"/>
          <w:sz w:val="24"/>
          <w:szCs w:val="24"/>
          <w:shd w:val="clear" w:color="auto" w:fill="FFFFFF"/>
        </w:rPr>
        <w:t xml:space="preserve"> given below</w:t>
      </w:r>
      <w:r w:rsidR="00F55749">
        <w:rPr>
          <w:rFonts w:ascii="Times New Roman" w:hAnsi="Times New Roman" w:cs="Times New Roman"/>
          <w:sz w:val="24"/>
          <w:szCs w:val="24"/>
          <w:shd w:val="clear" w:color="auto" w:fill="FFFFFF"/>
        </w:rPr>
        <w:t xml:space="preserve"> in different subsections </w:t>
      </w:r>
      <w:r w:rsidR="00F55749" w:rsidRPr="00447ECA">
        <w:rPr>
          <w:rFonts w:ascii="Times New Roman" w:hAnsi="Times New Roman" w:cs="Times New Roman"/>
          <w:sz w:val="24"/>
          <w:szCs w:val="24"/>
          <w:shd w:val="clear" w:color="auto" w:fill="FFFFFF"/>
        </w:rPr>
        <w:t>that were used in this study</w:t>
      </w:r>
      <w:r w:rsidR="00F55749">
        <w:rPr>
          <w:rFonts w:ascii="Times New Roman" w:hAnsi="Times New Roman" w:cs="Times New Roman"/>
          <w:sz w:val="24"/>
          <w:szCs w:val="24"/>
          <w:shd w:val="clear" w:color="auto" w:fill="FFFFFF"/>
        </w:rPr>
        <w:t>.</w:t>
      </w:r>
    </w:p>
    <w:p w14:paraId="257FD09D" w14:textId="77777777" w:rsidR="00447ECA" w:rsidRDefault="00447ECA" w:rsidP="00920A42">
      <w:pPr>
        <w:rPr>
          <w:rFonts w:ascii="Times New Roman" w:hAnsi="Times New Roman" w:cs="Times New Roman"/>
          <w:b/>
          <w:bCs/>
          <w:iCs/>
          <w:lang w:val="en-AU"/>
        </w:rPr>
      </w:pPr>
      <w:bookmarkStart w:id="4" w:name="_Hlk138192889"/>
    </w:p>
    <w:p w14:paraId="6797ECE2" w14:textId="7B81911A" w:rsidR="00BE110C" w:rsidRPr="00C21B42" w:rsidRDefault="00920A42" w:rsidP="00920A42">
      <w:pPr>
        <w:rPr>
          <w:rFonts w:ascii="Times New Roman" w:hAnsi="Times New Roman" w:cs="Times New Roman"/>
          <w:b/>
        </w:rPr>
      </w:pPr>
      <w:r w:rsidRPr="00413E4B">
        <w:rPr>
          <w:rFonts w:ascii="Times New Roman" w:hAnsi="Times New Roman" w:cs="Times New Roman"/>
          <w:b/>
          <w:bCs/>
          <w:iCs/>
          <w:lang w:val="en-AU"/>
        </w:rPr>
        <w:t xml:space="preserve"> </w:t>
      </w:r>
      <w:bookmarkEnd w:id="4"/>
      <w:r w:rsidR="00447ECA">
        <w:rPr>
          <w:rFonts w:ascii="Times New Roman" w:hAnsi="Times New Roman" w:cs="Times New Roman"/>
          <w:b/>
        </w:rPr>
        <w:t>S</w:t>
      </w:r>
      <w:r>
        <w:rPr>
          <w:rFonts w:ascii="Times New Roman" w:hAnsi="Times New Roman" w:cs="Times New Roman"/>
          <w:b/>
        </w:rPr>
        <w:t>1</w:t>
      </w:r>
      <w:r w:rsidR="00BE110C">
        <w:rPr>
          <w:rFonts w:ascii="Times New Roman" w:hAnsi="Times New Roman" w:cs="Times New Roman"/>
          <w:b/>
        </w:rPr>
        <w:t>.</w:t>
      </w:r>
      <w:r w:rsidR="00BE110C" w:rsidRPr="00BE110C">
        <w:rPr>
          <w:rFonts w:ascii="Times New Roman" w:hAnsi="Times New Roman" w:cs="Times New Roman"/>
          <w:b/>
          <w:bCs/>
        </w:rPr>
        <w:t xml:space="preserve"> </w:t>
      </w:r>
      <w:r w:rsidR="00BE110C">
        <w:rPr>
          <w:rFonts w:ascii="Times New Roman" w:hAnsi="Times New Roman" w:cs="Times New Roman"/>
          <w:b/>
          <w:bCs/>
        </w:rPr>
        <w:t xml:space="preserve">Robust </w:t>
      </w:r>
      <w:r w:rsidR="00BE110C" w:rsidRPr="00AC131E">
        <w:rPr>
          <w:rFonts w:ascii="Times New Roman" w:hAnsi="Times New Roman" w:cs="Times New Roman"/>
          <w:b/>
          <w:bCs/>
        </w:rPr>
        <w:t xml:space="preserve">Identification </w:t>
      </w:r>
      <w:r w:rsidR="00BE110C">
        <w:rPr>
          <w:rFonts w:ascii="Times New Roman" w:hAnsi="Times New Roman" w:cs="Times New Roman"/>
          <w:b/>
          <w:bCs/>
        </w:rPr>
        <w:t xml:space="preserve">of DEGs </w:t>
      </w:r>
      <w:r w:rsidR="00BE110C" w:rsidRPr="00AC131E">
        <w:rPr>
          <w:rFonts w:ascii="Times New Roman" w:hAnsi="Times New Roman" w:cs="Times New Roman"/>
          <w:b/>
          <w:bCs/>
        </w:rPr>
        <w:t>by BRIDGE approach</w:t>
      </w:r>
    </w:p>
    <w:p w14:paraId="0FAC0069" w14:textId="0E4FE252" w:rsidR="003C6347" w:rsidRPr="00C21B42" w:rsidRDefault="003C6347" w:rsidP="003C6347">
      <w:pPr>
        <w:spacing w:line="360" w:lineRule="auto"/>
        <w:jc w:val="both"/>
        <w:rPr>
          <w:rFonts w:ascii="Times New Roman" w:hAnsi="Times New Roman" w:cs="Times New Roman"/>
          <w:bCs/>
        </w:rPr>
      </w:pPr>
      <w:bookmarkStart w:id="5" w:name="_Hlk138193272"/>
      <w:r w:rsidRPr="00C21B42">
        <w:rPr>
          <w:rFonts w:ascii="Times New Roman" w:hAnsi="Times New Roman" w:cs="Times New Roman"/>
          <w:bCs/>
        </w:rPr>
        <w:t xml:space="preserve">Transcriptomics data </w:t>
      </w:r>
      <w:r w:rsidRPr="00C21B42">
        <w:rPr>
          <w:rFonts w:ascii="Times New Roman" w:hAnsi="Times New Roman" w:cs="Times New Roman"/>
        </w:rPr>
        <w:t>are often affected by outliers due to the numerous steps involved in producing data</w:t>
      </w:r>
      <w:bookmarkEnd w:id="5"/>
      <w:r w:rsidRPr="00C21B42">
        <w:rPr>
          <w:rFonts w:ascii="Times New Roman" w:hAnsi="Times New Roman" w:cs="Times New Roman"/>
        </w:rPr>
        <w:t xml:space="preserve"> </w:t>
      </w:r>
      <w:bookmarkStart w:id="6" w:name="_Hlk138196148"/>
      <w:r w:rsidRPr="00C21B42">
        <w:rPr>
          <w:rFonts w:ascii="Times New Roman" w:hAnsi="Times New Roman" w:cs="Times New Roman"/>
        </w:rPr>
        <w:fldChar w:fldCharType="begin" w:fldLock="1"/>
      </w:r>
      <w:r w:rsidR="00936BE4" w:rsidRPr="00C21B42">
        <w:rPr>
          <w:rFonts w:ascii="Times New Roman" w:hAnsi="Times New Roman" w:cs="Times New Roman"/>
        </w:rPr>
        <w:instrText>ADDIN CSL_CITATION {"citationItems":[{"id":"ITEM-1","itemData":{"DOI":"10.1155/2017/5310198","ISSN":"23146141","abstract":"Identification of differentially expressed (DE) genes with two or more conditions is an important task for discovery of few biomarker genes. Significance Analysis of Microarrays (SAM) is a popular statistical approach for identification of DE genes for both small- and large-sample cases. However, it is sensitive to outlying gene expressions and produces low power in presence of outliers. Therefore, in this paper, an attempt is made to robustify the SAM approach using the minimum β-divergence estimators instead of the maximum likelihood estimators of the parameters. We demonstrated the performance of the proposed method in a comparison of some other popular statistical methods such as ANOVA, SAM, LIMMA, KW, EBarrays, GaGa, and BRIDGE using both simulated and real gene expression datasets. We observe that all methods show good and almost equal performance in absence of outliers for the large-sample cases, while in the small-sample cases only three methods (SAM, LIMMA, and proposed) show almost equal and better performance than others with two or more conditions. However, in the presence of outliers, on an average, only the proposed method performs better than others for both small- and large-sample cases with each condition.","author":[{"dropping-particle":"","family":"Shahjaman","given":"Md","non-dropping-particle":"","parse-names":false,"suffix":""},{"dropping-particle":"","family":"Kumar","given":"Nishith","non-dropping-particle":"","parse-names":false,"suffix":""},{"dropping-particle":"","family":"Mollah","given":"Md Manir Hossain","non-dropping-particle":"","parse-names":false,"suffix":""},{"dropping-particle":"","family":"Ahmed","given":"Md Shakil","non-dropping-particle":"","parse-names":false,"suffix":""},{"dropping-particle":"","family":"Ara Begum","given":"Anjuman","non-dropping-particle":"","parse-names":false,"suffix":""},{"dropping-particle":"","family":"Shahinul Islam","given":"S. M.","non-dropping-particle":"","parse-names":false,"suffix":""},{"dropping-particle":"","family":"Mollah","given":"Md Nurul Haque","non-dropping-particle":"","parse-names":false,"suffix":""}],"container-title":"BioMed Research International","id":"ITEM-1","issued":{"date-parts":[["2017"]]},"title":"Robust significance analysis of microarrays by minimum β -Divergence method","type":"article-journal","volume":"2017"},"uris":["http://www.mendeley.com/documents/?uuid=db47f09f-6060-3a37-aa31-d059e330363b"]},{"id":"ITEM-2","itemData":{"DOI":"10.2202/1544-6115.1426","ISSN":"15446115","abstract":"In this paper, we address the problem of detecting outlier samples with highly different expression patterns in microarray data. Although outliers are not common, they appear even in widely used benchmark data sets and can negatively affect microarray data analysis. It is important to identify outliers in order to explore underlying experimental or biological problems and remove erroneous data. We propose an outlier detection method based on principal component analysis (PCA) and robust estimation of Mahalanobis distances that is fully automatic. We demonstrate that our outlier detection method identifies biologically significant outliers with high accuracy and that outlier removal improves the prediction accuracy of classifiers. Our outlier detection method is closely related to existing robust PCA methods, so we compare our outlier detection method to a prominent robust PCA method. Copyright ©2009 The Berkeley Electronic Press. All rights reserved.","author":[{"dropping-particle":"","family":"Shieh","given":"Albert D.","non-dropping-particle":"","parse-names":false,"suffix":""},{"dropping-particle":"","family":"Hung","given":"Yeung Sam","non-dropping-particle":"","parse-names":false,"suffix":""}],"container-title":"Statistical Applications in Genetics and Molecular Biology","id":"ITEM-2","issue":"1","issued":{"date-parts":[["2009"]]},"title":"Detecting outlier samples in microarray data","type":"article-journal","volume":"8"},"uris":["http://www.mendeley.com/documents/?uuid=60df3190-615d-387e-ba15-e0473675b13e"]},{"id":"ITEM-3","itemData":{"DOI":"10.1109/IJCNN.2014.6889818","abstract":"Outliers are unavoidable in many experiments due to various complex reasons ranging from equipment resolution to data contamination. The presence of outliers in microarray gene expression data can affect the quality of gene selection and ranking. This effect is severe when a microarray gene expression data is composed of too few samples. We classify outliers occurred in microarray gene expression data as structural and non-structural outliers. Structural outliers are gene dependent or sample dependent (or both) whereas non-structural outliers are gene and sample-independent. They are uninformative to gene expression differentiation but can cause misclassification of a differentially expressed gene as a non-differentially expressed one. While there are algorithms for detecting structural outliers, a different strategy is required for detecting non-structural outliers. We show the impact of non-structural outliers on gene selection/ranking and false discovery rate control. We also show the unsuitableness of existing outlier detection algorithms for detecting non-structural outliers. We propose a new algorithm for detecting non-structural outliers. It models the consecutive differences of ordered gene expressions as exponentially distributed. We use simulated and real data to demonstrate the efficacy of the proposed algorithm in correcting for non-structural outliers and improving gene selection/ranking and false discovery rate control.","author":[{"dropping-particle":"","family":"Yang","given":"Zihua","non-dropping-particle":"","parse-names":false,"suffix":""},{"dropping-particle":"","family":"Yang","given":"Zheng Rong","non-dropping-particle":"","parse-names":false,"suffix":""}],"container-title":"Proceedings of the International Joint Conference on Neural Networks","id":"ITEM-3","issued":{"date-parts":[["2014"]]},"title":"Detection of non-structural outliers for microarray experiments","type":"paper-conference"},"uris":["http://www.mendeley.com/documents/?uuid=de1ae0fd-938b-3df3-856c-1f4e703ad608"]},{"id":"ITEM-4","itemData":{"DOI":"10.1111/j.1541-0420.2005.00397.x","ISSN":"0006341X","abstract":"We consider the problem of identifying differentially expressed genes under different conditions using gene expression microarrays. Because of the many steps involved in the experimental process, from hybridization to image analysis, cDNA microarray data often contain outliers. For example, an outlying data value could occur because of scratches or dust on the surface, imperfections in the glass, or imperfections in the array production. We develop a robust Bayesian hierarchical model for testing for differential expression. Errors are modeled explicitly using a t-distribution, which accounts for outliers. The model includes an exchangeable prior for the variances, which allows different variances for the genes but still shrinks extreme empirical variances. Our model can be used for testing for differentially expressed genes among multiple samples, and it can distinguish between the different possible patterns of differential expression when there are three or more samples. Parameter estimation is carried out using a novel version of Markov chain Monte Carlo that is appropriate when the model puts mass on subspaces of the full parameter space. The method is illustrated using two publicly available gene expression data sets. We compare our method to six other baseline and commonly used techniques, namely the t-test, the Bonferroni-adjusted t-test, significance analysis of microarrays (SAM), Efron's empirical Bayes, and EBarrays in both its lognormal-normal and gamma-gamma forms. In an experiment with HIV data, our method performed better than these alternatives, on the basis of between-replicate agreement and disagreement. © 2005, The International Biometric Society.","author":[{"dropping-particle":"","family":"Gottardo","given":"Raphael","non-dropping-particle":"","parse-names":false,"suffix":""},{"dropping-particle":"","family":"Raftery","given":"Adrian E.","non-dropping-particle":"","parse-names":false,"suffix":""},{"dropping-particle":"","family":"Yee Yeung","given":"Ka","non-dropping-particle":"","parse-names":false,"suffix":""},{"dropping-particle":"","family":"Bumgarner","given":"Roger E.","non-dropping-particle":"","parse-names":false,"suffix":""}],"container-title":"Biometrics","id":"ITEM-4","issue":"1","issued":{"date-parts":[["2006"]]},"title":"Bayesian robust inference for differential gene expression in microarrays with multiple samples","type":"article-journal","volume":"62"},"uris":["http://www.mendeley.com/documents/?uuid=e2bf95d4-e9d5-3efd-a8bd-6fb68b824c8e"]}],"mendeley":{"formattedCitation":"[1–4]","plainTextFormattedCitation":"[1–4]","previouslyFormattedCitation":"[1–4]"},"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noProof/>
        </w:rPr>
        <w:t>[1–4]</w:t>
      </w:r>
      <w:r w:rsidRPr="00C21B42">
        <w:rPr>
          <w:rFonts w:ascii="Times New Roman" w:hAnsi="Times New Roman" w:cs="Times New Roman"/>
        </w:rPr>
        <w:fldChar w:fldCharType="end"/>
      </w:r>
      <w:r w:rsidRPr="00C21B42">
        <w:rPr>
          <w:rFonts w:ascii="Times New Roman" w:hAnsi="Times New Roman" w:cs="Times New Roman"/>
        </w:rPr>
        <w:t xml:space="preserve">. </w:t>
      </w:r>
      <w:bookmarkEnd w:id="6"/>
      <w:r w:rsidRPr="00C21B42">
        <w:rPr>
          <w:rFonts w:ascii="Times New Roman" w:hAnsi="Times New Roman" w:cs="Times New Roman"/>
          <w:bCs/>
        </w:rPr>
        <w:t>Therefore, in this study, we considered BRIDGE (</w:t>
      </w:r>
      <w:bookmarkStart w:id="7" w:name="_Hlk138193894"/>
      <w:r w:rsidRPr="00C21B42">
        <w:rPr>
          <w:rFonts w:ascii="Times New Roman" w:hAnsi="Times New Roman" w:cs="Times New Roman"/>
          <w:bCs/>
        </w:rPr>
        <w:t>Bayesian Robust Inference for Differential Gene Expression</w:t>
      </w:r>
      <w:bookmarkEnd w:id="7"/>
      <w:r w:rsidRPr="00C21B42">
        <w:rPr>
          <w:rFonts w:ascii="Times New Roman" w:hAnsi="Times New Roman" w:cs="Times New Roman"/>
          <w:bCs/>
        </w:rPr>
        <w:t xml:space="preserve">) approach which is an outlier-free method for identifying DEGs between </w:t>
      </w:r>
      <w:bookmarkStart w:id="8" w:name="_Hlk138194279"/>
      <w:r w:rsidRPr="00C21B42">
        <w:rPr>
          <w:rFonts w:ascii="Times New Roman" w:hAnsi="Times New Roman" w:cs="Times New Roman"/>
          <w:bCs/>
        </w:rPr>
        <w:t xml:space="preserve">case and control samples </w:t>
      </w:r>
      <w:bookmarkStart w:id="9" w:name="_Hlk138196178"/>
      <w:bookmarkEnd w:id="8"/>
      <w:r w:rsidRPr="00C21B42">
        <w:rPr>
          <w:rFonts w:ascii="Times New Roman" w:hAnsi="Times New Roman" w:cs="Times New Roman"/>
          <w:bCs/>
          <w:shd w:val="clear" w:color="auto" w:fill="FFFFFF"/>
        </w:rPr>
        <w:fldChar w:fldCharType="begin" w:fldLock="1"/>
      </w:r>
      <w:r w:rsidR="00936BE4" w:rsidRPr="00C21B42">
        <w:rPr>
          <w:rFonts w:ascii="Times New Roman" w:hAnsi="Times New Roman" w:cs="Times New Roman"/>
          <w:bCs/>
          <w:shd w:val="clear" w:color="auto" w:fill="FFFFFF"/>
        </w:rPr>
        <w:instrText>ADDIN CSL_CITATION {"citationItems":[{"id":"ITEM-1","itemData":{"DOI":"10.1111/j.1541-0420.2005.00397.x","ISSN":"0006341X","abstract":"We consider the problem of identifying differentially expressed genes under different conditions using gene expression microarrays. Because of the many steps involved in the experimental process, from hybridization to image analysis, cDNA microarray data often contain outliers. For example, an outlying data value could occur because of scratches or dust on the surface, imperfections in the glass, or imperfections in the array production. We develop a robust Bayesian hierarchical model for testing for differential expression. Errors are modeled explicitly using a t-distribution, which accounts for outliers. The model includes an exchangeable prior for the variances, which allows different variances for the genes but still shrinks extreme empirical variances. Our model can be used for testing for differentially expressed genes among multiple samples, and it can distinguish between the different possible patterns of differential expression when there are three or more samples. Parameter estimation is carried out using a novel version of Markov chain Monte Carlo that is appropriate when the model puts mass on subspaces of the full parameter space. The method is illustrated using two publicly available gene expression data sets. We compare our method to six other baseline and commonly used techniques, namely the t-test, the Bonferroni-adjusted t-test, significance analysis of microarrays (SAM), Efron's empirical Bayes, and EBarrays in both its lognormal-normal and gamma-gamma forms. In an experiment with HIV data, our method performed better than these alternatives, on the basis of between-replicate agreement and disagreement. © 2005, The International Biometric Society.","author":[{"dropping-particle":"","family":"Gottardo","given":"Raphael","non-dropping-particle":"","parse-names":false,"suffix":""},{"dropping-particle":"","family":"Raftery","given":"Adrian E.","non-dropping-particle":"","parse-names":false,"suffix":""},{"dropping-particle":"","family":"Yee Yeung","given":"Ka","non-dropping-particle":"","parse-names":false,"suffix":""},{"dropping-particle":"","family":"Bumgarner","given":"Roger E.","non-dropping-particle":"","parse-names":false,"suffix":""}],"container-title":"Biometrics","id":"ITEM-1","issue":"1","issued":{"date-parts":[["2006"]]},"title":"Bayesian robust inference for differential gene expression in microarrays with multiple samples","type":"article-journal","volume":"62"},"uris":["http://www.mendeley.com/documents/?uuid=081019e5-c4fc-4398-bc50-f442fa3bbeec","http://www.mendeley.com/documents/?uuid=e2bf95d4-e9d5-3efd-a8bd-6fb68b824c8e"]}],"mendeley":{"formattedCitation":"[4]","plainTextFormattedCitation":"[4]","previouslyFormattedCitation":"[4]"},"properties":{"noteIndex":0},"schema":"https://github.com/citation-style-language/schema/raw/master/csl-citation.json"}</w:instrText>
      </w:r>
      <w:r w:rsidRPr="00C21B42">
        <w:rPr>
          <w:rFonts w:ascii="Times New Roman" w:hAnsi="Times New Roman" w:cs="Times New Roman"/>
          <w:bCs/>
          <w:shd w:val="clear" w:color="auto" w:fill="FFFFFF"/>
        </w:rPr>
        <w:fldChar w:fldCharType="separate"/>
      </w:r>
      <w:r w:rsidRPr="00C21B42">
        <w:rPr>
          <w:rFonts w:ascii="Times New Roman" w:hAnsi="Times New Roman" w:cs="Times New Roman"/>
          <w:bCs/>
          <w:noProof/>
          <w:shd w:val="clear" w:color="auto" w:fill="FFFFFF"/>
        </w:rPr>
        <w:t>[4]</w:t>
      </w:r>
      <w:r w:rsidRPr="00C21B42">
        <w:rPr>
          <w:rFonts w:ascii="Times New Roman" w:hAnsi="Times New Roman" w:cs="Times New Roman"/>
          <w:bCs/>
          <w:shd w:val="clear" w:color="auto" w:fill="FFFFFF"/>
        </w:rPr>
        <w:fldChar w:fldCharType="end"/>
      </w:r>
      <w:r w:rsidRPr="00C21B42">
        <w:rPr>
          <w:rFonts w:ascii="Times New Roman" w:hAnsi="Times New Roman" w:cs="Times New Roman"/>
          <w:bCs/>
          <w:shd w:val="clear" w:color="auto" w:fill="FFFFFF"/>
        </w:rPr>
        <w:t xml:space="preserve">.  </w:t>
      </w:r>
      <w:bookmarkEnd w:id="9"/>
      <w:r w:rsidRPr="00C21B42">
        <w:rPr>
          <w:rFonts w:ascii="Times New Roman" w:hAnsi="Times New Roman" w:cs="Times New Roman"/>
          <w:bCs/>
          <w:shd w:val="clear" w:color="auto" w:fill="FFFFFF"/>
        </w:rPr>
        <w:t xml:space="preserve">In this case, </w:t>
      </w:r>
      <w:r w:rsidRPr="00C21B42">
        <w:rPr>
          <w:rFonts w:ascii="Times New Roman" w:hAnsi="Times New Roman" w:cs="Times New Roman"/>
          <w:bCs/>
        </w:rPr>
        <w:t xml:space="preserve">robustness is attained by using the t-distribution [8], which is more resistant to outliers than the Gaussian distribution due to its longer tails. Let </w:t>
      </w:r>
      <m:oMath>
        <m:sSub>
          <m:sSubPr>
            <m:ctrlPr>
              <w:rPr>
                <w:rFonts w:ascii="Cambria Math" w:hAnsi="Cambria Math" w:cs="Times New Roman"/>
                <w:bCs/>
              </w:rPr>
            </m:ctrlPr>
          </m:sSubPr>
          <m:e>
            <m:r>
              <m:rPr>
                <m:sty m:val="p"/>
              </m:rPr>
              <w:rPr>
                <w:rFonts w:ascii="Cambria Math" w:hAnsi="Cambria Math" w:cs="Times New Roman"/>
              </w:rPr>
              <m:t>y</m:t>
            </m:r>
          </m:e>
          <m:sub>
            <m:r>
              <m:rPr>
                <m:sty m:val="p"/>
              </m:rPr>
              <w:rPr>
                <w:rFonts w:ascii="Cambria Math" w:hAnsi="Cambria Math" w:cs="Times New Roman"/>
              </w:rPr>
              <m:t>gcr</m:t>
            </m:r>
          </m:sub>
        </m:sSub>
      </m:oMath>
      <w:r w:rsidRPr="00C21B42">
        <w:rPr>
          <w:rFonts w:ascii="Times New Roman" w:hAnsi="Times New Roman" w:cs="Times New Roman"/>
          <w:bCs/>
        </w:rPr>
        <w:t xml:space="preserve"> to be the log-expression score of the </w:t>
      </w:r>
      <m:oMath>
        <m:sSup>
          <m:sSupPr>
            <m:ctrlPr>
              <w:rPr>
                <w:rFonts w:ascii="Cambria Math" w:hAnsi="Cambria Math" w:cs="Times New Roman"/>
                <w:bCs/>
              </w:rPr>
            </m:ctrlPr>
          </m:sSupPr>
          <m:e>
            <m:r>
              <w:rPr>
                <w:rFonts w:ascii="Cambria Math" w:hAnsi="Cambria Math" w:cs="Times New Roman"/>
              </w:rPr>
              <m:t>r</m:t>
            </m:r>
          </m:e>
          <m:sup>
            <m:r>
              <m:rPr>
                <m:sty m:val="p"/>
              </m:rPr>
              <w:rPr>
                <w:rFonts w:ascii="Cambria Math" w:hAnsi="Cambria Math" w:cs="Times New Roman"/>
              </w:rPr>
              <m:t>th</m:t>
            </m:r>
          </m:sup>
        </m:sSup>
      </m:oMath>
      <w:r w:rsidRPr="00C21B42">
        <w:rPr>
          <w:rFonts w:ascii="Times New Roman" w:hAnsi="Times New Roman" w:cs="Times New Roman"/>
          <w:bCs/>
        </w:rPr>
        <w:t>replication for gene g within experimental condition c (= 1, 2). The log-expression values are represented as follows:</w:t>
      </w:r>
    </w:p>
    <w:p w14:paraId="5498807A" w14:textId="77777777" w:rsidR="003C6347" w:rsidRPr="00C21B42" w:rsidRDefault="00000000" w:rsidP="003C6347">
      <w:pPr>
        <w:spacing w:line="360" w:lineRule="auto"/>
        <w:jc w:val="both"/>
        <w:rPr>
          <w:rFonts w:ascii="Times New Roman" w:hAnsi="Times New Roman" w:cs="Times New Roman"/>
          <w:bCs/>
        </w:rPr>
      </w:pPr>
      <m:oMathPara>
        <m:oMath>
          <m:sSub>
            <m:sSubPr>
              <m:ctrlPr>
                <w:rPr>
                  <w:rFonts w:ascii="Cambria Math" w:hAnsi="Cambria Math" w:cs="Times New Roman"/>
                  <w:bCs/>
                </w:rPr>
              </m:ctrlPr>
            </m:sSubPr>
            <m:e>
              <m:r>
                <m:rPr>
                  <m:sty m:val="p"/>
                </m:rPr>
                <w:rPr>
                  <w:rFonts w:ascii="Cambria Math" w:hAnsi="Cambria Math" w:cs="Times New Roman"/>
                </w:rPr>
                <m:t>y</m:t>
              </m:r>
            </m:e>
            <m:sub>
              <m:r>
                <w:rPr>
                  <w:rFonts w:ascii="Cambria Math" w:hAnsi="Cambria Math" w:cs="Times New Roman"/>
                </w:rPr>
                <m:t>gcr</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gc</m:t>
              </m:r>
            </m:sub>
          </m:sSub>
          <m:r>
            <m:rPr>
              <m:sty m:val="p"/>
            </m:rPr>
            <w:rPr>
              <w:rFonts w:ascii="Cambria Math" w:hAnsi="Cambria Math" w:cs="Times New Roman"/>
            </w:rPr>
            <m:t>+</m:t>
          </m:r>
          <m:f>
            <m:fPr>
              <m:ctrlPr>
                <w:rPr>
                  <w:rFonts w:ascii="Cambria Math" w:hAnsi="Cambria Math" w:cs="Times New Roman"/>
                  <w:bCs/>
                </w:rPr>
              </m:ctrlPr>
            </m:fPr>
            <m:num>
              <m:sSub>
                <m:sSubPr>
                  <m:ctrlPr>
                    <w:rPr>
                      <w:rFonts w:ascii="Cambria Math" w:hAnsi="Cambria Math" w:cs="Times New Roman"/>
                      <w:bCs/>
                    </w:rPr>
                  </m:ctrlPr>
                </m:sSubPr>
                <m:e>
                  <m:r>
                    <m:rPr>
                      <m:sty m:val="p"/>
                    </m:rPr>
                    <w:rPr>
                      <w:rFonts w:ascii="Cambria Math" w:hAnsi="Cambria Math" w:cs="Times New Roman"/>
                    </w:rPr>
                    <m:t>∈</m:t>
                  </m:r>
                </m:e>
                <m:sub>
                  <m:r>
                    <w:rPr>
                      <w:rFonts w:ascii="Cambria Math" w:hAnsi="Cambria Math" w:cs="Times New Roman"/>
                    </w:rPr>
                    <m:t>gcr</m:t>
                  </m:r>
                </m:sub>
              </m:sSub>
            </m:num>
            <m:den>
              <m:rad>
                <m:radPr>
                  <m:degHide m:val="1"/>
                  <m:ctrlPr>
                    <w:rPr>
                      <w:rFonts w:ascii="Cambria Math" w:hAnsi="Cambria Math" w:cs="Times New Roman"/>
                      <w:bCs/>
                    </w:rPr>
                  </m:ctrlPr>
                </m:radPr>
                <m:deg/>
                <m:e>
                  <m:sSub>
                    <m:sSubPr>
                      <m:ctrlPr>
                        <w:rPr>
                          <w:rFonts w:ascii="Cambria Math" w:hAnsi="Cambria Math" w:cs="Times New Roman"/>
                          <w:bCs/>
                        </w:rPr>
                      </m:ctrlPr>
                    </m:sSubPr>
                    <m:e>
                      <m:r>
                        <m:rPr>
                          <m:sty m:val="p"/>
                        </m:rPr>
                        <w:rPr>
                          <w:rFonts w:ascii="Cambria Math" w:hAnsi="Cambria Math" w:cs="Times New Roman"/>
                        </w:rPr>
                        <m:t>w</m:t>
                      </m:r>
                    </m:e>
                    <m:sub>
                      <m:r>
                        <w:rPr>
                          <w:rFonts w:ascii="Cambria Math" w:hAnsi="Cambria Math" w:cs="Times New Roman"/>
                        </w:rPr>
                        <m:t>gcr</m:t>
                      </m:r>
                    </m:sub>
                  </m:sSub>
                </m:e>
              </m:rad>
            </m:den>
          </m:f>
          <m:r>
            <m:rPr>
              <m:sty m:val="p"/>
            </m:rPr>
            <w:rPr>
              <w:rFonts w:ascii="Cambria Math" w:hAnsi="Cambria Math" w:cs="Times New Roman"/>
            </w:rPr>
            <m:t xml:space="preserve"> , …………………..(1)</m:t>
          </m:r>
        </m:oMath>
      </m:oMathPara>
    </w:p>
    <w:p w14:paraId="7985BB55" w14:textId="77777777" w:rsidR="003C6347" w:rsidRPr="00C21B42" w:rsidRDefault="003C6347" w:rsidP="003C6347">
      <w:pPr>
        <w:spacing w:line="360" w:lineRule="auto"/>
        <w:jc w:val="both"/>
        <w:rPr>
          <w:rFonts w:ascii="Times New Roman" w:hAnsi="Times New Roman" w:cs="Times New Roman"/>
          <w:bCs/>
        </w:rPr>
      </w:pPr>
      <w:r w:rsidRPr="00C21B42">
        <w:rPr>
          <w:rFonts w:ascii="Times New Roman" w:hAnsi="Times New Roman" w:cs="Times New Roman"/>
          <w:bCs/>
        </w:rPr>
        <w:t xml:space="preserve">Where, </w:t>
      </w:r>
      <m:oMath>
        <m:d>
          <m:dPr>
            <m:ctrlPr>
              <w:rPr>
                <w:rFonts w:ascii="Cambria Math" w:hAnsi="Cambria Math" w:cs="Times New Roman"/>
                <w:bCs/>
              </w:rPr>
            </m:ctrlPr>
          </m:dPr>
          <m:e>
            <m:sSub>
              <m:sSubPr>
                <m:ctrlPr>
                  <w:rPr>
                    <w:rFonts w:ascii="Cambria Math" w:hAnsi="Cambria Math" w:cs="Times New Roman"/>
                    <w:bCs/>
                  </w:rPr>
                </m:ctrlPr>
              </m:sSubPr>
              <m:e>
                <m:r>
                  <m:rPr>
                    <m:sty m:val="p"/>
                  </m:rPr>
                  <w:rPr>
                    <w:rFonts w:ascii="Cambria Math" w:hAnsi="Cambria Math" w:cs="Times New Roman"/>
                  </w:rPr>
                  <m:t>∈</m:t>
                </m:r>
              </m:e>
              <m:sub>
                <m:r>
                  <w:rPr>
                    <w:rFonts w:ascii="Cambria Math" w:hAnsi="Cambria Math" w:cs="Times New Roman"/>
                  </w:rPr>
                  <m:t>gcr</m:t>
                </m:r>
              </m:sub>
            </m:sSub>
            <m:r>
              <m:rPr>
                <m:sty m:val="p"/>
              </m:rPr>
              <w:rPr>
                <w:rFonts w:ascii="Cambria Math" w:hAnsi="Cambria Math" w:cs="Times New Roman"/>
              </w:rPr>
              <m:t>|</m:t>
            </m:r>
            <m:sSub>
              <m:sSubPr>
                <m:ctrlPr>
                  <w:rPr>
                    <w:rFonts w:ascii="Cambria Math" w:hAnsi="Cambria Math" w:cs="Times New Roman"/>
                    <w:bCs/>
                  </w:rPr>
                </m:ctrlPr>
              </m:sSubPr>
              <m:e>
                <m:sSub>
                  <m:sSubPr>
                    <m:ctrlPr>
                      <w:rPr>
                        <w:rFonts w:ascii="Cambria Math" w:hAnsi="Cambria Math" w:cs="Times New Roman"/>
                        <w:bCs/>
                      </w:rPr>
                    </m:ctrlPr>
                  </m:sSubPr>
                  <m:e>
                    <m:r>
                      <m:rPr>
                        <m:sty m:val="p"/>
                      </m:rPr>
                      <w:rPr>
                        <w:rFonts w:ascii="Cambria Math" w:hAnsi="Cambria Math" w:cs="Times New Roman"/>
                      </w:rPr>
                      <m:t>λ</m:t>
                    </m:r>
                  </m:e>
                  <m:sub>
                    <m:r>
                      <m:rPr>
                        <m:sty m:val="p"/>
                      </m:rPr>
                      <w:rPr>
                        <w:rFonts w:ascii="Cambria Math" w:hAnsi="Cambria Math" w:cs="Times New Roman"/>
                      </w:rPr>
                      <m:t>ϵ</m:t>
                    </m:r>
                  </m:sub>
                </m:sSub>
              </m:e>
              <m:sub>
                <m:r>
                  <w:rPr>
                    <w:rFonts w:ascii="Cambria Math" w:hAnsi="Cambria Math" w:cs="Times New Roman"/>
                  </w:rPr>
                  <m:t>gcr</m:t>
                </m:r>
              </m:sub>
            </m:sSub>
          </m:e>
        </m:d>
        <m:r>
          <m:rPr>
            <m:sty m:val="p"/>
          </m:rPr>
          <w:rPr>
            <w:rFonts w:ascii="Cambria Math" w:hAnsi="Cambria Math" w:cs="Times New Roman"/>
          </w:rPr>
          <m:t xml:space="preserve"> ~ N</m:t>
        </m:r>
        <m:d>
          <m:dPr>
            <m:ctrlPr>
              <w:rPr>
                <w:rFonts w:ascii="Cambria Math" w:hAnsi="Cambria Math" w:cs="Times New Roman"/>
                <w:bCs/>
              </w:rPr>
            </m:ctrlPr>
          </m:dPr>
          <m:e>
            <m:r>
              <m:rPr>
                <m:sty m:val="p"/>
              </m:rPr>
              <w:rPr>
                <w:rFonts w:ascii="Cambria Math" w:hAnsi="Cambria Math" w:cs="Times New Roman"/>
              </w:rPr>
              <m:t xml:space="preserve">0, </m:t>
            </m:r>
            <m:sSup>
              <m:sSupPr>
                <m:ctrlPr>
                  <w:rPr>
                    <w:rFonts w:ascii="Cambria Math" w:hAnsi="Cambria Math" w:cs="Times New Roman"/>
                    <w:bCs/>
                  </w:rPr>
                </m:ctrlPr>
              </m:sSupPr>
              <m:e>
                <m:sSub>
                  <m:sSubPr>
                    <m:ctrlPr>
                      <w:rPr>
                        <w:rFonts w:ascii="Cambria Math" w:hAnsi="Cambria Math" w:cs="Times New Roman"/>
                        <w:bCs/>
                      </w:rPr>
                    </m:ctrlPr>
                  </m:sSubPr>
                  <m:e>
                    <m:sSub>
                      <m:sSubPr>
                        <m:ctrlPr>
                          <w:rPr>
                            <w:rFonts w:ascii="Cambria Math" w:hAnsi="Cambria Math" w:cs="Times New Roman"/>
                            <w:bCs/>
                          </w:rPr>
                        </m:ctrlPr>
                      </m:sSubPr>
                      <m:e>
                        <m:r>
                          <m:rPr>
                            <m:sty m:val="p"/>
                          </m:rPr>
                          <w:rPr>
                            <w:rFonts w:ascii="Cambria Math" w:hAnsi="Cambria Math" w:cs="Times New Roman"/>
                          </w:rPr>
                          <m:t>λ</m:t>
                        </m:r>
                      </m:e>
                      <m:sub>
                        <m:r>
                          <m:rPr>
                            <m:sty m:val="p"/>
                          </m:rPr>
                          <w:rPr>
                            <w:rFonts w:ascii="Cambria Math" w:hAnsi="Cambria Math" w:cs="Times New Roman"/>
                          </w:rPr>
                          <m:t>ϵ</m:t>
                        </m:r>
                      </m:sub>
                    </m:sSub>
                  </m:e>
                  <m:sub>
                    <m:r>
                      <w:rPr>
                        <w:rFonts w:ascii="Cambria Math" w:hAnsi="Cambria Math" w:cs="Times New Roman"/>
                      </w:rPr>
                      <m:t>gcr</m:t>
                    </m:r>
                  </m:sub>
                </m:sSub>
              </m:e>
              <m:sup>
                <m:r>
                  <m:rPr>
                    <m:sty m:val="p"/>
                  </m:rPr>
                  <w:rPr>
                    <w:rFonts w:ascii="Cambria Math" w:hAnsi="Cambria Math" w:cs="Times New Roman"/>
                  </w:rPr>
                  <m:t>-1</m:t>
                </m:r>
              </m:sup>
            </m:sSup>
          </m:e>
        </m:d>
        <m:r>
          <m:rPr>
            <m:sty m:val="p"/>
          </m:rPr>
          <w:rPr>
            <w:rFonts w:ascii="Cambria Math" w:hAnsi="Cambria Math" w:cs="Times New Roman"/>
          </w:rPr>
          <m:t xml:space="preserve">, </m:t>
        </m:r>
        <m:d>
          <m:dPr>
            <m:ctrlPr>
              <w:rPr>
                <w:rFonts w:ascii="Cambria Math" w:hAnsi="Cambria Math" w:cs="Times New Roman"/>
                <w:bCs/>
              </w:rPr>
            </m:ctrlPr>
          </m:dPr>
          <m:e>
            <m:sSub>
              <m:sSubPr>
                <m:ctrlPr>
                  <w:rPr>
                    <w:rFonts w:ascii="Cambria Math" w:hAnsi="Cambria Math" w:cs="Times New Roman"/>
                    <w:bCs/>
                  </w:rPr>
                </m:ctrlPr>
              </m:sSubPr>
              <m:e>
                <m:r>
                  <m:rPr>
                    <m:sty m:val="p"/>
                  </m:rPr>
                  <w:rPr>
                    <w:rFonts w:ascii="Cambria Math" w:hAnsi="Cambria Math" w:cs="Times New Roman"/>
                  </w:rPr>
                  <m:t>w</m:t>
                </m:r>
              </m:e>
              <m:sub>
                <m:r>
                  <w:rPr>
                    <w:rFonts w:ascii="Cambria Math" w:hAnsi="Cambria Math" w:cs="Times New Roman"/>
                  </w:rPr>
                  <m:t>gcr</m:t>
                </m:r>
              </m:sub>
            </m:sSub>
          </m:e>
          <m:e>
            <m:sSub>
              <m:sSubPr>
                <m:ctrlPr>
                  <w:rPr>
                    <w:rFonts w:ascii="Cambria Math" w:hAnsi="Cambria Math" w:cs="Times New Roman"/>
                    <w:bCs/>
                  </w:rPr>
                </m:ctrlPr>
              </m:sSubPr>
              <m:e>
                <m:r>
                  <m:rPr>
                    <m:sty m:val="p"/>
                  </m:rPr>
                  <w:rPr>
                    <w:rFonts w:ascii="Cambria Math" w:hAnsi="Cambria Math" w:cs="Times New Roman"/>
                  </w:rPr>
                  <m:t>v</m:t>
                </m:r>
              </m:e>
              <m:sub>
                <m:r>
                  <w:rPr>
                    <w:rFonts w:ascii="Cambria Math" w:hAnsi="Cambria Math" w:cs="Times New Roman"/>
                  </w:rPr>
                  <m:t>cr</m:t>
                </m:r>
              </m:sub>
            </m:sSub>
          </m:e>
        </m:d>
        <m:r>
          <m:rPr>
            <m:sty m:val="p"/>
          </m:rPr>
          <w:rPr>
            <w:rFonts w:ascii="Cambria Math" w:hAnsi="Cambria Math" w:cs="Times New Roman"/>
          </w:rPr>
          <m:t xml:space="preserve"> ~ Ga </m:t>
        </m:r>
        <m:d>
          <m:dPr>
            <m:ctrlPr>
              <w:rPr>
                <w:rFonts w:ascii="Cambria Math" w:hAnsi="Cambria Math" w:cs="Times New Roman"/>
                <w:bCs/>
              </w:rPr>
            </m:ctrlPr>
          </m:dPr>
          <m:e>
            <m:f>
              <m:fPr>
                <m:ctrlPr>
                  <w:rPr>
                    <w:rFonts w:ascii="Cambria Math" w:hAnsi="Cambria Math" w:cs="Times New Roman"/>
                    <w:bCs/>
                  </w:rPr>
                </m:ctrlPr>
              </m:fPr>
              <m:num>
                <m:sSub>
                  <m:sSubPr>
                    <m:ctrlPr>
                      <w:rPr>
                        <w:rFonts w:ascii="Cambria Math" w:hAnsi="Cambria Math" w:cs="Times New Roman"/>
                        <w:bCs/>
                      </w:rPr>
                    </m:ctrlPr>
                  </m:sSubPr>
                  <m:e>
                    <m:r>
                      <m:rPr>
                        <m:sty m:val="p"/>
                      </m:rPr>
                      <w:rPr>
                        <w:rFonts w:ascii="Cambria Math" w:hAnsi="Cambria Math" w:cs="Times New Roman"/>
                      </w:rPr>
                      <m:t>v</m:t>
                    </m:r>
                  </m:e>
                  <m:sub>
                    <m:r>
                      <w:rPr>
                        <w:rFonts w:ascii="Cambria Math" w:hAnsi="Cambria Math" w:cs="Times New Roman"/>
                      </w:rPr>
                      <m:t>cr</m:t>
                    </m:r>
                  </m:sub>
                </m:sSub>
              </m:num>
              <m:den>
                <m:r>
                  <m:rPr>
                    <m:sty m:val="p"/>
                  </m:rPr>
                  <w:rPr>
                    <w:rFonts w:ascii="Cambria Math" w:hAnsi="Cambria Math" w:cs="Times New Roman"/>
                  </w:rPr>
                  <m:t>2</m:t>
                </m:r>
              </m:den>
            </m:f>
            <m:r>
              <m:rPr>
                <m:sty m:val="p"/>
              </m:rPr>
              <w:rPr>
                <w:rFonts w:ascii="Cambria Math" w:hAnsi="Cambria Math" w:cs="Times New Roman"/>
              </w:rPr>
              <m:t>,</m:t>
            </m:r>
            <m:f>
              <m:fPr>
                <m:ctrlPr>
                  <w:rPr>
                    <w:rFonts w:ascii="Cambria Math" w:hAnsi="Cambria Math" w:cs="Times New Roman"/>
                    <w:bCs/>
                  </w:rPr>
                </m:ctrlPr>
              </m:fPr>
              <m:num>
                <m:sSub>
                  <m:sSubPr>
                    <m:ctrlPr>
                      <w:rPr>
                        <w:rFonts w:ascii="Cambria Math" w:hAnsi="Cambria Math" w:cs="Times New Roman"/>
                        <w:bCs/>
                      </w:rPr>
                    </m:ctrlPr>
                  </m:sSubPr>
                  <m:e>
                    <m:r>
                      <m:rPr>
                        <m:sty m:val="p"/>
                      </m:rPr>
                      <w:rPr>
                        <w:rFonts w:ascii="Cambria Math" w:hAnsi="Cambria Math" w:cs="Times New Roman"/>
                      </w:rPr>
                      <m:t>v</m:t>
                    </m:r>
                  </m:e>
                  <m:sub>
                    <m:r>
                      <w:rPr>
                        <w:rFonts w:ascii="Cambria Math" w:hAnsi="Cambria Math" w:cs="Times New Roman"/>
                      </w:rPr>
                      <m:t>cr</m:t>
                    </m:r>
                  </m:sub>
                </m:sSub>
              </m:num>
              <m:den>
                <m:r>
                  <m:rPr>
                    <m:sty m:val="p"/>
                  </m:rPr>
                  <w:rPr>
                    <w:rFonts w:ascii="Cambria Math" w:hAnsi="Cambria Math" w:cs="Times New Roman"/>
                  </w:rPr>
                  <m:t>2</m:t>
                </m:r>
              </m:den>
            </m:f>
          </m:e>
        </m:d>
      </m:oMath>
      <w:r w:rsidRPr="00C21B42">
        <w:rPr>
          <w:rFonts w:ascii="Times New Roman" w:hAnsi="Times New Roman" w:cs="Times New Roman"/>
          <w:bCs/>
        </w:rPr>
        <w:t xml:space="preserve">  </w:t>
      </w:r>
      <m:oMath>
        <m:r>
          <m:rPr>
            <m:sty m:val="p"/>
          </m:rPr>
          <w:rPr>
            <w:rFonts w:ascii="Cambria Math" w:hAnsi="Cambria Math" w:cs="Times New Roman"/>
          </w:rPr>
          <m:t>a</m:t>
        </m:r>
      </m:oMath>
      <w:r w:rsidRPr="00C21B42">
        <w:rPr>
          <w:rFonts w:ascii="Times New Roman" w:hAnsi="Times New Roman" w:cs="Times New Roman"/>
          <w:bCs/>
        </w:rPr>
        <w:t xml:space="preserve">nd the expression  </w:t>
      </w:r>
      <m:oMath>
        <m:sSub>
          <m:sSubPr>
            <m:ctrlPr>
              <w:rPr>
                <w:rFonts w:ascii="Cambria Math" w:hAnsi="Cambria Math" w:cs="Times New Roman"/>
                <w:bCs/>
              </w:rPr>
            </m:ctrlPr>
          </m:sSubPr>
          <m:e>
            <m:r>
              <m:rPr>
                <m:sty m:val="p"/>
              </m:rPr>
              <w:rPr>
                <w:rFonts w:ascii="Cambria Math" w:hAnsi="Cambria Math" w:cs="Times New Roman"/>
              </w:rPr>
              <m:t>ϵ</m:t>
            </m:r>
          </m:e>
          <m:sub>
            <m:r>
              <w:rPr>
                <w:rFonts w:ascii="Cambria Math" w:hAnsi="Cambria Math" w:cs="Times New Roman"/>
              </w:rPr>
              <m:t>gcr</m:t>
            </m:r>
          </m:sub>
        </m:sSub>
        <m:r>
          <m:rPr>
            <m:sty m:val="p"/>
          </m:rPr>
          <w:rPr>
            <w:rFonts w:ascii="Cambria Math" w:hAnsi="Cambria Math" w:cs="Times New Roman"/>
          </w:rPr>
          <m:t>/</m:t>
        </m:r>
        <m:rad>
          <m:radPr>
            <m:degHide m:val="1"/>
            <m:ctrlPr>
              <w:rPr>
                <w:rFonts w:ascii="Cambria Math" w:hAnsi="Cambria Math" w:cs="Times New Roman"/>
                <w:bCs/>
              </w:rPr>
            </m:ctrlPr>
          </m:radPr>
          <m:deg/>
          <m:e>
            <m:sSub>
              <m:sSubPr>
                <m:ctrlPr>
                  <w:rPr>
                    <w:rFonts w:ascii="Cambria Math" w:hAnsi="Cambria Math" w:cs="Times New Roman"/>
                    <w:bCs/>
                  </w:rPr>
                </m:ctrlPr>
              </m:sSubPr>
              <m:e>
                <m:r>
                  <m:rPr>
                    <m:sty m:val="p"/>
                  </m:rPr>
                  <w:rPr>
                    <w:rFonts w:ascii="Cambria Math" w:hAnsi="Cambria Math" w:cs="Times New Roman"/>
                  </w:rPr>
                  <m:t>w</m:t>
                </m:r>
              </m:e>
              <m:sub>
                <m:r>
                  <w:rPr>
                    <w:rFonts w:ascii="Cambria Math" w:hAnsi="Cambria Math" w:cs="Times New Roman"/>
                  </w:rPr>
                  <m:t>gcr</m:t>
                </m:r>
              </m:sub>
            </m:sSub>
          </m:e>
        </m:rad>
      </m:oMath>
      <w:r w:rsidRPr="00C21B42">
        <w:rPr>
          <w:rFonts w:ascii="Times New Roman" w:hAnsi="Times New Roman" w:cs="Times New Roman"/>
          <w:bCs/>
        </w:rPr>
        <w:t xml:space="preserve">  has a t-distribution with </w:t>
      </w:r>
      <m:oMath>
        <m:sSub>
          <m:sSubPr>
            <m:ctrlPr>
              <w:rPr>
                <w:rFonts w:ascii="Cambria Math" w:hAnsi="Cambria Math" w:cs="Times New Roman"/>
                <w:bCs/>
              </w:rPr>
            </m:ctrlPr>
          </m:sSubPr>
          <m:e>
            <m:r>
              <m:rPr>
                <m:sty m:val="p"/>
              </m:rPr>
              <w:rPr>
                <w:rFonts w:ascii="Cambria Math" w:hAnsi="Cambria Math" w:cs="Times New Roman"/>
              </w:rPr>
              <m:t>v</m:t>
            </m:r>
          </m:e>
          <m:sub>
            <m:r>
              <w:rPr>
                <w:rFonts w:ascii="Cambria Math" w:hAnsi="Cambria Math" w:cs="Times New Roman"/>
              </w:rPr>
              <m:t>cr</m:t>
            </m:r>
          </m:sub>
        </m:sSub>
      </m:oMath>
      <w:r w:rsidRPr="00C21B42">
        <w:rPr>
          <w:rFonts w:ascii="Times New Roman" w:hAnsi="Times New Roman" w:cs="Times New Roman"/>
          <w:bCs/>
        </w:rPr>
        <w:t xml:space="preserve"> degrees-of-freedom (df) and scale parameter </w:t>
      </w:r>
      <m:oMath>
        <m:sSup>
          <m:sSupPr>
            <m:ctrlPr>
              <w:rPr>
                <w:rFonts w:ascii="Cambria Math" w:hAnsi="Cambria Math" w:cs="Times New Roman"/>
                <w:bCs/>
              </w:rPr>
            </m:ctrlPr>
          </m:sSupPr>
          <m:e>
            <m:sSub>
              <m:sSubPr>
                <m:ctrlPr>
                  <w:rPr>
                    <w:rFonts w:ascii="Cambria Math" w:hAnsi="Cambria Math" w:cs="Times New Roman"/>
                    <w:bCs/>
                  </w:rPr>
                </m:ctrlPr>
              </m:sSubPr>
              <m:e>
                <m:sSub>
                  <m:sSubPr>
                    <m:ctrlPr>
                      <w:rPr>
                        <w:rFonts w:ascii="Cambria Math" w:hAnsi="Cambria Math" w:cs="Times New Roman"/>
                        <w:bCs/>
                      </w:rPr>
                    </m:ctrlPr>
                  </m:sSubPr>
                  <m:e>
                    <m:r>
                      <m:rPr>
                        <m:sty m:val="p"/>
                      </m:rPr>
                      <w:rPr>
                        <w:rFonts w:ascii="Cambria Math" w:hAnsi="Cambria Math" w:cs="Times New Roman"/>
                      </w:rPr>
                      <m:t>λ</m:t>
                    </m:r>
                  </m:e>
                  <m:sub>
                    <m:r>
                      <m:rPr>
                        <m:sty m:val="p"/>
                      </m:rPr>
                      <w:rPr>
                        <w:rFonts w:ascii="Cambria Math" w:hAnsi="Cambria Math" w:cs="Times New Roman"/>
                      </w:rPr>
                      <m:t>ϵ</m:t>
                    </m:r>
                  </m:sub>
                </m:sSub>
              </m:e>
              <m:sub>
                <m:r>
                  <w:rPr>
                    <w:rFonts w:ascii="Cambria Math" w:hAnsi="Cambria Math" w:cs="Times New Roman"/>
                  </w:rPr>
                  <m:t>gcr</m:t>
                </m:r>
              </m:sub>
            </m:sSub>
          </m:e>
          <m:sup>
            <m:r>
              <m:rPr>
                <m:sty m:val="p"/>
              </m:rPr>
              <w:rPr>
                <w:rFonts w:ascii="Cambria Math" w:hAnsi="Cambria Math" w:cs="Times New Roman"/>
              </w:rPr>
              <m:t>-1</m:t>
            </m:r>
          </m:sup>
        </m:sSup>
      </m:oMath>
      <w:r w:rsidRPr="00C21B42">
        <w:rPr>
          <w:rFonts w:ascii="Times New Roman" w:eastAsiaTheme="minorEastAsia" w:hAnsi="Times New Roman" w:cs="Times New Roman"/>
          <w:bCs/>
        </w:rPr>
        <w:t xml:space="preserve">. </w:t>
      </w:r>
      <w:r w:rsidRPr="00C21B42">
        <w:rPr>
          <w:rFonts w:ascii="Times New Roman" w:hAnsi="Times New Roman" w:cs="Times New Roman"/>
          <w:bCs/>
        </w:rPr>
        <w:t xml:space="preserve">The effect of </w:t>
      </w:r>
      <m:oMath>
        <m:sSup>
          <m:sSupPr>
            <m:ctrlPr>
              <w:rPr>
                <w:rFonts w:ascii="Cambria Math" w:hAnsi="Cambria Math" w:cs="Times New Roman"/>
                <w:bCs/>
              </w:rPr>
            </m:ctrlPr>
          </m:sSupPr>
          <m:e>
            <m:r>
              <w:rPr>
                <w:rFonts w:ascii="Cambria Math" w:hAnsi="Cambria Math" w:cs="Times New Roman"/>
              </w:rPr>
              <m:t>c</m:t>
            </m:r>
          </m:e>
          <m:sup>
            <m:r>
              <m:rPr>
                <m:sty m:val="p"/>
              </m:rPr>
              <w:rPr>
                <w:rFonts w:ascii="Cambria Math" w:hAnsi="Cambria Math" w:cs="Times New Roman"/>
              </w:rPr>
              <m:t>th</m:t>
            </m:r>
          </m:sup>
        </m:sSup>
      </m:oMath>
      <w:r w:rsidRPr="00C21B42">
        <w:rPr>
          <w:rFonts w:ascii="Times New Roman" w:hAnsi="Times New Roman" w:cs="Times New Roman"/>
          <w:bCs/>
        </w:rPr>
        <w:t xml:space="preserve"> experimental-condition on </w:t>
      </w:r>
      <m:oMath>
        <m:sSup>
          <m:sSupPr>
            <m:ctrlPr>
              <w:rPr>
                <w:rFonts w:ascii="Cambria Math" w:hAnsi="Cambria Math" w:cs="Times New Roman"/>
                <w:bCs/>
              </w:rPr>
            </m:ctrlPr>
          </m:sSupPr>
          <m:e>
            <m:r>
              <w:rPr>
                <w:rFonts w:ascii="Cambria Math" w:hAnsi="Cambria Math" w:cs="Times New Roman"/>
              </w:rPr>
              <m:t>g</m:t>
            </m:r>
          </m:e>
          <m:sup>
            <m:r>
              <m:rPr>
                <m:sty m:val="p"/>
              </m:rPr>
              <w:rPr>
                <w:rFonts w:ascii="Cambria Math" w:hAnsi="Cambria Math" w:cs="Times New Roman"/>
              </w:rPr>
              <m:t>th</m:t>
            </m:r>
          </m:sup>
        </m:sSup>
      </m:oMath>
      <w:r w:rsidRPr="00C21B42">
        <w:rPr>
          <w:rFonts w:ascii="Times New Roman" w:hAnsi="Times New Roman" w:cs="Times New Roman"/>
          <w:bCs/>
        </w:rPr>
        <w:t xml:space="preserve"> gene is modeled </w:t>
      </w:r>
      <m:oMath>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gc</m:t>
            </m:r>
          </m:sub>
        </m:sSub>
      </m:oMath>
      <w:r w:rsidRPr="00C21B42">
        <w:rPr>
          <w:rFonts w:ascii="Times New Roman" w:hAnsi="Times New Roman" w:cs="Times New Roman"/>
          <w:bCs/>
        </w:rPr>
        <w:t xml:space="preserve"> in equation (1) as a random effect consisting of two Gaussian-distributions (GW) that are mutually unique,</w:t>
      </w:r>
    </w:p>
    <w:p w14:paraId="1A70A51E" w14:textId="77777777" w:rsidR="003C6347" w:rsidRPr="00C21B42" w:rsidRDefault="00000000" w:rsidP="003C6347">
      <w:pPr>
        <w:spacing w:line="360" w:lineRule="auto"/>
        <w:jc w:val="both"/>
        <w:rPr>
          <w:rFonts w:ascii="Times New Roman" w:hAnsi="Times New Roman" w:cs="Times New Roman"/>
          <w:bCs/>
        </w:rPr>
      </w:pPr>
      <m:oMath>
        <m:sSub>
          <m:sSubPr>
            <m:ctrlPr>
              <w:rPr>
                <w:rFonts w:ascii="Cambria Math" w:hAnsi="Cambria Math" w:cs="Times New Roman"/>
                <w:bCs/>
                <w:sz w:val="18"/>
                <w:szCs w:val="18"/>
              </w:rPr>
            </m:ctrlPr>
          </m:sSubPr>
          <m:e>
            <m:r>
              <m:rPr>
                <m:sty m:val="p"/>
              </m:rPr>
              <w:rPr>
                <w:rFonts w:ascii="Cambria Math" w:hAnsi="Cambria Math" w:cs="Times New Roman"/>
                <w:sz w:val="18"/>
                <w:szCs w:val="18"/>
              </w:rPr>
              <m:t>( γ</m:t>
            </m:r>
          </m:e>
          <m:sub>
            <m:r>
              <w:rPr>
                <w:rFonts w:ascii="Cambria Math" w:hAnsi="Cambria Math" w:cs="Times New Roman"/>
                <w:sz w:val="18"/>
                <w:szCs w:val="18"/>
              </w:rPr>
              <m:t>g</m:t>
            </m:r>
          </m:sub>
        </m:sSub>
        <m:d>
          <m:dPr>
            <m:begChr m:val="|"/>
            <m:ctrlPr>
              <w:rPr>
                <w:rFonts w:ascii="Cambria Math" w:hAnsi="Cambria Math" w:cs="Times New Roman"/>
                <w:bCs/>
                <w:sz w:val="18"/>
                <w:szCs w:val="18"/>
              </w:rPr>
            </m:ctrlPr>
          </m:dPr>
          <m:e>
            <m:sSub>
              <m:sSubPr>
                <m:ctrlPr>
                  <w:rPr>
                    <w:rFonts w:ascii="Cambria Math" w:hAnsi="Cambria Math" w:cs="Times New Roman"/>
                    <w:bCs/>
                    <w:sz w:val="18"/>
                    <w:szCs w:val="18"/>
                  </w:rPr>
                </m:ctrlPr>
              </m:sSubPr>
              <m:e>
                <m:r>
                  <m:rPr>
                    <m:sty m:val="p"/>
                  </m:rPr>
                  <w:rPr>
                    <w:rFonts w:ascii="Cambria Math" w:hAnsi="Cambria Math" w:cs="Times New Roman"/>
                    <w:sz w:val="18"/>
                    <w:szCs w:val="18"/>
                  </w:rPr>
                  <m:t>λ</m:t>
                </m:r>
              </m:e>
              <m:sub>
                <m:r>
                  <m:rPr>
                    <m:sty m:val="p"/>
                  </m:rPr>
                  <w:rPr>
                    <w:rFonts w:ascii="Cambria Math" w:hAnsi="Cambria Math" w:cs="Times New Roman"/>
                    <w:sz w:val="18"/>
                    <w:szCs w:val="18"/>
                  </w:rPr>
                  <m:t>g</m:t>
                </m:r>
              </m:sub>
            </m:sSub>
            <m:r>
              <m:rPr>
                <m:sty m:val="p"/>
              </m:rPr>
              <w:rPr>
                <w:rFonts w:ascii="Cambria Math" w:hAnsi="Cambria Math" w:cs="Times New Roman"/>
                <w:sz w:val="18"/>
                <w:szCs w:val="18"/>
              </w:rPr>
              <m:t>, p</m:t>
            </m:r>
          </m:e>
        </m:d>
        <m:r>
          <m:rPr>
            <m:sty m:val="p"/>
          </m:rPr>
          <w:rPr>
            <w:rFonts w:ascii="Cambria Math" w:hAnsi="Cambria Math" w:cs="Times New Roman"/>
            <w:sz w:val="18"/>
            <w:szCs w:val="18"/>
          </w:rPr>
          <m:t xml:space="preserve"> ~ </m:t>
        </m:r>
        <m:d>
          <m:dPr>
            <m:ctrlPr>
              <w:rPr>
                <w:rFonts w:ascii="Cambria Math" w:hAnsi="Cambria Math" w:cs="Times New Roman"/>
                <w:bCs/>
                <w:sz w:val="18"/>
                <w:szCs w:val="18"/>
              </w:rPr>
            </m:ctrlPr>
          </m:dPr>
          <m:e>
            <m:r>
              <m:rPr>
                <m:sty m:val="p"/>
              </m:rPr>
              <w:rPr>
                <w:rFonts w:ascii="Cambria Math" w:hAnsi="Cambria Math" w:cs="Times New Roman"/>
                <w:sz w:val="18"/>
                <w:szCs w:val="18"/>
              </w:rPr>
              <m:t>1-p</m:t>
            </m:r>
          </m:e>
        </m:d>
        <m:r>
          <m:rPr>
            <m:sty m:val="p"/>
          </m:rPr>
          <w:rPr>
            <w:rFonts w:ascii="Cambria Math" w:hAnsi="Cambria Math" w:cs="Times New Roman"/>
            <w:sz w:val="18"/>
            <w:szCs w:val="18"/>
          </w:rPr>
          <m:t>*N</m:t>
        </m:r>
        <m:d>
          <m:dPr>
            <m:ctrlPr>
              <w:rPr>
                <w:rFonts w:ascii="Cambria Math" w:hAnsi="Cambria Math" w:cs="Times New Roman"/>
                <w:bCs/>
                <w:sz w:val="18"/>
                <w:szCs w:val="18"/>
              </w:rPr>
            </m:ctrlPr>
          </m:dPr>
          <m:e>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g1</m:t>
                </m:r>
              </m:sub>
            </m:sSub>
          </m:e>
          <m:e>
            <m:r>
              <m:rPr>
                <m:sty m:val="p"/>
              </m:rPr>
              <w:rPr>
                <w:rFonts w:ascii="Cambria Math" w:hAnsi="Cambria Math" w:cs="Times New Roman"/>
                <w:sz w:val="18"/>
                <w:szCs w:val="18"/>
              </w:rPr>
              <m:t>0,</m:t>
            </m:r>
            <m:sSup>
              <m:sSupPr>
                <m:ctrlPr>
                  <w:rPr>
                    <w:rFonts w:ascii="Cambria Math" w:hAnsi="Cambria Math" w:cs="Times New Roman"/>
                    <w:bCs/>
                    <w:sz w:val="18"/>
                    <w:szCs w:val="18"/>
                  </w:rPr>
                </m:ctrlPr>
              </m:sSupPr>
              <m:e>
                <m:sSub>
                  <m:sSubPr>
                    <m:ctrlPr>
                      <w:rPr>
                        <w:rFonts w:ascii="Cambria Math" w:hAnsi="Cambria Math" w:cs="Times New Roman"/>
                        <w:bCs/>
                        <w:sz w:val="18"/>
                        <w:szCs w:val="18"/>
                      </w:rPr>
                    </m:ctrlPr>
                  </m:sSubPr>
                  <m:e>
                    <m:r>
                      <m:rPr>
                        <m:sty m:val="p"/>
                      </m:rPr>
                      <w:rPr>
                        <w:rFonts w:ascii="Cambria Math" w:hAnsi="Cambria Math" w:cs="Times New Roman"/>
                        <w:sz w:val="18"/>
                        <w:szCs w:val="18"/>
                      </w:rPr>
                      <m:t>λ</m:t>
                    </m:r>
                  </m:e>
                  <m:sub>
                    <m:r>
                      <w:rPr>
                        <w:rFonts w:ascii="Cambria Math" w:hAnsi="Cambria Math" w:cs="Times New Roman"/>
                        <w:sz w:val="18"/>
                        <w:szCs w:val="18"/>
                      </w:rPr>
                      <m:t>γ12</m:t>
                    </m:r>
                  </m:sub>
                </m:sSub>
              </m:e>
              <m:sup>
                <m:r>
                  <m:rPr>
                    <m:sty m:val="p"/>
                  </m:rPr>
                  <w:rPr>
                    <w:rFonts w:ascii="Cambria Math" w:hAnsi="Cambria Math" w:cs="Times New Roman"/>
                    <w:sz w:val="18"/>
                    <w:szCs w:val="18"/>
                  </w:rPr>
                  <m:t>-1</m:t>
                </m:r>
              </m:sup>
            </m:sSup>
          </m:e>
        </m:d>
        <m:r>
          <m:rPr>
            <m:sty m:val="p"/>
          </m:rPr>
          <w:rPr>
            <w:rFonts w:ascii="Cambria Math" w:hAnsi="Cambria Math" w:cs="Times New Roman"/>
            <w:sz w:val="18"/>
            <w:szCs w:val="18"/>
          </w:rPr>
          <m:t>*</m:t>
        </m:r>
        <m:r>
          <m:rPr>
            <m:sty m:val="b"/>
          </m:rPr>
          <w:rPr>
            <w:rFonts w:ascii="Cambria Math" w:hAnsi="Cambria Math" w:cs="Times New Roman"/>
            <w:sz w:val="18"/>
            <w:szCs w:val="18"/>
          </w:rPr>
          <m:t>1</m:t>
        </m:r>
        <m:d>
          <m:dPr>
            <m:ctrlPr>
              <w:rPr>
                <w:rFonts w:ascii="Cambria Math" w:hAnsi="Cambria Math" w:cs="Times New Roman"/>
                <w:bCs/>
                <w:sz w:val="18"/>
                <w:szCs w:val="18"/>
              </w:rPr>
            </m:ctrlPr>
          </m:dPr>
          <m:e>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g1</m:t>
                </m:r>
              </m:sub>
            </m:sSub>
            <m:r>
              <m:rPr>
                <m:sty m:val="p"/>
              </m:rPr>
              <w:rPr>
                <w:rFonts w:ascii="Cambria Math" w:hAnsi="Cambria Math" w:cs="Times New Roman"/>
                <w:sz w:val="18"/>
                <w:szCs w:val="18"/>
              </w:rPr>
              <m:t>=</m:t>
            </m:r>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g2</m:t>
                </m:r>
              </m:sub>
            </m:sSub>
          </m:e>
        </m:d>
        <m:r>
          <m:rPr>
            <m:sty m:val="p"/>
          </m:rPr>
          <w:rPr>
            <w:rFonts w:ascii="Cambria Math" w:hAnsi="Cambria Math" w:cs="Times New Roman"/>
            <w:sz w:val="18"/>
            <w:szCs w:val="18"/>
          </w:rPr>
          <m:t>+  p*N</m:t>
        </m:r>
        <m:d>
          <m:dPr>
            <m:ctrlPr>
              <w:rPr>
                <w:rFonts w:ascii="Cambria Math" w:hAnsi="Cambria Math" w:cs="Times New Roman"/>
                <w:bCs/>
                <w:sz w:val="18"/>
                <w:szCs w:val="18"/>
              </w:rPr>
            </m:ctrlPr>
          </m:dPr>
          <m:e>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g1</m:t>
                </m:r>
              </m:sub>
            </m:sSub>
          </m:e>
          <m:e>
            <m:r>
              <m:rPr>
                <m:sty m:val="p"/>
              </m:rPr>
              <w:rPr>
                <w:rFonts w:ascii="Cambria Math" w:hAnsi="Cambria Math" w:cs="Times New Roman"/>
                <w:sz w:val="18"/>
                <w:szCs w:val="18"/>
              </w:rPr>
              <m:t>0,</m:t>
            </m:r>
            <m:sSup>
              <m:sSupPr>
                <m:ctrlPr>
                  <w:rPr>
                    <w:rFonts w:ascii="Cambria Math" w:hAnsi="Cambria Math" w:cs="Times New Roman"/>
                    <w:bCs/>
                    <w:sz w:val="18"/>
                    <w:szCs w:val="18"/>
                  </w:rPr>
                </m:ctrlPr>
              </m:sSupPr>
              <m:e>
                <m:sSub>
                  <m:sSubPr>
                    <m:ctrlPr>
                      <w:rPr>
                        <w:rFonts w:ascii="Cambria Math" w:hAnsi="Cambria Math" w:cs="Times New Roman"/>
                        <w:bCs/>
                        <w:sz w:val="18"/>
                        <w:szCs w:val="18"/>
                      </w:rPr>
                    </m:ctrlPr>
                  </m:sSubPr>
                  <m:e>
                    <m:r>
                      <m:rPr>
                        <m:sty m:val="p"/>
                      </m:rPr>
                      <w:rPr>
                        <w:rFonts w:ascii="Cambria Math" w:hAnsi="Cambria Math" w:cs="Times New Roman"/>
                        <w:sz w:val="18"/>
                        <w:szCs w:val="18"/>
                      </w:rPr>
                      <m:t>λ</m:t>
                    </m:r>
                  </m:e>
                  <m:sub>
                    <m:r>
                      <w:rPr>
                        <w:rFonts w:ascii="Cambria Math" w:hAnsi="Cambria Math" w:cs="Times New Roman"/>
                        <w:sz w:val="18"/>
                        <w:szCs w:val="18"/>
                      </w:rPr>
                      <m:t>γ1</m:t>
                    </m:r>
                  </m:sub>
                </m:sSub>
              </m:e>
              <m:sup>
                <m:r>
                  <m:rPr>
                    <m:sty m:val="p"/>
                  </m:rPr>
                  <w:rPr>
                    <w:rFonts w:ascii="Cambria Math" w:hAnsi="Cambria Math" w:cs="Times New Roman"/>
                    <w:sz w:val="18"/>
                    <w:szCs w:val="18"/>
                  </w:rPr>
                  <m:t>-1</m:t>
                </m:r>
              </m:sup>
            </m:sSup>
          </m:e>
        </m:d>
        <m:r>
          <m:rPr>
            <m:sty m:val="p"/>
          </m:rPr>
          <w:rPr>
            <w:rFonts w:ascii="Cambria Math" w:hAnsi="Cambria Math" w:cs="Times New Roman"/>
            <w:sz w:val="18"/>
            <w:szCs w:val="18"/>
          </w:rPr>
          <m:t>*N</m:t>
        </m:r>
        <m:d>
          <m:dPr>
            <m:ctrlPr>
              <w:rPr>
                <w:rFonts w:ascii="Cambria Math" w:hAnsi="Cambria Math" w:cs="Times New Roman"/>
                <w:bCs/>
                <w:sz w:val="18"/>
                <w:szCs w:val="18"/>
              </w:rPr>
            </m:ctrlPr>
          </m:dPr>
          <m:e>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g2</m:t>
                </m:r>
              </m:sub>
            </m:sSub>
          </m:e>
          <m:e>
            <m:r>
              <m:rPr>
                <m:sty m:val="p"/>
              </m:rPr>
              <w:rPr>
                <w:rFonts w:ascii="Cambria Math" w:hAnsi="Cambria Math" w:cs="Times New Roman"/>
                <w:sz w:val="18"/>
                <w:szCs w:val="18"/>
              </w:rPr>
              <m:t>0,</m:t>
            </m:r>
            <m:sSup>
              <m:sSupPr>
                <m:ctrlPr>
                  <w:rPr>
                    <w:rFonts w:ascii="Cambria Math" w:hAnsi="Cambria Math" w:cs="Times New Roman"/>
                    <w:bCs/>
                    <w:sz w:val="18"/>
                    <w:szCs w:val="18"/>
                  </w:rPr>
                </m:ctrlPr>
              </m:sSupPr>
              <m:e>
                <m:sSub>
                  <m:sSubPr>
                    <m:ctrlPr>
                      <w:rPr>
                        <w:rFonts w:ascii="Cambria Math" w:hAnsi="Cambria Math" w:cs="Times New Roman"/>
                        <w:bCs/>
                        <w:sz w:val="18"/>
                        <w:szCs w:val="18"/>
                      </w:rPr>
                    </m:ctrlPr>
                  </m:sSubPr>
                  <m:e>
                    <m:r>
                      <m:rPr>
                        <m:sty m:val="p"/>
                      </m:rPr>
                      <w:rPr>
                        <w:rFonts w:ascii="Cambria Math" w:hAnsi="Cambria Math" w:cs="Times New Roman"/>
                        <w:sz w:val="18"/>
                        <w:szCs w:val="18"/>
                      </w:rPr>
                      <m:t>λ</m:t>
                    </m:r>
                  </m:e>
                  <m:sub>
                    <m:r>
                      <w:rPr>
                        <w:rFonts w:ascii="Cambria Math" w:hAnsi="Cambria Math" w:cs="Times New Roman"/>
                        <w:sz w:val="18"/>
                        <w:szCs w:val="18"/>
                      </w:rPr>
                      <m:t>γ2</m:t>
                    </m:r>
                  </m:sub>
                </m:sSub>
              </m:e>
              <m:sup>
                <m:r>
                  <m:rPr>
                    <m:sty m:val="p"/>
                  </m:rPr>
                  <w:rPr>
                    <w:rFonts w:ascii="Cambria Math" w:hAnsi="Cambria Math" w:cs="Times New Roman"/>
                    <w:sz w:val="18"/>
                    <w:szCs w:val="18"/>
                  </w:rPr>
                  <m:t>-1</m:t>
                </m:r>
              </m:sup>
            </m:sSup>
          </m:e>
        </m:d>
        <m:r>
          <m:rPr>
            <m:sty m:val="p"/>
          </m:rPr>
          <w:rPr>
            <w:rFonts w:ascii="Cambria Math" w:hAnsi="Cambria Math" w:cs="Times New Roman"/>
            <w:sz w:val="18"/>
            <w:szCs w:val="18"/>
          </w:rPr>
          <m:t>*</m:t>
        </m:r>
        <m:r>
          <m:rPr>
            <m:sty m:val="b"/>
          </m:rPr>
          <w:rPr>
            <w:rFonts w:ascii="Cambria Math" w:hAnsi="Cambria Math" w:cs="Times New Roman"/>
            <w:sz w:val="18"/>
            <w:szCs w:val="18"/>
          </w:rPr>
          <m:t>1</m:t>
        </m:r>
        <m:r>
          <m:rPr>
            <m:sty m:val="p"/>
          </m:rPr>
          <w:rPr>
            <w:rFonts w:ascii="Cambria Math" w:hAnsi="Cambria Math" w:cs="Times New Roman"/>
            <w:sz w:val="18"/>
            <w:szCs w:val="18"/>
          </w:rPr>
          <m:t>(</m:t>
        </m:r>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g1</m:t>
            </m:r>
          </m:sub>
        </m:sSub>
        <m:r>
          <m:rPr>
            <m:sty m:val="p"/>
          </m:rPr>
          <w:rPr>
            <w:rFonts w:ascii="Cambria Math" w:hAnsi="Cambria Math" w:cs="Times New Roman"/>
            <w:sz w:val="18"/>
            <w:szCs w:val="18"/>
          </w:rPr>
          <m:t>≠</m:t>
        </m:r>
        <m:sSub>
          <m:sSubPr>
            <m:ctrlPr>
              <w:rPr>
                <w:rFonts w:ascii="Cambria Math" w:hAnsi="Cambria Math" w:cs="Times New Roman"/>
                <w:bCs/>
                <w:sz w:val="18"/>
                <w:szCs w:val="18"/>
              </w:rPr>
            </m:ctrlPr>
          </m:sSubPr>
          <m:e>
            <m:r>
              <m:rPr>
                <m:sty m:val="p"/>
              </m:rPr>
              <w:rPr>
                <w:rFonts w:ascii="Cambria Math" w:hAnsi="Cambria Math" w:cs="Times New Roman"/>
                <w:sz w:val="18"/>
                <w:szCs w:val="18"/>
              </w:rPr>
              <m:t>γ</m:t>
            </m:r>
          </m:e>
          <m:sub>
            <m:r>
              <w:rPr>
                <w:rFonts w:ascii="Cambria Math" w:hAnsi="Cambria Math" w:cs="Times New Roman"/>
                <w:sz w:val="18"/>
                <w:szCs w:val="18"/>
              </w:rPr>
              <m:t>g2</m:t>
            </m:r>
          </m:sub>
        </m:sSub>
        <m:r>
          <m:rPr>
            <m:sty m:val="p"/>
          </m:rPr>
          <w:rPr>
            <w:rFonts w:ascii="Cambria Math" w:hAnsi="Cambria Math" w:cs="Times New Roman"/>
            <w:sz w:val="18"/>
            <w:szCs w:val="18"/>
          </w:rPr>
          <m:t>)</m:t>
        </m:r>
      </m:oMath>
      <w:r w:rsidR="003C6347" w:rsidRPr="00C21B42">
        <w:rPr>
          <w:rFonts w:ascii="Times New Roman" w:hAnsi="Times New Roman" w:cs="Times New Roman"/>
          <w:bCs/>
          <w:sz w:val="18"/>
          <w:szCs w:val="18"/>
        </w:rPr>
        <w:t xml:space="preserve"> … (2)</w:t>
      </w:r>
    </w:p>
    <w:p w14:paraId="6E7B1F7A" w14:textId="77777777" w:rsidR="003C6347" w:rsidRPr="00C21B42" w:rsidRDefault="003C6347" w:rsidP="003C6347">
      <w:pPr>
        <w:spacing w:line="360" w:lineRule="auto"/>
        <w:jc w:val="both"/>
        <w:rPr>
          <w:rFonts w:ascii="Times New Roman" w:hAnsi="Times New Roman" w:cs="Times New Roman"/>
          <w:b/>
        </w:rPr>
      </w:pPr>
      <w:r w:rsidRPr="00C21B42">
        <w:rPr>
          <w:rFonts w:ascii="Times New Roman" w:hAnsi="Times New Roman" w:cs="Times New Roman"/>
          <w:bCs/>
        </w:rPr>
        <w:t xml:space="preserve">where </w:t>
      </w:r>
      <m:oMath>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m:t>
            </m:r>
          </m:sub>
        </m:sSub>
        <m:r>
          <m:rPr>
            <m:sty m:val="p"/>
          </m:rPr>
          <w:rPr>
            <w:rFonts w:ascii="Cambria Math" w:hAnsi="Cambria Math" w:cs="Times New Roman"/>
          </w:rPr>
          <m:t>=</m:t>
        </m:r>
        <m:sSup>
          <m:sSupPr>
            <m:ctrlPr>
              <w:rPr>
                <w:rFonts w:ascii="Cambria Math" w:hAnsi="Cambria Math" w:cs="Times New Roman"/>
                <w:bCs/>
              </w:rPr>
            </m:ctrlPr>
          </m:sSupPr>
          <m:e>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g1</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g2</m:t>
                </m:r>
              </m:sub>
            </m:sSub>
            <m:r>
              <m:rPr>
                <m:sty m:val="p"/>
              </m:rPr>
              <w:rPr>
                <w:rFonts w:ascii="Cambria Math" w:hAnsi="Cambria Math" w:cs="Times New Roman"/>
              </w:rPr>
              <m:t>)</m:t>
            </m:r>
          </m:e>
          <m:sup>
            <m:r>
              <m:rPr>
                <m:sty m:val="p"/>
              </m:rPr>
              <w:rPr>
                <w:rFonts w:ascii="Cambria Math" w:hAnsi="Cambria Math" w:cs="Times New Roman"/>
              </w:rPr>
              <m:t>'</m:t>
            </m:r>
          </m:sup>
        </m:sSup>
        <m:r>
          <m:rPr>
            <m:sty m:val="p"/>
          </m:rPr>
          <w:rPr>
            <w:rFonts w:ascii="Cambria Math" w:hAnsi="Cambria Math" w:cs="Times New Roman"/>
          </w:rPr>
          <m:t xml:space="preserve">,  </m:t>
        </m:r>
        <m:sSub>
          <m:sSubPr>
            <m:ctrlPr>
              <w:rPr>
                <w:rFonts w:ascii="Cambria Math" w:hAnsi="Cambria Math" w:cs="Times New Roman"/>
                <w:bCs/>
              </w:rPr>
            </m:ctrlPr>
          </m:sSubPr>
          <m:e>
            <m:r>
              <m:rPr>
                <m:sty m:val="p"/>
              </m:rPr>
              <w:rPr>
                <w:rFonts w:ascii="Cambria Math" w:hAnsi="Cambria Math" w:cs="Times New Roman"/>
              </w:rPr>
              <m:t>λ</m:t>
            </m:r>
          </m:e>
          <m:sub>
            <m:r>
              <w:rPr>
                <w:rFonts w:ascii="Cambria Math" w:hAnsi="Cambria Math" w:cs="Times New Roman"/>
              </w:rPr>
              <m:t>γ</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λ</m:t>
            </m:r>
          </m:e>
          <m:sub>
            <m:r>
              <w:rPr>
                <w:rFonts w:ascii="Cambria Math" w:hAnsi="Cambria Math" w:cs="Times New Roman"/>
              </w:rPr>
              <m:t>γ1</m:t>
            </m:r>
          </m:sub>
        </m:sSub>
        <m:r>
          <m:rPr>
            <m:sty m:val="p"/>
          </m:rPr>
          <w:rPr>
            <w:rFonts w:ascii="Cambria Math" w:hAnsi="Cambria Math" w:cs="Times New Roman"/>
          </w:rPr>
          <m:t xml:space="preserve">, </m:t>
        </m:r>
        <m:sSub>
          <m:sSubPr>
            <m:ctrlPr>
              <w:rPr>
                <w:rFonts w:ascii="Cambria Math" w:hAnsi="Cambria Math" w:cs="Times New Roman"/>
                <w:bCs/>
              </w:rPr>
            </m:ctrlPr>
          </m:sSubPr>
          <m:e>
            <m:r>
              <m:rPr>
                <m:sty m:val="p"/>
              </m:rPr>
              <w:rPr>
                <w:rFonts w:ascii="Cambria Math" w:hAnsi="Cambria Math" w:cs="Times New Roman"/>
              </w:rPr>
              <m:t>λ</m:t>
            </m:r>
          </m:e>
          <m:sub>
            <m:r>
              <w:rPr>
                <w:rFonts w:ascii="Cambria Math" w:hAnsi="Cambria Math" w:cs="Times New Roman"/>
              </w:rPr>
              <m:t>γ2</m:t>
            </m:r>
          </m:sub>
        </m:sSub>
        <m:r>
          <m:rPr>
            <m:sty m:val="p"/>
          </m:rPr>
          <w:rPr>
            <w:rFonts w:ascii="Cambria Math" w:hAnsi="Cambria Math" w:cs="Times New Roman"/>
          </w:rPr>
          <m:t xml:space="preserve">, </m:t>
        </m:r>
        <m:sSub>
          <m:sSubPr>
            <m:ctrlPr>
              <w:rPr>
                <w:rFonts w:ascii="Cambria Math" w:hAnsi="Cambria Math" w:cs="Times New Roman"/>
                <w:bCs/>
              </w:rPr>
            </m:ctrlPr>
          </m:sSubPr>
          <m:e>
            <m:r>
              <m:rPr>
                <m:sty m:val="p"/>
              </m:rPr>
              <w:rPr>
                <w:rFonts w:ascii="Cambria Math" w:hAnsi="Cambria Math" w:cs="Times New Roman"/>
              </w:rPr>
              <m:t>λ</m:t>
            </m:r>
          </m:e>
          <m:sub>
            <m:r>
              <w:rPr>
                <w:rFonts w:ascii="Cambria Math" w:hAnsi="Cambria Math" w:cs="Times New Roman"/>
              </w:rPr>
              <m:t>γ12</m:t>
            </m:r>
          </m:sub>
        </m:sSub>
        <m:r>
          <m:rPr>
            <m:sty m:val="p"/>
          </m:rPr>
          <w:rPr>
            <w:rFonts w:ascii="Cambria Math" w:hAnsi="Cambria Math" w:cs="Times New Roman"/>
          </w:rPr>
          <m:t>)</m:t>
        </m:r>
      </m:oMath>
      <w:r w:rsidRPr="00C21B42">
        <w:rPr>
          <w:rFonts w:ascii="Times New Roman" w:hAnsi="Times New Roman" w:cs="Times New Roman"/>
          <w:bCs/>
        </w:rPr>
        <w:t xml:space="preserve">     and </w:t>
      </w:r>
      <w:r w:rsidRPr="00C21B42">
        <w:rPr>
          <w:rFonts w:ascii="Times New Roman" w:hAnsi="Times New Roman" w:cs="Times New Roman"/>
          <w:b/>
        </w:rPr>
        <w:t>1</w:t>
      </w:r>
      <w:r w:rsidRPr="00C21B42">
        <w:rPr>
          <w:rFonts w:ascii="Times New Roman" w:hAnsi="Times New Roman" w:cs="Times New Roman"/>
          <w:bCs/>
        </w:rPr>
        <w:t>(·) is an indicator function.</w:t>
      </w:r>
    </w:p>
    <w:p w14:paraId="04737247" w14:textId="77777777" w:rsidR="003C6347" w:rsidRPr="00C21B42" w:rsidRDefault="003C6347" w:rsidP="003C6347">
      <w:pPr>
        <w:spacing w:line="360" w:lineRule="auto"/>
        <w:jc w:val="both"/>
        <w:rPr>
          <w:rFonts w:ascii="Times New Roman" w:hAnsi="Times New Roman" w:cs="Times New Roman"/>
          <w:bCs/>
        </w:rPr>
      </w:pPr>
      <w:r w:rsidRPr="00C21B42">
        <w:rPr>
          <w:rFonts w:ascii="Times New Roman" w:hAnsi="Times New Roman" w:cs="Times New Roman"/>
          <w:bCs/>
        </w:rPr>
        <w:t xml:space="preserve">Using the Markov chain Monte Carlo (MCMC), inference will made based on the marginal-posterior probability of each </w:t>
      </w:r>
      <m:oMath>
        <m:sSup>
          <m:sSupPr>
            <m:ctrlPr>
              <w:rPr>
                <w:rFonts w:ascii="Cambria Math" w:hAnsi="Cambria Math" w:cs="Times New Roman"/>
                <w:bCs/>
              </w:rPr>
            </m:ctrlPr>
          </m:sSupPr>
          <m:e>
            <m:r>
              <w:rPr>
                <w:rFonts w:ascii="Cambria Math" w:hAnsi="Cambria Math" w:cs="Times New Roman"/>
              </w:rPr>
              <m:t>g</m:t>
            </m:r>
          </m:e>
          <m:sup>
            <m:r>
              <m:rPr>
                <m:sty m:val="p"/>
              </m:rPr>
              <w:rPr>
                <w:rFonts w:ascii="Cambria Math" w:hAnsi="Cambria Math" w:cs="Times New Roman"/>
              </w:rPr>
              <m:t>th</m:t>
            </m:r>
          </m:sup>
        </m:sSup>
      </m:oMath>
      <w:r w:rsidRPr="00C21B42">
        <w:rPr>
          <w:rFonts w:ascii="Times New Roman" w:hAnsi="Times New Roman" w:cs="Times New Roman"/>
          <w:bCs/>
        </w:rPr>
        <w:t xml:space="preserve"> DEGs corresponding to the posterior-probability that </w:t>
      </w:r>
      <m:oMath>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m:t>
            </m:r>
            <m:r>
              <m:rPr>
                <m:sty m:val="p"/>
              </m:rPr>
              <w:rPr>
                <w:rFonts w:ascii="Cambria Math" w:hAnsi="Cambria Math" w:cs="Times New Roman"/>
              </w:rPr>
              <m:t>1</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m:t>
            </m:r>
            <m:r>
              <m:rPr>
                <m:sty m:val="p"/>
              </m:rPr>
              <w:rPr>
                <w:rFonts w:ascii="Cambria Math" w:hAnsi="Cambria Math" w:cs="Times New Roman"/>
              </w:rPr>
              <m:t>2</m:t>
            </m:r>
          </m:sub>
        </m:sSub>
      </m:oMath>
      <w:r w:rsidRPr="00C21B42">
        <w:rPr>
          <w:rFonts w:ascii="Times New Roman" w:hAnsi="Times New Roman" w:cs="Times New Roman"/>
          <w:bCs/>
        </w:rPr>
        <w:t xml:space="preserve"> given the data. Let, S be the posterior sample of size B. Then, the posterior probability (PostP) can be estimated by,</w:t>
      </w:r>
    </w:p>
    <w:p w14:paraId="5BF3B115" w14:textId="77777777" w:rsidR="003C6347" w:rsidRPr="00C21B42" w:rsidRDefault="003C6347" w:rsidP="003C6347">
      <w:pPr>
        <w:spacing w:line="360" w:lineRule="auto"/>
        <w:jc w:val="both"/>
        <w:rPr>
          <w:rFonts w:ascii="Times New Roman" w:hAnsi="Times New Roman" w:cs="Times New Roman"/>
          <w:bCs/>
        </w:rPr>
      </w:pPr>
      <m:oMathPara>
        <m:oMath>
          <m:r>
            <m:rPr>
              <m:sty m:val="p"/>
            </m:rPr>
            <w:rPr>
              <w:rFonts w:ascii="Cambria Math" w:hAnsi="Cambria Math" w:cs="Times New Roman"/>
            </w:rPr>
            <w:lastRenderedPageBreak/>
            <m:t>PostP=</m:t>
          </m:r>
          <m:f>
            <m:fPr>
              <m:ctrlPr>
                <w:rPr>
                  <w:rFonts w:ascii="Cambria Math" w:hAnsi="Cambria Math" w:cs="Times New Roman"/>
                  <w:bCs/>
                </w:rPr>
              </m:ctrlPr>
            </m:fPr>
            <m:num>
              <m:r>
                <m:rPr>
                  <m:sty m:val="p"/>
                </m:rPr>
                <w:rPr>
                  <w:rFonts w:ascii="Cambria Math" w:hAnsi="Cambria Math" w:cs="Times New Roman"/>
                </w:rPr>
                <m:t>1</m:t>
              </m:r>
            </m:num>
            <m:den>
              <m:r>
                <m:rPr>
                  <m:sty m:val="p"/>
                </m:rPr>
                <w:rPr>
                  <w:rFonts w:ascii="Cambria Math" w:hAnsi="Cambria Math" w:cs="Times New Roman"/>
                </w:rPr>
                <m:t>Β</m:t>
              </m:r>
            </m:den>
          </m:f>
          <m:nary>
            <m:naryPr>
              <m:chr m:val="∑"/>
              <m:limLoc m:val="subSup"/>
              <m:supHide m:val="1"/>
              <m:ctrlPr>
                <w:rPr>
                  <w:rFonts w:ascii="Cambria Math" w:eastAsiaTheme="minorEastAsia" w:hAnsi="Cambria Math" w:cs="Times New Roman"/>
                  <w:bCs/>
                </w:rPr>
              </m:ctrlPr>
            </m:naryPr>
            <m:sub>
              <m:r>
                <m:rPr>
                  <m:sty m:val="p"/>
                </m:rPr>
                <w:rPr>
                  <w:rFonts w:ascii="Cambria Math" w:eastAsiaTheme="minorEastAsia" w:hAnsi="Cambria Math" w:cs="Times New Roman"/>
                </w:rPr>
                <m:t>k∈S</m:t>
              </m:r>
            </m:sub>
            <m:sup/>
            <m:e>
              <m:r>
                <m:rPr>
                  <m:sty m:val="p"/>
                </m:rPr>
                <w:rPr>
                  <w:rFonts w:ascii="Cambria Math" w:eastAsiaTheme="minorEastAsia" w:hAnsi="Cambria Math" w:cs="Times New Roman"/>
                </w:rPr>
                <m:t>1[</m:t>
              </m:r>
              <m:sSubSup>
                <m:sSubSupPr>
                  <m:ctrlPr>
                    <w:rPr>
                      <w:rFonts w:ascii="Cambria Math" w:eastAsiaTheme="minorEastAsia" w:hAnsi="Cambria Math" w:cs="Times New Roman"/>
                      <w:bCs/>
                    </w:rPr>
                  </m:ctrlPr>
                </m:sSubSupPr>
                <m:e>
                  <m:r>
                    <m:rPr>
                      <m:sty m:val="p"/>
                    </m:rPr>
                    <w:rPr>
                      <w:rFonts w:ascii="Cambria Math" w:eastAsiaTheme="minorEastAsia" w:hAnsi="Cambria Math" w:cs="Times New Roman"/>
                    </w:rPr>
                    <m:t>γ</m:t>
                  </m:r>
                </m:e>
                <m:sub>
                  <m:r>
                    <w:rPr>
                      <w:rFonts w:ascii="Cambria Math" w:eastAsiaTheme="minorEastAsia" w:hAnsi="Cambria Math" w:cs="Times New Roman"/>
                    </w:rPr>
                    <m:t>g1</m:t>
                  </m:r>
                </m:sub>
                <m:sup>
                  <m:d>
                    <m:dPr>
                      <m:ctrlPr>
                        <w:rPr>
                          <w:rFonts w:ascii="Cambria Math" w:eastAsiaTheme="minorEastAsia" w:hAnsi="Cambria Math" w:cs="Times New Roman"/>
                          <w:bCs/>
                        </w:rPr>
                      </m:ctrlPr>
                    </m:dPr>
                    <m:e>
                      <m:r>
                        <m:rPr>
                          <m:sty m:val="p"/>
                        </m:rPr>
                        <w:rPr>
                          <w:rFonts w:ascii="Cambria Math" w:eastAsiaTheme="minorEastAsia" w:hAnsi="Cambria Math" w:cs="Times New Roman"/>
                        </w:rPr>
                        <m:t>k</m:t>
                      </m:r>
                    </m:e>
                  </m:d>
                </m:sup>
              </m:sSubSup>
              <m:r>
                <m:rPr>
                  <m:sty m:val="p"/>
                </m:rPr>
                <w:rPr>
                  <w:rFonts w:ascii="Cambria Math" w:eastAsiaTheme="minorEastAsia" w:hAnsi="Cambria Math" w:cs="Times New Roman"/>
                </w:rPr>
                <m:t>≠</m:t>
              </m:r>
              <m:sSubSup>
                <m:sSubSupPr>
                  <m:ctrlPr>
                    <w:rPr>
                      <w:rFonts w:ascii="Cambria Math" w:eastAsiaTheme="minorEastAsia" w:hAnsi="Cambria Math" w:cs="Times New Roman"/>
                      <w:bCs/>
                    </w:rPr>
                  </m:ctrlPr>
                </m:sSubSupPr>
                <m:e>
                  <m:r>
                    <m:rPr>
                      <m:sty m:val="p"/>
                    </m:rPr>
                    <w:rPr>
                      <w:rFonts w:ascii="Cambria Math" w:eastAsiaTheme="minorEastAsia" w:hAnsi="Cambria Math" w:cs="Times New Roman"/>
                    </w:rPr>
                    <m:t>γ</m:t>
                  </m:r>
                </m:e>
                <m:sub>
                  <m:r>
                    <w:rPr>
                      <w:rFonts w:ascii="Cambria Math" w:eastAsiaTheme="minorEastAsia" w:hAnsi="Cambria Math" w:cs="Times New Roman"/>
                    </w:rPr>
                    <m:t>g2</m:t>
                  </m:r>
                </m:sub>
                <m:sup>
                  <m:d>
                    <m:dPr>
                      <m:ctrlPr>
                        <w:rPr>
                          <w:rFonts w:ascii="Cambria Math" w:eastAsiaTheme="minorEastAsia" w:hAnsi="Cambria Math" w:cs="Times New Roman"/>
                          <w:bCs/>
                        </w:rPr>
                      </m:ctrlPr>
                    </m:dPr>
                    <m:e>
                      <m:r>
                        <m:rPr>
                          <m:sty m:val="p"/>
                        </m:rPr>
                        <w:rPr>
                          <w:rFonts w:ascii="Cambria Math" w:eastAsiaTheme="minorEastAsia" w:hAnsi="Cambria Math" w:cs="Times New Roman"/>
                        </w:rPr>
                        <m:t>k</m:t>
                      </m:r>
                    </m:e>
                  </m:d>
                </m:sup>
              </m:sSubSup>
              <m:r>
                <m:rPr>
                  <m:sty m:val="p"/>
                </m:rPr>
                <w:rPr>
                  <w:rFonts w:ascii="Cambria Math" w:eastAsiaTheme="minorEastAsia" w:hAnsi="Cambria Math" w:cs="Times New Roman"/>
                </w:rPr>
                <m:t>]</m:t>
              </m:r>
            </m:e>
          </m:nary>
        </m:oMath>
      </m:oMathPara>
    </w:p>
    <w:p w14:paraId="2EDD61AD" w14:textId="77777777" w:rsidR="003C6347" w:rsidRPr="00C21B42" w:rsidRDefault="003C6347" w:rsidP="003C6347">
      <w:pPr>
        <w:spacing w:line="360" w:lineRule="auto"/>
        <w:jc w:val="both"/>
        <w:rPr>
          <w:rFonts w:ascii="Times New Roman" w:hAnsi="Times New Roman" w:cs="Times New Roman"/>
          <w:bCs/>
        </w:rPr>
      </w:pPr>
      <w:r w:rsidRPr="00C21B42">
        <w:rPr>
          <w:rFonts w:ascii="Times New Roman" w:hAnsi="Times New Roman" w:cs="Times New Roman"/>
          <w:bCs/>
        </w:rPr>
        <w:t xml:space="preserve">Where, </w:t>
      </w:r>
      <m:oMath>
        <m:sSubSup>
          <m:sSubSupPr>
            <m:ctrlPr>
              <w:rPr>
                <w:rFonts w:ascii="Cambria Math" w:eastAsiaTheme="minorEastAsia" w:hAnsi="Cambria Math" w:cs="Times New Roman"/>
                <w:bCs/>
              </w:rPr>
            </m:ctrlPr>
          </m:sSubSupPr>
          <m:e>
            <m:r>
              <m:rPr>
                <m:sty m:val="p"/>
              </m:rPr>
              <w:rPr>
                <w:rFonts w:ascii="Cambria Math" w:eastAsiaTheme="minorEastAsia" w:hAnsi="Cambria Math" w:cs="Times New Roman"/>
              </w:rPr>
              <m:t>γ</m:t>
            </m:r>
          </m:e>
          <m:sub>
            <m:r>
              <w:rPr>
                <w:rFonts w:ascii="Cambria Math" w:eastAsiaTheme="minorEastAsia" w:hAnsi="Cambria Math" w:cs="Times New Roman"/>
              </w:rPr>
              <m:t>g1</m:t>
            </m:r>
          </m:sub>
          <m:sup>
            <m:d>
              <m:dPr>
                <m:ctrlPr>
                  <w:rPr>
                    <w:rFonts w:ascii="Cambria Math" w:eastAsiaTheme="minorEastAsia" w:hAnsi="Cambria Math" w:cs="Times New Roman"/>
                    <w:bCs/>
                  </w:rPr>
                </m:ctrlPr>
              </m:dPr>
              <m:e>
                <m:r>
                  <m:rPr>
                    <m:sty m:val="p"/>
                  </m:rPr>
                  <w:rPr>
                    <w:rFonts w:ascii="Cambria Math" w:eastAsiaTheme="minorEastAsia" w:hAnsi="Cambria Math" w:cs="Times New Roman"/>
                  </w:rPr>
                  <m:t>k</m:t>
                </m:r>
              </m:e>
            </m:d>
          </m:sup>
        </m:sSubSup>
      </m:oMath>
      <w:r w:rsidRPr="00C21B42">
        <w:rPr>
          <w:rFonts w:ascii="Times New Roman" w:eastAsiaTheme="minorEastAsia" w:hAnsi="Times New Roman" w:cs="Times New Roman"/>
          <w:bCs/>
        </w:rPr>
        <w:t>and</w:t>
      </w:r>
      <m:oMath>
        <m:r>
          <m:rPr>
            <m:sty m:val="p"/>
          </m:rPr>
          <w:rPr>
            <w:rFonts w:ascii="Cambria Math" w:eastAsiaTheme="minorEastAsia" w:hAnsi="Cambria Math" w:cs="Times New Roman"/>
          </w:rPr>
          <m:t xml:space="preserve"> </m:t>
        </m:r>
        <m:sSubSup>
          <m:sSubSupPr>
            <m:ctrlPr>
              <w:rPr>
                <w:rFonts w:ascii="Cambria Math" w:eastAsiaTheme="minorEastAsia" w:hAnsi="Cambria Math" w:cs="Times New Roman"/>
                <w:bCs/>
              </w:rPr>
            </m:ctrlPr>
          </m:sSubSupPr>
          <m:e>
            <m:r>
              <m:rPr>
                <m:sty m:val="p"/>
              </m:rPr>
              <w:rPr>
                <w:rFonts w:ascii="Cambria Math" w:eastAsiaTheme="minorEastAsia" w:hAnsi="Cambria Math" w:cs="Times New Roman"/>
              </w:rPr>
              <m:t>γ</m:t>
            </m:r>
          </m:e>
          <m:sub>
            <m:r>
              <w:rPr>
                <w:rFonts w:ascii="Cambria Math" w:eastAsiaTheme="minorEastAsia" w:hAnsi="Cambria Math" w:cs="Times New Roman"/>
              </w:rPr>
              <m:t>g2</m:t>
            </m:r>
          </m:sub>
          <m:sup>
            <m:d>
              <m:dPr>
                <m:ctrlPr>
                  <w:rPr>
                    <w:rFonts w:ascii="Cambria Math" w:eastAsiaTheme="minorEastAsia" w:hAnsi="Cambria Math" w:cs="Times New Roman"/>
                    <w:bCs/>
                  </w:rPr>
                </m:ctrlPr>
              </m:dPr>
              <m:e>
                <m:r>
                  <m:rPr>
                    <m:sty m:val="p"/>
                  </m:rPr>
                  <w:rPr>
                    <w:rFonts w:ascii="Cambria Math" w:eastAsiaTheme="minorEastAsia" w:hAnsi="Cambria Math" w:cs="Times New Roman"/>
                  </w:rPr>
                  <m:t>k</m:t>
                </m:r>
              </m:e>
            </m:d>
          </m:sup>
        </m:sSubSup>
      </m:oMath>
      <w:r w:rsidRPr="00C21B42">
        <w:rPr>
          <w:rFonts w:ascii="Times New Roman" w:eastAsiaTheme="minorEastAsia" w:hAnsi="Times New Roman" w:cs="Times New Roman"/>
          <w:bCs/>
        </w:rPr>
        <w:t xml:space="preserve"> are the </w:t>
      </w:r>
      <w:r w:rsidRPr="00C21B42">
        <w:rPr>
          <w:rFonts w:ascii="Times New Roman" w:hAnsi="Times New Roman" w:cs="Times New Roman"/>
          <w:bCs/>
        </w:rPr>
        <w:t xml:space="preserve">values obtained at the </w:t>
      </w:r>
      <m:oMath>
        <m:sSup>
          <m:sSupPr>
            <m:ctrlPr>
              <w:rPr>
                <w:rFonts w:ascii="Cambria Math" w:hAnsi="Cambria Math" w:cs="Times New Roman"/>
                <w:bCs/>
              </w:rPr>
            </m:ctrlPr>
          </m:sSupPr>
          <m:e>
            <m:r>
              <w:rPr>
                <w:rFonts w:ascii="Cambria Math" w:hAnsi="Cambria Math" w:cs="Times New Roman"/>
              </w:rPr>
              <m:t>k</m:t>
            </m:r>
          </m:e>
          <m:sup>
            <m:r>
              <m:rPr>
                <m:sty m:val="p"/>
              </m:rPr>
              <w:rPr>
                <w:rFonts w:ascii="Cambria Math" w:hAnsi="Cambria Math" w:cs="Times New Roman"/>
              </w:rPr>
              <m:t>th</m:t>
            </m:r>
          </m:sup>
        </m:sSup>
      </m:oMath>
      <w:r w:rsidRPr="00C21B42">
        <w:rPr>
          <w:rFonts w:ascii="Times New Roman" w:hAnsi="Times New Roman" w:cs="Times New Roman"/>
          <w:bCs/>
        </w:rPr>
        <w:t xml:space="preserve"> MCMC iteration and </w:t>
      </w:r>
      <m:oMath>
        <m:r>
          <m:rPr>
            <m:sty m:val="b"/>
          </m:rPr>
          <w:rPr>
            <w:rFonts w:ascii="Cambria Math" w:hAnsi="Cambria Math" w:cs="Times New Roman"/>
          </w:rPr>
          <m:t>1</m:t>
        </m:r>
        <m:d>
          <m:dPr>
            <m:ctrlPr>
              <w:rPr>
                <w:rFonts w:ascii="Cambria Math" w:hAnsi="Cambria Math" w:cs="Times New Roman"/>
                <w:bCs/>
              </w:rPr>
            </m:ctrlPr>
          </m:dPr>
          <m:e>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g1</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g2</m:t>
                </m:r>
              </m:sub>
            </m:sSub>
          </m:e>
        </m:d>
      </m:oMath>
      <w:r w:rsidRPr="00C21B42">
        <w:rPr>
          <w:rFonts w:ascii="Times New Roman" w:hAnsi="Times New Roman" w:cs="Times New Roman"/>
          <w:bCs/>
        </w:rPr>
        <w:t xml:space="preserve"> is the indicator function which is equal to one if </w:t>
      </w:r>
      <m:oMath>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g1</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γ</m:t>
            </m:r>
          </m:e>
          <m:sub>
            <m:r>
              <w:rPr>
                <w:rFonts w:ascii="Cambria Math" w:hAnsi="Cambria Math" w:cs="Times New Roman"/>
              </w:rPr>
              <m:t>g2</m:t>
            </m:r>
          </m:sub>
        </m:sSub>
      </m:oMath>
      <w:r w:rsidRPr="00C21B42">
        <w:rPr>
          <w:rFonts w:ascii="Times New Roman" w:hAnsi="Times New Roman" w:cs="Times New Roman"/>
          <w:bCs/>
        </w:rPr>
        <w:t xml:space="preserve">. </w:t>
      </w:r>
    </w:p>
    <w:p w14:paraId="7DF8E4AA" w14:textId="520D1047" w:rsidR="003C6347" w:rsidRPr="00C21B42" w:rsidRDefault="003C6347" w:rsidP="003C6347">
      <w:pPr>
        <w:spacing w:line="360" w:lineRule="auto"/>
        <w:jc w:val="both"/>
        <w:rPr>
          <w:rFonts w:ascii="Times New Roman" w:hAnsi="Times New Roman" w:cs="Times New Roman"/>
          <w:bCs/>
        </w:rPr>
      </w:pPr>
      <w:bookmarkStart w:id="10" w:name="_Hlk138193292"/>
      <w:r w:rsidRPr="00C21B42">
        <w:rPr>
          <w:rFonts w:ascii="Times New Roman" w:hAnsi="Times New Roman" w:cs="Times New Roman"/>
          <w:bCs/>
        </w:rPr>
        <w:t xml:space="preserve">We implement BRIDGE approach into  the “bridge” package of Bioconductor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{"citationItems":[{"id":"ITEM-1","itemData":{"author":[{"dropping-particle":"","family":"Gottardo","given":"Raphael","non-dropping-particle":"","parse-names":false,"suffix":""}],"container-title":"Journal of Virology","id":"ITEM-1","issued":{"date-parts":[["2011"]]},"page":"1-7","title":"Bayesian Robust Inference of Differential Gene Expression The bridge package","type":"article-journal"},"uris":["http://www.mendeley.com/documents/?uuid=684a195b-a601-4191-a5d9-cbd02dce0852"]}],"mendeley":{"formattedCitation":"[5]","plainTextFormattedCitation":"[5]","previouslyFormattedCitation":"[5]"},"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[5]</w:t>
      </w:r>
      <w:r w:rsidRPr="00C21B42">
        <w:rPr>
          <w:rFonts w:ascii="Times New Roman" w:hAnsi="Times New Roman" w:cs="Times New Roman"/>
          <w:bCs/>
        </w:rPr>
        <w:fldChar w:fldCharType="end"/>
      </w:r>
      <w:r w:rsidRPr="00C21B42">
        <w:rPr>
          <w:rFonts w:ascii="Times New Roman" w:hAnsi="Times New Roman" w:cs="Times New Roman"/>
          <w:bCs/>
        </w:rPr>
        <w:t xml:space="preserve">. </w:t>
      </w:r>
      <w:bookmarkEnd w:id="10"/>
      <w:r w:rsidRPr="00C21B42">
        <w:rPr>
          <w:rFonts w:ascii="Times New Roman" w:hAnsi="Times New Roman" w:cs="Times New Roman"/>
          <w:bCs/>
        </w:rPr>
        <w:t xml:space="preserve">Then, we selected the DEGs of each transcriptomic data with the cutoff at PostP≥0.90 and |Log2(mFC)|≥1, where mFC is the median-fold-change of </w:t>
      </w:r>
      <w:r w:rsidRPr="00C21B42">
        <w:rPr>
          <w:rFonts w:ascii="Times New Roman" w:eastAsiaTheme="minorEastAsia" w:hAnsi="Times New Roman" w:cs="Times New Roman"/>
          <w:bCs/>
          <w:i/>
          <w:iCs/>
        </w:rPr>
        <w:t>i</w:t>
      </w:r>
      <w:r w:rsidRPr="00C21B42">
        <w:rPr>
          <w:rFonts w:ascii="Times New Roman" w:eastAsiaTheme="minorEastAsia" w:hAnsi="Times New Roman" w:cs="Times New Roman"/>
          <w:bCs/>
          <w:vertAlign w:val="superscript"/>
        </w:rPr>
        <w:t>th</w:t>
      </w:r>
      <w:r w:rsidRPr="00C21B42">
        <w:rPr>
          <w:rFonts w:ascii="Times New Roman" w:eastAsiaTheme="minorEastAsia" w:hAnsi="Times New Roman" w:cs="Times New Roman"/>
          <w:bCs/>
        </w:rPr>
        <w:t xml:space="preserve"> </w:t>
      </w:r>
      <w:r w:rsidRPr="00C21B42">
        <w:rPr>
          <w:rFonts w:ascii="Times New Roman" w:hAnsi="Times New Roman" w:cs="Times New Roman"/>
          <w:bCs/>
        </w:rPr>
        <w:t>gene. Finally, up and down</w:t>
      </w:r>
      <w:r w:rsidR="00ED05DD">
        <w:rPr>
          <w:rFonts w:ascii="Times New Roman" w:hAnsi="Times New Roman" w:cs="Times New Roman"/>
          <w:bCs/>
        </w:rPr>
        <w:t>-</w:t>
      </w:r>
      <w:r w:rsidRPr="00C21B42">
        <w:rPr>
          <w:rFonts w:ascii="Times New Roman" w:hAnsi="Times New Roman" w:cs="Times New Roman"/>
          <w:bCs/>
        </w:rPr>
        <w:t xml:space="preserve">regulated DEGs are detached by,  </w:t>
      </w:r>
    </w:p>
    <w:p w14:paraId="50693E26" w14:textId="77777777" w:rsidR="003C6347" w:rsidRPr="00C21B42" w:rsidRDefault="00000000" w:rsidP="003C6347">
      <w:pPr>
        <w:spacing w:line="360" w:lineRule="auto"/>
        <w:jc w:val="both"/>
        <w:rPr>
          <w:rFonts w:ascii="Times New Roman" w:hAnsi="Times New Roman" w:cs="Times New Roman"/>
          <w:bCs/>
          <w:sz w:val="20"/>
          <w:szCs w:val="20"/>
        </w:rPr>
      </w:pPr>
      <m:oMathPara>
        <m:oMath>
          <m:sSub>
            <m:sSubPr>
              <m:ctrlPr>
                <w:rPr>
                  <w:rFonts w:ascii="Cambria Math" w:hAnsi="Cambria Math" w:cs="Times New Roman"/>
                  <w:bCs/>
                  <w:sz w:val="20"/>
                  <w:szCs w:val="20"/>
                </w:rPr>
              </m:ctrlPr>
            </m:sSubPr>
            <m:e>
              <m:r>
                <m:rPr>
                  <m:sty m:val="p"/>
                </m:rPr>
                <w:rPr>
                  <w:rFonts w:ascii="Cambria Math" w:hAnsi="Cambria Math" w:cs="Times New Roman"/>
                  <w:sz w:val="20"/>
                  <w:szCs w:val="20"/>
                </w:rPr>
                <m:t>DEG</m:t>
              </m:r>
            </m:e>
            <m:sub>
              <m:r>
                <w:rPr>
                  <w:rFonts w:ascii="Cambria Math" w:hAnsi="Cambria Math" w:cs="Times New Roman"/>
                  <w:sz w:val="20"/>
                  <w:szCs w:val="20"/>
                </w:rPr>
                <m:t>i</m:t>
              </m:r>
            </m:sub>
          </m:sSub>
          <m:r>
            <m:rPr>
              <m:sty m:val="p"/>
            </m:rPr>
            <w:rPr>
              <w:rFonts w:ascii="Cambria Math" w:hAnsi="Cambria Math" w:cs="Times New Roman"/>
              <w:sz w:val="20"/>
              <w:szCs w:val="20"/>
            </w:rPr>
            <m:t>=</m:t>
          </m:r>
          <m:d>
            <m:dPr>
              <m:begChr m:val="{"/>
              <m:endChr m:val=""/>
              <m:ctrlPr>
                <w:rPr>
                  <w:rFonts w:ascii="Cambria Math" w:hAnsi="Cambria Math" w:cs="Times New Roman"/>
                  <w:bCs/>
                  <w:sz w:val="20"/>
                  <w:szCs w:val="20"/>
                </w:rPr>
              </m:ctrlPr>
            </m:dPr>
            <m:e>
              <m:eqArr>
                <m:eqArrPr>
                  <m:ctrlPr>
                    <w:rPr>
                      <w:rFonts w:ascii="Cambria Math" w:hAnsi="Cambria Math" w:cs="Times New Roman"/>
                      <w:bCs/>
                      <w:sz w:val="20"/>
                      <w:szCs w:val="20"/>
                    </w:rPr>
                  </m:ctrlPr>
                </m:eqArrPr>
                <m:e>
                  <m:r>
                    <m:rPr>
                      <m:sty m:val="p"/>
                    </m:rPr>
                    <w:rPr>
                      <w:rFonts w:ascii="Cambria Math" w:hAnsi="Cambria Math" w:cs="Times New Roman"/>
                      <w:sz w:val="20"/>
                      <w:szCs w:val="20"/>
                    </w:rPr>
                    <m:t xml:space="preserve">Upregulated,      &amp;        where, </m:t>
                  </m:r>
                  <m:sSub>
                    <m:sSubPr>
                      <m:ctrlPr>
                        <w:rPr>
                          <w:rFonts w:ascii="Cambria Math" w:hAnsi="Cambria Math" w:cs="Times New Roman"/>
                          <w:bCs/>
                          <w:sz w:val="20"/>
                          <w:szCs w:val="20"/>
                        </w:rPr>
                      </m:ctrlPr>
                    </m:sSubPr>
                    <m:e>
                      <m:r>
                        <m:rPr>
                          <m:sty m:val="p"/>
                        </m:rPr>
                        <w:rPr>
                          <w:rFonts w:ascii="Cambria Math" w:hAnsi="Cambria Math" w:cs="Times New Roman"/>
                          <w:sz w:val="20"/>
                          <w:szCs w:val="20"/>
                        </w:rPr>
                        <m:t xml:space="preserve"> PostP</m:t>
                      </m:r>
                    </m:e>
                    <m:sub>
                      <m:r>
                        <w:rPr>
                          <w:rFonts w:ascii="Cambria Math" w:hAnsi="Cambria Math" w:cs="Times New Roman"/>
                          <w:sz w:val="20"/>
                          <w:szCs w:val="20"/>
                        </w:rPr>
                        <m:t>i</m:t>
                      </m:r>
                    </m:sub>
                  </m:sSub>
                  <m:r>
                    <m:rPr>
                      <m:sty m:val="p"/>
                    </m:rPr>
                    <w:rPr>
                      <w:rFonts w:ascii="Cambria Math" w:hAnsi="Cambria Math" w:cs="Times New Roman"/>
                      <w:sz w:val="20"/>
                      <w:szCs w:val="20"/>
                    </w:rPr>
                    <m:t xml:space="preserve">≥0.90 and </m:t>
                  </m:r>
                  <m:sSub>
                    <m:sSubPr>
                      <m:ctrlPr>
                        <w:rPr>
                          <w:rFonts w:ascii="Cambria Math" w:hAnsi="Cambria Math" w:cs="Times New Roman"/>
                          <w:bCs/>
                          <w:sz w:val="20"/>
                          <w:szCs w:val="20"/>
                        </w:rPr>
                      </m:ctrlPr>
                    </m:sSubPr>
                    <m:e>
                      <m:r>
                        <m:rPr>
                          <m:sty m:val="p"/>
                        </m:rPr>
                        <w:rPr>
                          <w:rFonts w:ascii="Cambria Math" w:hAnsi="Cambria Math" w:cs="Times New Roman"/>
                          <w:sz w:val="20"/>
                          <w:szCs w:val="20"/>
                        </w:rPr>
                        <m:t>Log2(mFC</m:t>
                      </m:r>
                    </m:e>
                    <m:sub>
                      <m:r>
                        <w:rPr>
                          <w:rFonts w:ascii="Cambria Math" w:hAnsi="Cambria Math" w:cs="Times New Roman"/>
                          <w:sz w:val="20"/>
                          <w:szCs w:val="20"/>
                        </w:rPr>
                        <m:t>i</m:t>
                      </m:r>
                    </m:sub>
                  </m:sSub>
                  <m:r>
                    <m:rPr>
                      <m:sty m:val="p"/>
                    </m:rPr>
                    <w:rPr>
                      <w:rFonts w:ascii="Cambria Math" w:hAnsi="Cambria Math" w:cs="Times New Roman"/>
                      <w:sz w:val="20"/>
                      <w:szCs w:val="20"/>
                    </w:rPr>
                    <m:t xml:space="preserve">)≥1     </m:t>
                  </m:r>
                </m:e>
                <m:e>
                  <m:r>
                    <m:rPr>
                      <m:sty m:val="p"/>
                    </m:rPr>
                    <w:rPr>
                      <w:rFonts w:ascii="Cambria Math" w:hAnsi="Cambria Math" w:cs="Times New Roman"/>
                      <w:sz w:val="20"/>
                      <w:szCs w:val="20"/>
                    </w:rPr>
                    <m:t xml:space="preserve">Downregulated,                    </m:t>
                  </m:r>
                  <m:sSub>
                    <m:sSubPr>
                      <m:ctrlPr>
                        <w:rPr>
                          <w:rFonts w:ascii="Cambria Math" w:hAnsi="Cambria Math" w:cs="Times New Roman"/>
                          <w:bCs/>
                          <w:sz w:val="20"/>
                          <w:szCs w:val="20"/>
                        </w:rPr>
                      </m:ctrlPr>
                    </m:sSubPr>
                    <m:e>
                      <m:r>
                        <m:rPr>
                          <m:sty m:val="p"/>
                        </m:rPr>
                        <w:rPr>
                          <w:rFonts w:ascii="Cambria Math" w:hAnsi="Cambria Math" w:cs="Times New Roman"/>
                          <w:sz w:val="20"/>
                          <w:szCs w:val="20"/>
                        </w:rPr>
                        <m:t xml:space="preserve">   PostP</m:t>
                      </m:r>
                    </m:e>
                    <m:sub>
                      <m:r>
                        <w:rPr>
                          <w:rFonts w:ascii="Cambria Math" w:hAnsi="Cambria Math" w:cs="Times New Roman"/>
                          <w:sz w:val="20"/>
                          <w:szCs w:val="20"/>
                        </w:rPr>
                        <m:t>i</m:t>
                      </m:r>
                    </m:sub>
                  </m:sSub>
                  <m:r>
                    <m:rPr>
                      <m:sty m:val="p"/>
                    </m:rPr>
                    <w:rPr>
                      <w:rFonts w:ascii="Cambria Math" w:hAnsi="Cambria Math" w:cs="Times New Roman"/>
                      <w:sz w:val="20"/>
                      <w:szCs w:val="20"/>
                    </w:rPr>
                    <m:t xml:space="preserve">≥0.90 and </m:t>
                  </m:r>
                  <m:sSub>
                    <m:sSubPr>
                      <m:ctrlPr>
                        <w:rPr>
                          <w:rFonts w:ascii="Cambria Math" w:hAnsi="Cambria Math" w:cs="Times New Roman"/>
                          <w:bCs/>
                          <w:sz w:val="20"/>
                          <w:szCs w:val="20"/>
                        </w:rPr>
                      </m:ctrlPr>
                    </m:sSubPr>
                    <m:e>
                      <m:r>
                        <m:rPr>
                          <m:sty m:val="p"/>
                        </m:rPr>
                        <w:rPr>
                          <w:rFonts w:ascii="Cambria Math" w:hAnsi="Cambria Math" w:cs="Times New Roman"/>
                          <w:sz w:val="20"/>
                          <w:szCs w:val="20"/>
                        </w:rPr>
                        <m:t>Log2(mFC</m:t>
                      </m:r>
                    </m:e>
                    <m:sub>
                      <m:r>
                        <w:rPr>
                          <w:rFonts w:ascii="Cambria Math" w:hAnsi="Cambria Math" w:cs="Times New Roman"/>
                          <w:sz w:val="20"/>
                          <w:szCs w:val="20"/>
                        </w:rPr>
                        <m:t>i</m:t>
                      </m:r>
                    </m:sub>
                  </m:sSub>
                  <m:r>
                    <m:rPr>
                      <m:sty m:val="p"/>
                    </m:rPr>
                    <w:rPr>
                      <w:rFonts w:ascii="Cambria Math" w:hAnsi="Cambria Math" w:cs="Times New Roman"/>
                      <w:sz w:val="20"/>
                      <w:szCs w:val="20"/>
                    </w:rPr>
                    <m:t>)≤-1</m:t>
                  </m:r>
                </m:e>
              </m:eqArr>
            </m:e>
          </m:d>
        </m:oMath>
      </m:oMathPara>
    </w:p>
    <w:p w14:paraId="70822353" w14:textId="76A90422" w:rsidR="003C6347" w:rsidRDefault="003C6347" w:rsidP="003C6347">
      <w:pPr>
        <w:spacing w:after="120" w:line="360" w:lineRule="auto"/>
        <w:jc w:val="both"/>
        <w:rPr>
          <w:rFonts w:ascii="Times New Roman" w:eastAsiaTheme="minorEastAsia" w:hAnsi="Times New Roman" w:cs="Times New Roman"/>
          <w:bCs/>
        </w:rPr>
      </w:pPr>
      <w:r w:rsidRPr="00C21B42">
        <w:rPr>
          <w:rFonts w:ascii="Times New Roman" w:hAnsi="Times New Roman" w:cs="Times New Roman"/>
          <w:bCs/>
        </w:rPr>
        <w:t xml:space="preserve">where, </w:t>
      </w:r>
      <m:oMath>
        <m:sSub>
          <m:sSubPr>
            <m:ctrlPr>
              <w:rPr>
                <w:rFonts w:ascii="Cambria Math" w:hAnsi="Cambria Math" w:cs="Times New Roman"/>
                <w:bCs/>
              </w:rPr>
            </m:ctrlPr>
          </m:sSubPr>
          <m:e>
            <m:r>
              <m:rPr>
                <m:sty m:val="p"/>
              </m:rPr>
              <w:rPr>
                <w:rFonts w:ascii="Cambria Math" w:hAnsi="Cambria Math" w:cs="Times New Roman"/>
              </w:rPr>
              <m:t>mFC</m:t>
            </m:r>
          </m:e>
          <m:sub>
            <m:r>
              <w:rPr>
                <w:rFonts w:ascii="Cambria Math" w:hAnsi="Cambria Math" w:cs="Times New Roman"/>
              </w:rPr>
              <m:t>i</m:t>
            </m:r>
          </m:sub>
        </m:sSub>
        <m:r>
          <m:rPr>
            <m:sty m:val="p"/>
          </m:rPr>
          <w:rPr>
            <w:rFonts w:ascii="Cambria Math" w:hAnsi="Cambria Math" w:cs="Times New Roman"/>
          </w:rPr>
          <m:t xml:space="preserve"> </m:t>
        </m:r>
      </m:oMath>
      <w:r w:rsidRPr="00C21B42">
        <w:rPr>
          <w:rFonts w:ascii="Times New Roman" w:eastAsiaTheme="minorEastAsia" w:hAnsi="Times New Roman" w:cs="Times New Roman"/>
          <w:bCs/>
        </w:rPr>
        <w:t xml:space="preserve">was computed by the ratio of the median gene expressions of cases and control samples for </w:t>
      </w:r>
      <w:r w:rsidRPr="00C21B42">
        <w:rPr>
          <w:rFonts w:ascii="Times New Roman" w:eastAsiaTheme="minorEastAsia" w:hAnsi="Times New Roman" w:cs="Times New Roman"/>
          <w:bCs/>
          <w:i/>
          <w:iCs/>
        </w:rPr>
        <w:t>i</w:t>
      </w:r>
      <w:r w:rsidRPr="00C21B42">
        <w:rPr>
          <w:rFonts w:ascii="Times New Roman" w:eastAsiaTheme="minorEastAsia" w:hAnsi="Times New Roman" w:cs="Times New Roman"/>
          <w:bCs/>
          <w:vertAlign w:val="superscript"/>
        </w:rPr>
        <w:t>th</w:t>
      </w:r>
      <w:r w:rsidRPr="00C21B42">
        <w:rPr>
          <w:rFonts w:ascii="Times New Roman" w:eastAsiaTheme="minorEastAsia" w:hAnsi="Times New Roman" w:cs="Times New Roman"/>
          <w:bCs/>
        </w:rPr>
        <w:t xml:space="preserve"> gene (</w:t>
      </w:r>
      <w:r w:rsidRPr="00C21B42">
        <w:rPr>
          <w:rFonts w:ascii="Times New Roman" w:eastAsiaTheme="minorEastAsia" w:hAnsi="Times New Roman" w:cs="Times New Roman"/>
          <w:bCs/>
          <w:i/>
          <w:iCs/>
        </w:rPr>
        <w:t>i</w:t>
      </w:r>
      <w:r w:rsidRPr="00C21B42">
        <w:rPr>
          <w:rFonts w:ascii="Times New Roman" w:eastAsiaTheme="minorEastAsia" w:hAnsi="Times New Roman" w:cs="Times New Roman"/>
          <w:bCs/>
        </w:rPr>
        <w:t>=1, 2, …, G).</w:t>
      </w:r>
    </w:p>
    <w:p w14:paraId="4D1076F9" w14:textId="77777777" w:rsidR="00F924C9" w:rsidRPr="00C21B42" w:rsidRDefault="00F924C9" w:rsidP="003C6347">
      <w:pPr>
        <w:spacing w:after="120" w:line="360" w:lineRule="auto"/>
        <w:jc w:val="both"/>
        <w:rPr>
          <w:rFonts w:ascii="Times New Roman" w:eastAsiaTheme="minorEastAsia" w:hAnsi="Times New Roman" w:cs="Times New Roman"/>
          <w:bCs/>
        </w:rPr>
      </w:pPr>
    </w:p>
    <w:p w14:paraId="4B921A18" w14:textId="42061C5D" w:rsidR="003C6347" w:rsidRPr="00C21B42" w:rsidRDefault="00447ECA" w:rsidP="003C6347">
      <w:pPr>
        <w:spacing w:after="0" w:line="360" w:lineRule="auto"/>
        <w:jc w:val="both"/>
        <w:rPr>
          <w:rFonts w:ascii="Times New Roman" w:hAnsi="Times New Roman" w:cs="Times New Roman"/>
          <w:b/>
        </w:rPr>
      </w:pPr>
      <w:r>
        <w:rPr>
          <w:rFonts w:ascii="Times New Roman" w:hAnsi="Times New Roman" w:cs="Times New Roman"/>
          <w:b/>
        </w:rPr>
        <w:t>S</w:t>
      </w:r>
      <w:r w:rsidR="00920A42">
        <w:rPr>
          <w:rFonts w:ascii="Times New Roman" w:hAnsi="Times New Roman" w:cs="Times New Roman"/>
          <w:b/>
        </w:rPr>
        <w:t>2</w:t>
      </w:r>
      <w:r w:rsidR="003C6347" w:rsidRPr="00C21B42">
        <w:rPr>
          <w:rFonts w:ascii="Times New Roman" w:hAnsi="Times New Roman" w:cs="Times New Roman"/>
          <w:b/>
        </w:rPr>
        <w:t xml:space="preserve">. Identification of shared DEGs </w:t>
      </w:r>
    </w:p>
    <w:p w14:paraId="0C79A680" w14:textId="390A24D6" w:rsidR="00ED05DD" w:rsidRPr="00C21B42" w:rsidRDefault="003C6347" w:rsidP="003C6347">
      <w:pPr>
        <w:spacing w:after="0" w:line="360" w:lineRule="auto"/>
        <w:jc w:val="both"/>
        <w:rPr>
          <w:rFonts w:ascii="Times New Roman" w:hAnsi="Times New Roman" w:cs="Times New Roman"/>
          <w:bCs/>
        </w:rPr>
      </w:pPr>
      <w:bookmarkStart w:id="11" w:name="_Hlk138193321"/>
      <w:r w:rsidRPr="00C21B42">
        <w:rPr>
          <w:rFonts w:ascii="Times New Roman" w:hAnsi="Times New Roman" w:cs="Times New Roman"/>
          <w:bCs/>
        </w:rPr>
        <w:t xml:space="preserve">To identify the shared DEGs (sDEGs) among three groups ((i) PC </w:t>
      </w:r>
      <w:r w:rsidRPr="00C21B42">
        <w:rPr>
          <w:rFonts w:ascii="Times New Roman" w:hAnsi="Times New Roman" w:cs="Times New Roman"/>
          <w:bCs/>
          <w:i/>
          <w:iCs/>
        </w:rPr>
        <w:t>vs.</w:t>
      </w:r>
      <w:r w:rsidRPr="00C21B42">
        <w:rPr>
          <w:rFonts w:ascii="Times New Roman" w:hAnsi="Times New Roman" w:cs="Times New Roman"/>
          <w:bCs/>
        </w:rPr>
        <w:t xml:space="preserve"> control (ii) T2D </w:t>
      </w:r>
      <w:r w:rsidRPr="00C21B42">
        <w:rPr>
          <w:rFonts w:ascii="Times New Roman" w:hAnsi="Times New Roman" w:cs="Times New Roman"/>
          <w:bCs/>
          <w:i/>
          <w:iCs/>
        </w:rPr>
        <w:t>vs.</w:t>
      </w:r>
      <w:r w:rsidRPr="00C21B42">
        <w:rPr>
          <w:rFonts w:ascii="Times New Roman" w:hAnsi="Times New Roman" w:cs="Times New Roman"/>
          <w:bCs/>
        </w:rPr>
        <w:t xml:space="preserve"> control (iii) T2D+PC </w:t>
      </w:r>
      <w:r w:rsidRPr="00C21B42">
        <w:rPr>
          <w:rFonts w:ascii="Times New Roman" w:hAnsi="Times New Roman" w:cs="Times New Roman"/>
          <w:bCs/>
          <w:i/>
          <w:iCs/>
        </w:rPr>
        <w:t>vs.</w:t>
      </w:r>
      <w:r w:rsidRPr="00C21B42">
        <w:rPr>
          <w:rFonts w:ascii="Times New Roman" w:hAnsi="Times New Roman" w:cs="Times New Roman"/>
          <w:bCs/>
        </w:rPr>
        <w:t xml:space="preserve"> control), first</w:t>
      </w:r>
      <w:r w:rsidR="00ED05DD">
        <w:rPr>
          <w:rFonts w:ascii="Times New Roman" w:hAnsi="Times New Roman" w:cs="Times New Roman"/>
          <w:bCs/>
        </w:rPr>
        <w:t>,</w:t>
      </w:r>
      <w:r w:rsidRPr="00C21B42">
        <w:rPr>
          <w:rFonts w:ascii="Times New Roman" w:hAnsi="Times New Roman" w:cs="Times New Roman"/>
          <w:bCs/>
        </w:rPr>
        <w:t xml:space="preserve"> we detected the common DEGs (cDEGs) for each group. Finally, we identified shared DEGs (sDEGs) </w:t>
      </w:r>
      <w:r w:rsidR="00ED05DD" w:rsidRPr="00AC131E">
        <w:rPr>
          <w:rFonts w:ascii="Times New Roman" w:hAnsi="Times New Roman" w:cs="Times New Roman"/>
          <w:bCs/>
        </w:rPr>
        <w:t xml:space="preserve">by </w:t>
      </w:r>
      <w:r w:rsidR="00ED05DD">
        <w:rPr>
          <w:rFonts w:ascii="Times New Roman" w:hAnsi="Times New Roman" w:cs="Times New Roman"/>
          <w:bCs/>
        </w:rPr>
        <w:t xml:space="preserve">taking common </w:t>
      </w:r>
      <w:r w:rsidR="00ED05DD" w:rsidRPr="00AC131E">
        <w:rPr>
          <w:rFonts w:ascii="Times New Roman" w:hAnsi="Times New Roman" w:cs="Times New Roman"/>
          <w:bCs/>
        </w:rPr>
        <w:t xml:space="preserve">DEGs (cDEGs) </w:t>
      </w:r>
      <w:r w:rsidR="00ED05DD">
        <w:rPr>
          <w:rFonts w:ascii="Times New Roman" w:hAnsi="Times New Roman" w:cs="Times New Roman"/>
          <w:bCs/>
        </w:rPr>
        <w:t xml:space="preserve">from </w:t>
      </w:r>
      <w:r w:rsidR="00ED05DD" w:rsidRPr="00AC131E">
        <w:rPr>
          <w:rFonts w:ascii="Times New Roman" w:hAnsi="Times New Roman" w:cs="Times New Roman"/>
          <w:bCs/>
        </w:rPr>
        <w:t xml:space="preserve">each </w:t>
      </w:r>
      <w:r w:rsidR="00ED05DD">
        <w:rPr>
          <w:rFonts w:ascii="Times New Roman" w:hAnsi="Times New Roman" w:cs="Times New Roman"/>
          <w:bCs/>
        </w:rPr>
        <w:t xml:space="preserve">of the </w:t>
      </w:r>
      <w:r w:rsidR="00ED05DD" w:rsidRPr="00AC131E">
        <w:rPr>
          <w:rFonts w:ascii="Times New Roman" w:hAnsi="Times New Roman" w:cs="Times New Roman"/>
          <w:bCs/>
        </w:rPr>
        <w:t>three cases</w:t>
      </w:r>
      <w:r w:rsidR="00ED05DD">
        <w:rPr>
          <w:rFonts w:ascii="Times New Roman" w:hAnsi="Times New Roman" w:cs="Times New Roman"/>
          <w:bCs/>
        </w:rPr>
        <w:t xml:space="preserve"> </w:t>
      </w:r>
      <w:r w:rsidR="00ED05DD" w:rsidRPr="00AC131E">
        <w:rPr>
          <w:rFonts w:ascii="Times New Roman" w:hAnsi="Times New Roman" w:cs="Times New Roman"/>
          <w:bCs/>
        </w:rPr>
        <w:t>(PC, T2D, PC+T2D)</w:t>
      </w:r>
      <w:r w:rsidR="00ED05DD">
        <w:rPr>
          <w:rFonts w:ascii="Times New Roman" w:hAnsi="Times New Roman" w:cs="Times New Roman"/>
          <w:bCs/>
        </w:rPr>
        <w:t>.</w:t>
      </w:r>
    </w:p>
    <w:bookmarkEnd w:id="11"/>
    <w:p w14:paraId="77DF2B6A" w14:textId="6AA0CF1E" w:rsidR="003C6347" w:rsidRPr="00C21B42" w:rsidRDefault="00447ECA" w:rsidP="003C6347">
      <w:pPr>
        <w:spacing w:after="0" w:line="360" w:lineRule="auto"/>
        <w:jc w:val="both"/>
        <w:rPr>
          <w:rFonts w:ascii="Times New Roman" w:hAnsi="Times New Roman" w:cs="Times New Roman"/>
          <w:b/>
        </w:rPr>
      </w:pPr>
      <w:r>
        <w:rPr>
          <w:rFonts w:ascii="Times New Roman" w:hAnsi="Times New Roman" w:cs="Times New Roman"/>
          <w:b/>
        </w:rPr>
        <w:t>S</w:t>
      </w:r>
      <w:r w:rsidR="00920A42">
        <w:rPr>
          <w:rFonts w:ascii="Times New Roman" w:hAnsi="Times New Roman" w:cs="Times New Roman"/>
          <w:b/>
        </w:rPr>
        <w:t>3</w:t>
      </w:r>
      <w:r w:rsidR="003C6347" w:rsidRPr="00C21B42">
        <w:rPr>
          <w:rFonts w:ascii="Times New Roman" w:hAnsi="Times New Roman" w:cs="Times New Roman"/>
          <w:b/>
        </w:rPr>
        <w:t xml:space="preserve">. Identification of </w:t>
      </w:r>
      <w:r w:rsidR="00A91BCF" w:rsidRPr="00A91BCF">
        <w:rPr>
          <w:rFonts w:ascii="Times New Roman" w:hAnsi="Times New Roman" w:cs="Times New Roman"/>
          <w:b/>
        </w:rPr>
        <w:t xml:space="preserve">shared key genomic biomarkers </w:t>
      </w:r>
      <w:r w:rsidR="003C6347" w:rsidRPr="00C21B42">
        <w:rPr>
          <w:rFonts w:ascii="Times New Roman" w:hAnsi="Times New Roman" w:cs="Times New Roman"/>
          <w:b/>
        </w:rPr>
        <w:t>(</w:t>
      </w:r>
      <w:r w:rsidR="00A91BCF">
        <w:rPr>
          <w:rFonts w:ascii="Times New Roman" w:hAnsi="Times New Roman" w:cs="Times New Roman"/>
          <w:b/>
        </w:rPr>
        <w:t>sKGBs</w:t>
      </w:r>
      <w:r w:rsidR="003C6347" w:rsidRPr="00C21B42">
        <w:rPr>
          <w:rFonts w:ascii="Times New Roman" w:hAnsi="Times New Roman" w:cs="Times New Roman"/>
          <w:b/>
        </w:rPr>
        <w:t>) from sDEGs</w:t>
      </w:r>
    </w:p>
    <w:p w14:paraId="47917845" w14:textId="3FB68925" w:rsidR="003C6347" w:rsidRPr="00C21B42" w:rsidRDefault="003C6347" w:rsidP="003C6347">
      <w:pPr>
        <w:spacing w:line="360" w:lineRule="auto"/>
        <w:jc w:val="both"/>
        <w:rPr>
          <w:rFonts w:ascii="Times New Roman" w:hAnsi="Times New Roman" w:cs="Times New Roman"/>
          <w:bCs/>
        </w:rPr>
      </w:pPr>
      <w:r w:rsidRPr="00C21B42">
        <w:rPr>
          <w:rFonts w:ascii="Times New Roman" w:hAnsi="Times New Roman" w:cs="Times New Roman"/>
          <w:bCs/>
        </w:rPr>
        <w:t>Proteins perform their tasks through interacting with other proteins within the cell, and data produced by the protein-protein interaction (PPI) network that enhances understanding of the protein's function</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{"citationItems":[{"id":"ITEM-1","itemData":{"DOI":"10.1093/bioinformatics/bti1016","ISSN":"13674803","abstract":"Motivation: Despite advances in high-throughput methods for discovering protein-protein interactions, the interaction networks of even well-studied model organisms are sketchy at best, highlighting the continued need for computational methods to help direct experimentalists in the search for novel interactions. Results: We present a kernel method for predicting protein-protein interactions using a combination of data sources, including protein sequences, Gene Ontology annotations, local properties of the network, and homologous interactions in other species. Whereas protein kernels proposed in the literature provide a similarity between single proteins, prediction of interactions requires a kernel between pairs of proteins. We propose a pairwise kernel that converts a kernel between single proteins into a kernel between pairs of proteins, and we illustrate the kernel's effectiveness in conjunction with a support vector machine classifier. Furthermore, we obtain improved performance by combining several sequence-based kernels based on k-mer frequency, motif and domain content and by further augmenting the pairwise sequence kernel with features that are based on other sources of data. We apply our method to predict physical interactions in yeast using data from the BIND database. At a false positive rate of 1% the classifier retrieves close to 80% of a set of trusted interactions. We thus demonstrate the ability of our method to make accurate predictions despite the sizeable fraction of false positives that are known to exist in interaction databases. © The Author 2005. Published by Oxford University Press. All rights reserved.","author":[{"dropping-particle":"","family":"Ben-Hur","given":"Asa","non-dropping-particle":"","parse-names":false,"suffix":""},{"dropping-particle":"","family":"Noble","given":"William Stafford","non-dropping-particle":"","parse-names":false,"suffix":""}],"container-title":"Bioinformatics","id":"ITEM-1","issue":"SUPPL. 1","issued":{"date-parts":[["2005"]]},"title":"Kernel methods for predicting protein-protein interactions","type":"article-journal","volume":"21"},"uris":["http://www.mendeley.com/documents/?uuid=287fc260-c0ba-3d92-9845-5beb67eee0ef"]}],"mendeley":{"formattedCitation":"[6]","plainTextFormattedCitation":"[6]","previouslyFormattedCitation":"[6]"},"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[6]</w:t>
      </w:r>
      <w:r w:rsidRPr="00C21B42">
        <w:rPr>
          <w:rFonts w:ascii="Times New Roman" w:hAnsi="Times New Roman" w:cs="Times New Roman"/>
          <w:bCs/>
        </w:rPr>
        <w:fldChar w:fldCharType="end"/>
      </w:r>
      <w:r w:rsidRPr="00C21B42">
        <w:rPr>
          <w:rFonts w:ascii="Times New Roman" w:hAnsi="Times New Roman" w:cs="Times New Roman"/>
          <w:bCs/>
        </w:rPr>
        <w:t xml:space="preserve">.  </w:t>
      </w:r>
      <w:bookmarkStart w:id="12" w:name="_Hlk138193337"/>
      <w:r w:rsidRPr="00C21B42">
        <w:rPr>
          <w:rFonts w:ascii="Times New Roman" w:hAnsi="Times New Roman" w:cs="Times New Roman"/>
          <w:bCs/>
        </w:rPr>
        <w:t xml:space="preserve">Using the STRING database, a PPI-network of sDEGs was created for identifying </w:t>
      </w:r>
      <w:r w:rsidR="00A91BCF">
        <w:rPr>
          <w:rFonts w:ascii="Times New Roman" w:hAnsi="Times New Roman" w:cs="Times New Roman"/>
          <w:bCs/>
        </w:rPr>
        <w:t>sKGBs</w:t>
      </w:r>
      <w:r w:rsidRPr="00C21B42">
        <w:rPr>
          <w:rFonts w:ascii="Times New Roman" w:hAnsi="Times New Roman" w:cs="Times New Roman"/>
          <w:bCs/>
        </w:rPr>
        <w:t xml:space="preserve"> </w:t>
      </w:r>
      <w:bookmarkStart w:id="13" w:name="_Hlk138196205"/>
      <w:bookmarkEnd w:id="12"/>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{"citationItems":[{"id":"ITEM-1","itemData":{"DOI":"10.1093/nar/gkq973","ISSN":"03051048","abstract":"An essential prerequisite for any systems-level understanding of cellular functions is to correctly uncover and annotate all functional interactions among proteins in the cell. Toward this goal, remarkable progress has been made in recent years, both in terms of experimental measurements and computational prediction techniques. However, public efforts to collect and present protein interaction information have struggled to keep up with the pace of interaction discovery, partly because protein-protein interaction information can be error-prone and require considerable effort to annotate. Here, we present an update on the online database resource Search Tool for the Retrieval of Interacting Genes (STRING); it provides uniquely comprehensive coverage and ease of access to both experimental as well as predicted interaction information. Interactions in STRING are provided with a confidence score, and accessory information such as protein domains and 3D structures is made available, all within a stable and consistent identifier space. New features in STRING include an interactive network viewer that can cluster networks on demand, updated on-screen previews of structural information including homology models, extensive data updates and strongly improved connectivity and integration with third-party resources. Version 9.0 of STRING covers more than 1100 completely sequenced organisms; the resource can be reached at http://string-db.org. © The Author(s) 2010.","author":[{"dropping-particle":"","family":"Szklarczyk","given":"Damian","non-dropping-particle":"","parse-names":false,"suffix":""},{"dropping-particle":"","family":"Franceschini","given":"Andrea","non-dropping-particle":"","parse-names":false,"suffix":""},{"dropping-particle":"","family":"Kuhn","given":"Michael","non-dropping-particle":"","parse-names":false,"suffix":""},{"dropping-particle":"","family":"Simonovic","given":"Milan","non-dropping-particle":"","parse-names":false,"suffix":""},{"dropping-particle":"","family":"Roth","given":"Alexander","non-dropping-particle":"","parse-names":false,"suffix":""},{"dropping-particle":"","family":"Minguez","given":"Pablo","non-dropping-particle":"","parse-names":false,"suffix":""},{"dropping-particle":"","family":"Doerks","given":"Tobias","non-dropping-particle":"","parse-names":false,"suffix":""},{"dropping-particle":"","family":"Stark","given":"Manuel","non-dropping-particle":"","parse-names":false,"suffix":""},{"dropping-particle":"","family":"Muller","given":"Jean","non-dropping-particle":"","parse-names":false,"suffix":""},{"dropping-particle":"","family":"Bork","given":"Peer","non-dropping-particle":"","parse-names":false,"suffix":""},{"dropping-particle":"","family":"Jensen","given":"Lars J.","non-dropping-particle":"","parse-names":false,"suffix":""},{"dropping-particle":"","family":"Mering","given":"Christian","non-dropping-particle":"Von","parse-names":false,"suffix":""}],"container-title":"Nucleic Acids Research","id":"ITEM-1","issue":"SUPPL. 1","issued":{"date-parts":[["2011"]]},"title":"The STRING database in 2011: Functional interaction networks of proteins, globally integrated and scored","type":"article-journal","volume":"39"},"uris":["http://www.mendeley.com/documents/?uuid=c54cdf44-9d28-3141-b16d-9a8bfaf0847f"]}],"mendeley":{"formattedCitation":"[7]","plainTextFormattedCitation":"[7]","previouslyFormattedCitation":"[7]"},"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[7]</w:t>
      </w:r>
      <w:r w:rsidRPr="00C21B42">
        <w:rPr>
          <w:rFonts w:ascii="Times New Roman" w:hAnsi="Times New Roman" w:cs="Times New Roman"/>
          <w:bCs/>
        </w:rPr>
        <w:fldChar w:fldCharType="end"/>
      </w:r>
      <w:r w:rsidRPr="00C21B42">
        <w:rPr>
          <w:rFonts w:ascii="Times New Roman" w:hAnsi="Times New Roman" w:cs="Times New Roman"/>
          <w:bCs/>
        </w:rPr>
        <w:t xml:space="preserve">. </w:t>
      </w:r>
      <w:bookmarkEnd w:id="13"/>
      <w:r w:rsidRPr="00C21B42">
        <w:rPr>
          <w:rFonts w:ascii="Times New Roman" w:hAnsi="Times New Roman" w:cs="Times New Roman"/>
          <w:bCs/>
        </w:rPr>
        <w:t>In order to build the PPI-network, the distance "D" between proteins (u, v) is determined as follows:</w:t>
      </w:r>
    </w:p>
    <w:p w14:paraId="32BFC529" w14:textId="77777777" w:rsidR="003C6347" w:rsidRPr="00C21B42" w:rsidRDefault="003C6347" w:rsidP="003C6347">
      <w:pPr>
        <w:spacing w:after="240" w:line="360" w:lineRule="auto"/>
        <w:jc w:val="both"/>
        <w:rPr>
          <w:rFonts w:ascii="Times New Roman" w:hAnsi="Times New Roman" w:cs="Times New Roman"/>
          <w:bCs/>
        </w:rPr>
      </w:pPr>
      <m:oMathPara>
        <m:oMath>
          <m:r>
            <m:rPr>
              <m:sty m:val="p"/>
            </m:rPr>
            <w:rPr>
              <w:rFonts w:ascii="Cambria Math" w:hAnsi="Cambria Math" w:cs="Times New Roman"/>
            </w:rPr>
            <m:t>D</m:t>
          </m:r>
          <m:d>
            <m:dPr>
              <m:ctrlPr>
                <w:rPr>
                  <w:rFonts w:ascii="Cambria Math" w:hAnsi="Cambria Math" w:cs="Times New Roman"/>
                  <w:bCs/>
                </w:rPr>
              </m:ctrlPr>
            </m:dPr>
            <m:e>
              <m:r>
                <w:rPr>
                  <w:rFonts w:ascii="Cambria Math" w:hAnsi="Cambria Math" w:cs="Times New Roman"/>
                </w:rPr>
                <m:t>u,v</m:t>
              </m:r>
            </m:e>
          </m:d>
          <m:r>
            <m:rPr>
              <m:sty m:val="p"/>
            </m:rPr>
            <w:rPr>
              <w:rFonts w:ascii="Cambria Math" w:hAnsi="Cambria Math" w:cs="Times New Roman"/>
            </w:rPr>
            <m:t xml:space="preserve">= </m:t>
          </m:r>
          <m:f>
            <m:fPr>
              <m:ctrlPr>
                <w:rPr>
                  <w:rFonts w:ascii="Cambria Math" w:hAnsi="Cambria Math" w:cs="Times New Roman"/>
                  <w:bCs/>
                </w:rPr>
              </m:ctrlPr>
            </m:fPr>
            <m:num>
              <m:r>
                <m:rPr>
                  <m:sty m:val="p"/>
                </m:rPr>
                <w:rPr>
                  <w:rFonts w:ascii="Cambria Math" w:hAnsi="Cambria Math" w:cs="Times New Roman"/>
                </w:rPr>
                <m:t>2 |</m:t>
              </m:r>
              <m:sSub>
                <m:sSubPr>
                  <m:ctrlPr>
                    <w:rPr>
                      <w:rFonts w:ascii="Cambria Math" w:hAnsi="Cambria Math" w:cs="Times New Roman"/>
                      <w:bCs/>
                    </w:rPr>
                  </m:ctrlPr>
                </m:sSubPr>
                <m:e>
                  <m:r>
                    <m:rPr>
                      <m:sty m:val="p"/>
                    </m:rPr>
                    <w:rPr>
                      <w:rFonts w:ascii="Cambria Math" w:hAnsi="Cambria Math" w:cs="Times New Roman"/>
                    </w:rPr>
                    <m:t>N</m:t>
                  </m:r>
                </m:e>
                <m:sub>
                  <m:r>
                    <w:rPr>
                      <w:rFonts w:ascii="Cambria Math" w:hAnsi="Cambria Math" w:cs="Times New Roman"/>
                    </w:rPr>
                    <m:t>u</m:t>
                  </m:r>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N</m:t>
                  </m:r>
                </m:e>
                <m:sub>
                  <m:r>
                    <w:rPr>
                      <w:rFonts w:ascii="Cambria Math" w:hAnsi="Cambria Math" w:cs="Times New Roman"/>
                    </w:rPr>
                    <m:t>v</m:t>
                  </m:r>
                </m:sub>
              </m:sSub>
              <m:r>
                <m:rPr>
                  <m:sty m:val="p"/>
                </m:rPr>
                <w:rPr>
                  <w:rFonts w:ascii="Cambria Math" w:hAnsi="Cambria Math" w:cs="Times New Roman"/>
                </w:rPr>
                <m:t>|</m:t>
              </m:r>
            </m:num>
            <m:den>
              <m:d>
                <m:dPr>
                  <m:begChr m:val="|"/>
                  <m:endChr m:val="|"/>
                  <m:ctrlPr>
                    <w:rPr>
                      <w:rFonts w:ascii="Cambria Math" w:hAnsi="Cambria Math" w:cs="Times New Roman"/>
                      <w:bCs/>
                    </w:rPr>
                  </m:ctrlPr>
                </m:dPr>
                <m:e>
                  <m:sSub>
                    <m:sSubPr>
                      <m:ctrlPr>
                        <w:rPr>
                          <w:rFonts w:ascii="Cambria Math" w:hAnsi="Cambria Math" w:cs="Times New Roman"/>
                          <w:bCs/>
                        </w:rPr>
                      </m:ctrlPr>
                    </m:sSubPr>
                    <m:e>
                      <m:r>
                        <m:rPr>
                          <m:sty m:val="p"/>
                        </m:rPr>
                        <w:rPr>
                          <w:rFonts w:ascii="Cambria Math" w:hAnsi="Cambria Math" w:cs="Times New Roman"/>
                        </w:rPr>
                        <m:t>N</m:t>
                      </m:r>
                    </m:e>
                    <m:sub>
                      <m:r>
                        <w:rPr>
                          <w:rFonts w:ascii="Cambria Math" w:hAnsi="Cambria Math" w:cs="Times New Roman"/>
                        </w:rPr>
                        <m:t>u</m:t>
                      </m:r>
                    </m:sub>
                  </m:sSub>
                </m:e>
              </m:d>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N</m:t>
                  </m:r>
                </m:e>
                <m:sub>
                  <m:r>
                    <w:rPr>
                      <w:rFonts w:ascii="Cambria Math" w:hAnsi="Cambria Math" w:cs="Times New Roman"/>
                    </w:rPr>
                    <m:t>v</m:t>
                  </m:r>
                </m:sub>
              </m:sSub>
              <m:r>
                <m:rPr>
                  <m:sty m:val="p"/>
                </m:rPr>
                <w:rPr>
                  <w:rFonts w:ascii="Cambria Math" w:hAnsi="Cambria Math" w:cs="Times New Roman"/>
                </w:rPr>
                <m:t>|</m:t>
              </m:r>
            </m:den>
          </m:f>
        </m:oMath>
      </m:oMathPara>
    </w:p>
    <w:p w14:paraId="01FB846C" w14:textId="0C93A649" w:rsidR="003C6347" w:rsidRPr="00C21B42" w:rsidRDefault="003C6347" w:rsidP="003C6347">
      <w:pPr>
        <w:spacing w:after="240" w:line="360" w:lineRule="auto"/>
        <w:jc w:val="both"/>
        <w:rPr>
          <w:rFonts w:ascii="Times New Roman" w:hAnsi="Times New Roman" w:cs="Times New Roman"/>
          <w:bCs/>
        </w:rPr>
      </w:pPr>
      <w:r w:rsidRPr="00C21B42">
        <w:rPr>
          <w:rFonts w:ascii="Times New Roman" w:hAnsi="Times New Roman" w:cs="Times New Roman"/>
          <w:bCs/>
        </w:rPr>
        <w:t xml:space="preserve">Where </w:t>
      </w:r>
      <m:oMath>
        <m:sSub>
          <m:sSubPr>
            <m:ctrlPr>
              <w:rPr>
                <w:rFonts w:ascii="Cambria Math" w:hAnsi="Cambria Math" w:cs="Times New Roman"/>
                <w:bCs/>
              </w:rPr>
            </m:ctrlPr>
          </m:sSubPr>
          <m:e>
            <m:r>
              <m:rPr>
                <m:sty m:val="p"/>
              </m:rPr>
              <w:rPr>
                <w:rFonts w:ascii="Cambria Math" w:hAnsi="Cambria Math" w:cs="Times New Roman"/>
              </w:rPr>
              <m:t>N</m:t>
            </m:r>
          </m:e>
          <m:sub>
            <m:r>
              <w:rPr>
                <w:rFonts w:ascii="Cambria Math" w:hAnsi="Cambria Math" w:cs="Times New Roman"/>
              </w:rPr>
              <m:t>u</m:t>
            </m:r>
          </m:sub>
        </m:sSub>
      </m:oMath>
      <w:r w:rsidRPr="00C21B42">
        <w:rPr>
          <w:rFonts w:ascii="Times New Roman" w:hAnsi="Times New Roman" w:cs="Times New Roman"/>
          <w:bCs/>
        </w:rPr>
        <w:t xml:space="preserve"> and </w:t>
      </w:r>
      <m:oMath>
        <m:sSub>
          <m:sSubPr>
            <m:ctrlPr>
              <w:rPr>
                <w:rFonts w:ascii="Cambria Math" w:hAnsi="Cambria Math" w:cs="Times New Roman"/>
                <w:bCs/>
              </w:rPr>
            </m:ctrlPr>
          </m:sSubPr>
          <m:e>
            <m:r>
              <m:rPr>
                <m:sty m:val="p"/>
              </m:rPr>
              <w:rPr>
                <w:rFonts w:ascii="Cambria Math" w:hAnsi="Cambria Math" w:cs="Times New Roman"/>
              </w:rPr>
              <m:t>N</m:t>
            </m:r>
          </m:e>
          <m:sub>
            <m:r>
              <w:rPr>
                <w:rFonts w:ascii="Cambria Math" w:hAnsi="Cambria Math" w:cs="Times New Roman"/>
              </w:rPr>
              <m:t>v</m:t>
            </m:r>
          </m:sub>
        </m:sSub>
        <m:r>
          <m:rPr>
            <m:sty m:val="p"/>
          </m:rPr>
          <w:rPr>
            <w:rFonts w:ascii="Cambria Math" w:hAnsi="Cambria Math" w:cs="Times New Roman"/>
          </w:rPr>
          <m:t xml:space="preserve"> </m:t>
        </m:r>
      </m:oMath>
      <w:r w:rsidRPr="00C21B42">
        <w:rPr>
          <w:rFonts w:ascii="Times New Roman" w:eastAsiaTheme="minorEastAsia" w:hAnsi="Times New Roman" w:cs="Times New Roman"/>
          <w:bCs/>
        </w:rPr>
        <w:t xml:space="preserve"> </w:t>
      </w:r>
      <w:r w:rsidRPr="00C21B42">
        <w:rPr>
          <w:rFonts w:ascii="Times New Roman" w:hAnsi="Times New Roman" w:cs="Times New Roman"/>
          <w:bCs/>
        </w:rPr>
        <w:t xml:space="preserve">are the adjacent sets of </w:t>
      </w:r>
      <w:r w:rsidRPr="00C21B42">
        <w:rPr>
          <w:rFonts w:ascii="Times New Roman" w:hAnsi="Times New Roman" w:cs="Times New Roman"/>
          <w:bCs/>
          <w:i/>
          <w:iCs/>
        </w:rPr>
        <w:t>u</w:t>
      </w:r>
      <w:r w:rsidRPr="00C21B42">
        <w:rPr>
          <w:rFonts w:ascii="Times New Roman" w:hAnsi="Times New Roman" w:cs="Times New Roman"/>
          <w:bCs/>
        </w:rPr>
        <w:t xml:space="preserve"> and </w:t>
      </w:r>
      <w:r w:rsidRPr="00C21B42">
        <w:rPr>
          <w:rFonts w:ascii="Times New Roman" w:hAnsi="Times New Roman" w:cs="Times New Roman"/>
          <w:bCs/>
          <w:i/>
          <w:iCs/>
        </w:rPr>
        <w:t>v</w:t>
      </w:r>
      <w:r w:rsidRPr="00C21B42">
        <w:rPr>
          <w:rFonts w:ascii="Times New Roman" w:hAnsi="Times New Roman" w:cs="Times New Roman"/>
          <w:bCs/>
        </w:rPr>
        <w:t>, respectively. We utilized Cytoscape software to increase the quality of the PPI network.</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{"citationItems":[{"id":"ITEM-1","itemData":{"DOI":"10.1101/gr.1239303","ISSN":"10889051","abstract":"Cytoscape is an open source software project for integrating biomolecular interaction networks with high-throughput expression data and other molecular states into a unified conceptual framework. Although applicable to any system of molecular components and interactions, Cytoscape is most powerful when used in conjunction with large databases of protein-protein, protein-DNA, and genetic interactions that are increasingly available for humans and model organisms. Cytoscape's software Core provides basic functionality to layout and query the network; to visually integrate the network with expression profiles, phenotypes, and other molecular states; and to link the network to databases of functional annotations. The Core is extensible through a straightforward plug-in architecture, allowing rapid development of additional computational analyses and features. Several case studies of Cytoscape plug-ins are surveyed, including a search for interaction pathways correlating with changes in gene expression, a study of protein complexes involved in cellular recovery to DNA damage, inference of a combined physical/functional interaction network for Halobacterium, and an interface to detailed stochastic/kinetic gene regulatory models.","author":[{"dropping-particle":"","family":"Shannon","given":"Paul","non-dropping-particle":"","parse-names":false,"suffix":""},{"dropping-particle":"","family":"Markiel","given":"Andrew","non-dropping-particle":"","parse-names":false,"suffix":""},{"dropping-particle":"","family":"Ozier","given":"Owen","non-dropping-particle":"","parse-names":false,"suffix":""},{"dropping-particle":"","family":"Baliga","given":"Nitin S.","non-dropping-particle":"","parse-names":false,"suffix":""},{"dropping-particle":"","family":"Wang","given":"Jonathan T.","non-dropping-particle":"","parse-names":false,"suffix":""},{"dropping-particle":"","family":"Ramage","given":"Daniel","non-dropping-particle":"","parse-names":false,"suffix":""},{"dropping-particle":"","family":"Amin","given":"Nada","non-dropping-particle":"","parse-names":false,"suffix":""},{"dropping-particle":"","family":"Schwikowski","given":"Beno","non-dropping-particle":"","parse-names":false,"suffix":""},{"dropping-particle":"","family":"Ideker","given":"Trey","non-dropping-particle":"","parse-names":false,"suffix":""}],"container-title":"Genome Research","id":"ITEM-1","issue":"11","issued":{"date-parts":[["2003"]]},"title":"Cytoscape: A software Environment for integrated models of biomolecular interaction networks","type":"article-journal","volume":"13"},"uris":["http://www.mendeley.com/documents/?uuid=482ccf1b-1f4d-32cd-99da-3bfa1f2b9a6f"]}],"mendeley":{"formattedCitation":"[8]","plainTextFormattedCitation":"[8]","previouslyFormattedCitation":"[8]"},"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[8]</w:t>
      </w:r>
      <w:r w:rsidRPr="00C21B42">
        <w:rPr>
          <w:rFonts w:ascii="Times New Roman" w:hAnsi="Times New Roman" w:cs="Times New Roman"/>
          <w:bCs/>
        </w:rPr>
        <w:fldChar w:fldCharType="end"/>
      </w:r>
      <w:r w:rsidRPr="00C21B42">
        <w:rPr>
          <w:rFonts w:ascii="Times New Roman" w:hAnsi="Times New Roman" w:cs="Times New Roman"/>
          <w:bCs/>
        </w:rPr>
        <w:t xml:space="preserve">.  </w:t>
      </w:r>
      <w:bookmarkStart w:id="14" w:name="_Hlk138193353"/>
      <w:r w:rsidRPr="00C21B42">
        <w:rPr>
          <w:rFonts w:ascii="Times New Roman" w:hAnsi="Times New Roman" w:cs="Times New Roman"/>
          <w:bCs/>
        </w:rPr>
        <w:t xml:space="preserve">CytoHubba, a plugin for Cytoscape, was used to select </w:t>
      </w:r>
      <w:r w:rsidR="00A91BCF">
        <w:rPr>
          <w:rFonts w:ascii="Times New Roman" w:hAnsi="Times New Roman" w:cs="Times New Roman"/>
          <w:bCs/>
        </w:rPr>
        <w:t>sKGBs</w:t>
      </w:r>
      <w:r w:rsidRPr="00C21B42">
        <w:rPr>
          <w:rFonts w:ascii="Times New Roman" w:hAnsi="Times New Roman" w:cs="Times New Roman"/>
          <w:bCs/>
        </w:rPr>
        <w:t xml:space="preserve"> from the PPI</w:t>
      </w:r>
      <w:r w:rsidR="00ED05DD">
        <w:rPr>
          <w:rFonts w:ascii="Times New Roman" w:hAnsi="Times New Roman" w:cs="Times New Roman"/>
          <w:bCs/>
        </w:rPr>
        <w:t xml:space="preserve"> </w:t>
      </w:r>
      <w:r w:rsidRPr="00C21B42">
        <w:rPr>
          <w:rFonts w:ascii="Times New Roman" w:hAnsi="Times New Roman" w:cs="Times New Roman"/>
          <w:bCs/>
        </w:rPr>
        <w:t xml:space="preserve">network </w:t>
      </w:r>
      <w:bookmarkStart w:id="15" w:name="_Hlk138196224"/>
      <w:bookmarkEnd w:id="14"/>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{"citationItems":[{"id":"ITEM-1","itemData":{"DOI":"10.1186/1752-0509-8-S4-S11","ISSN":"17520509","abstract":"Background: Network is a useful way for presenting many types of biological data including protein-protein interactions, gene regulations, cellular pathways, and signal transductions. We can measure nodes by their network features to infer their importance in the network, and it can help us identify central elements of biological networks. Results: We introduce a novel Cytoscape plugin cytoHubba for ranking nodes in a network by their network features. CytoHubba provides 11 topological analysis methods including Degree, Edge Percolated Component, Maximum Neighborhood Component, Density of Maximum Neighborhood Component, Maximal Clique Centrality and six centralities (Bottleneck, EcCentricity, Closeness, Radiality, Betweenness, and Stress) based on shortest paths. Among the eleven methods, the new proposed method, MCC, has a better performance on the precision of predicting essential proteins from the yeast PPI network. Conclusions:CytoHubba provide a user-friendly interface to explore important nodes in biological networks. It computes all eleven methods in one stop shopping way. Besides, researchers are able to combine cytoHubba with and other plugins into a novel analysis scheme. The network and sub-networks caught by this topological analysis strategy will lead to new insights on essential regulatory networks and protein drug targets for experimental biologists. According to cytoscape plugin download statistics, the accumulated number of cytoHubba is around 6,700 times since 2010.","author":[{"dropping-particle":"","family":"Chin","given":"Chia Hao","non-dropping-particle":"","parse-names":false,"suffix":""},{"dropping-particle":"","family":"Chen","given":"Shu Hwa","non-dropping-particle":"","parse-names":false,"suffix":""},{"dropping-particle":"","family":"Wu","given":"Hsin Hung","non-dropping-particle":"","parse-names":false,"suffix":""},{"dropping-particle":"","family":"Ho","given":"Chin Wen","non-dropping-particle":"","parse-names":false,"suffix":""},{"dropping-particle":"","family":"Ko","given":"Ming Tat","non-dropping-particle":"","parse-names":false,"suffix":""},{"dropping-particle":"","family":"Lin","given":"Chung Yen","non-dropping-particle":"","parse-names":false,"suffix":""}],"container-title":"BMC Systems Biology","id":"ITEM-1","issue":"4","issued":{"date-parts":[["2014"]]},"title":"cytoHubba: Identifying hub objects and sub-networks from complex interactome","type":"article-journal","volume":"8"},"uris":["http://www.mendeley.com/documents/?uuid=8cd59fef-fd66-3381-8106-0ee19d51a2ed"]},{"id":"ITEM-2","itemData":{"DOI":"10.1101/gr.1239303","ISSN":"10889051","abstract":"Cytoscape is an open source software project for integrating biomolecular interaction networks with high-throughput expression data and other molecular states into a unified conceptual framework. Although applicable to any system of molecular components and interactions, Cytoscape is most powerful when used in conjunction with large databases of protein-protein, protein-DNA, and genetic interactions that are increasingly available for humans and model organisms. Cytoscape's software Core provides basic functionality to layout and query the network; to visually integrate the network with expression profiles, phenotypes, and other molecular states; and to link the network to databases of functional annotations. The Core is extensible through a straightforward plug-in architecture, allowing rapid development of additional computational analyses and features. Several case studies of Cytoscape plug-ins are surveyed, including a search for interaction pathways correlating with changes in gene expression, a study of protein complexes involved in cellular recovery to DNA damage, inference of a combined physical/functional interaction network for Halobacterium, and an interface to detailed stochastic/kinetic gene regulatory models.","author":[{"dropping-particle":"","family":"Shannon","given":"Paul","non-dropping-particle":"","parse-names":false,"suffix":""},{"dropping-particle":"","family":"Markiel","given":"Andrew","non-dropping-particle":"","parse-names":false,"suffix":""},{"dropping-particle":"","family":"Ozier","given":"Owen","non-dropping-particle":"","parse-names":false,"suffix":""},{"dropping-particle":"","family":"Baliga","given":"Nitin S.","non-dropping-particle":"","parse-names":false,"suffix":""},{"dropping-particle":"","family":"Wang","given":"Jonathan T.","non-dropping-particle":"","parse-names":false,"suffix":""},{"dropping-particle":"","family":"Ramage","given":"Daniel","non-dropping-particle":"","parse-names":false,"suffix":""},{"dropping-particle":"","family":"Amin","given":"Nada","non-dropping-particle":"","parse-names":false,"suffix":""},{"dropping-particle":"","family":"Schwikowski","given":"Beno","non-dropping-particle":"","parse-names":false,"suffix":""},{"dropping-particle":"","family":"Ideker","given":"Trey","non-dropping-particle":"","parse-names":false,"suffix":""}],"container-title":"Genome Research","id":"ITEM-2","issue":"11","issued":{"date-parts":[["2003"]]},"title":"Cytoscape: A software Environment for integrated models of biomolecular interaction networks","type":"article-journal","volume":"13"},"uris":["http://www.mendeley.com/documents/?uuid=482ccf1b-1f4d-32cd-99da-3bfa1f2b9a6f"]}],"mendeley":{"formattedCitation":"[8,9]","plainTextFormattedCitation":"[8,9]","previouslyFormattedCitation":"[8,9]"},"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[8,9]</w:t>
      </w:r>
      <w:r w:rsidRPr="00C21B42">
        <w:rPr>
          <w:rFonts w:ascii="Times New Roman" w:hAnsi="Times New Roman" w:cs="Times New Roman"/>
          <w:bCs/>
        </w:rPr>
        <w:fldChar w:fldCharType="end"/>
      </w:r>
      <w:bookmarkEnd w:id="15"/>
      <w:r w:rsidRPr="00C21B42">
        <w:rPr>
          <w:rFonts w:ascii="Times New Roman" w:hAnsi="Times New Roman" w:cs="Times New Roman"/>
          <w:bCs/>
        </w:rPr>
        <w:t xml:space="preserve">. In </w:t>
      </w:r>
      <w:r w:rsidR="00ED05DD">
        <w:rPr>
          <w:rFonts w:ascii="Times New Roman" w:hAnsi="Times New Roman" w:cs="Times New Roman"/>
          <w:bCs/>
        </w:rPr>
        <w:t xml:space="preserve">the </w:t>
      </w:r>
      <w:r w:rsidRPr="00C21B42">
        <w:rPr>
          <w:rFonts w:ascii="Times New Roman" w:hAnsi="Times New Roman" w:cs="Times New Roman"/>
          <w:bCs/>
        </w:rPr>
        <w:t>PPI</w:t>
      </w:r>
      <w:r w:rsidR="00ED05DD">
        <w:rPr>
          <w:rFonts w:ascii="Times New Roman" w:hAnsi="Times New Roman" w:cs="Times New Roman"/>
          <w:bCs/>
        </w:rPr>
        <w:t>-</w:t>
      </w:r>
      <w:r w:rsidRPr="00C21B42">
        <w:rPr>
          <w:rFonts w:ascii="Times New Roman" w:hAnsi="Times New Roman" w:cs="Times New Roman"/>
          <w:bCs/>
        </w:rPr>
        <w:t xml:space="preserve">network, </w:t>
      </w:r>
      <w:r w:rsidR="00ED05DD">
        <w:rPr>
          <w:rFonts w:ascii="Times New Roman" w:hAnsi="Times New Roman" w:cs="Times New Roman"/>
          <w:bCs/>
        </w:rPr>
        <w:t xml:space="preserve">the </w:t>
      </w:r>
      <w:r w:rsidRPr="00C21B42">
        <w:rPr>
          <w:rFonts w:ascii="Times New Roman" w:hAnsi="Times New Roman" w:cs="Times New Roman"/>
          <w:bCs/>
        </w:rPr>
        <w:t xml:space="preserve">node indicates the protein and </w:t>
      </w:r>
      <w:r w:rsidR="00ED05DD">
        <w:rPr>
          <w:rFonts w:ascii="Times New Roman" w:hAnsi="Times New Roman" w:cs="Times New Roman"/>
          <w:bCs/>
        </w:rPr>
        <w:t xml:space="preserve">the </w:t>
      </w:r>
      <w:r w:rsidRPr="00C21B42">
        <w:rPr>
          <w:rFonts w:ascii="Times New Roman" w:hAnsi="Times New Roman" w:cs="Times New Roman"/>
          <w:bCs/>
        </w:rPr>
        <w:t xml:space="preserve">edge represents the </w:t>
      </w:r>
      <w:r w:rsidRPr="00C21B42">
        <w:rPr>
          <w:rStyle w:val="hgkelc"/>
          <w:rFonts w:ascii="Times New Roman" w:hAnsi="Times New Roman" w:cs="Times New Roman"/>
          <w:bCs/>
        </w:rPr>
        <w:t>interactions of protein</w:t>
      </w:r>
      <w:r w:rsidR="00ED05DD">
        <w:rPr>
          <w:rStyle w:val="hgkelc"/>
          <w:rFonts w:ascii="Times New Roman" w:hAnsi="Times New Roman" w:cs="Times New Roman"/>
          <w:bCs/>
        </w:rPr>
        <w:t>s</w:t>
      </w:r>
      <w:r w:rsidRPr="00C21B42">
        <w:rPr>
          <w:rStyle w:val="hgkelc"/>
          <w:rFonts w:ascii="Times New Roman" w:hAnsi="Times New Roman" w:cs="Times New Roman"/>
          <w:bCs/>
        </w:rPr>
        <w:t xml:space="preserve"> to each other. The selection of top-ranked </w:t>
      </w:r>
      <w:r w:rsidR="00A91BCF">
        <w:rPr>
          <w:rStyle w:val="hgkelc"/>
          <w:rFonts w:ascii="Times New Roman" w:hAnsi="Times New Roman" w:cs="Times New Roman"/>
          <w:bCs/>
        </w:rPr>
        <w:t>sKGBs</w:t>
      </w:r>
      <w:r w:rsidRPr="00C21B42">
        <w:rPr>
          <w:rStyle w:val="hgkelc"/>
          <w:rFonts w:ascii="Times New Roman" w:hAnsi="Times New Roman" w:cs="Times New Roman"/>
          <w:bCs/>
        </w:rPr>
        <w:t xml:space="preserve"> was based on the maximum number of interactions determined through different topological analyses of the PPI-network.</w:t>
      </w:r>
    </w:p>
    <w:p w14:paraId="2913E480" w14:textId="338FF19E" w:rsidR="003C6347" w:rsidRPr="00C21B42" w:rsidRDefault="00447ECA" w:rsidP="003C6347">
      <w:pPr>
        <w:spacing w:line="360" w:lineRule="auto"/>
        <w:jc w:val="both"/>
        <w:rPr>
          <w:rFonts w:ascii="Times New Roman" w:hAnsi="Times New Roman" w:cs="Times New Roman"/>
          <w:b/>
        </w:rPr>
      </w:pPr>
      <w:r>
        <w:rPr>
          <w:rFonts w:ascii="Times New Roman" w:hAnsi="Times New Roman" w:cs="Times New Roman"/>
          <w:b/>
        </w:rPr>
        <w:t>S</w:t>
      </w:r>
      <w:r w:rsidR="00920A42">
        <w:rPr>
          <w:rFonts w:ascii="Times New Roman" w:hAnsi="Times New Roman" w:cs="Times New Roman"/>
          <w:b/>
        </w:rPr>
        <w:t>4</w:t>
      </w:r>
      <w:r w:rsidR="003C6347" w:rsidRPr="00C21B42">
        <w:rPr>
          <w:rFonts w:ascii="Times New Roman" w:hAnsi="Times New Roman" w:cs="Times New Roman"/>
          <w:b/>
        </w:rPr>
        <w:t xml:space="preserve">.  </w:t>
      </w:r>
      <w:r w:rsidR="003C6347" w:rsidRPr="00C21B42">
        <w:rPr>
          <w:rFonts w:ascii="Times New Roman" w:hAnsi="Times New Roman" w:cs="Times New Roman"/>
          <w:b/>
          <w:i/>
        </w:rPr>
        <w:t>In-silic</w:t>
      </w:r>
      <w:r w:rsidR="003C6347" w:rsidRPr="00C21B42">
        <w:rPr>
          <w:rFonts w:ascii="Times New Roman" w:hAnsi="Times New Roman" w:cs="Times New Roman"/>
          <w:b/>
        </w:rPr>
        <w:t xml:space="preserve">o validation of differential expression patterns of </w:t>
      </w:r>
      <w:r w:rsidR="00A91BCF">
        <w:rPr>
          <w:rFonts w:ascii="Times New Roman" w:hAnsi="Times New Roman" w:cs="Times New Roman"/>
          <w:b/>
        </w:rPr>
        <w:t>sKGBs</w:t>
      </w:r>
      <w:r w:rsidR="003C6347" w:rsidRPr="00C21B42">
        <w:rPr>
          <w:rFonts w:ascii="Times New Roman" w:hAnsi="Times New Roman" w:cs="Times New Roman"/>
          <w:b/>
        </w:rPr>
        <w:t xml:space="preserve"> </w:t>
      </w:r>
    </w:p>
    <w:p w14:paraId="7B31BDFE" w14:textId="6F8AA58B" w:rsidR="003C6347" w:rsidRPr="00C21B42" w:rsidRDefault="003C6347" w:rsidP="003C6347">
      <w:pPr>
        <w:spacing w:line="360" w:lineRule="auto"/>
        <w:jc w:val="both"/>
        <w:rPr>
          <w:rFonts w:ascii="Times New Roman" w:hAnsi="Times New Roman" w:cs="Times New Roman"/>
          <w:bCs/>
        </w:rPr>
      </w:pPr>
      <w:bookmarkStart w:id="16" w:name="_Hlk138193366"/>
      <w:r w:rsidRPr="00C21B42">
        <w:rPr>
          <w:rFonts w:ascii="Times New Roman" w:hAnsi="Times New Roman" w:cs="Times New Roman"/>
          <w:bCs/>
        </w:rPr>
        <w:lastRenderedPageBreak/>
        <w:t xml:space="preserve">To validate the differential expression pattern of </w:t>
      </w:r>
      <w:r w:rsidR="00A91BCF">
        <w:rPr>
          <w:rFonts w:ascii="Times New Roman" w:hAnsi="Times New Roman" w:cs="Times New Roman"/>
          <w:bCs/>
        </w:rPr>
        <w:t>sKGBs</w:t>
      </w:r>
      <w:r w:rsidRPr="00C21B42">
        <w:rPr>
          <w:rFonts w:ascii="Times New Roman" w:hAnsi="Times New Roman" w:cs="Times New Roman"/>
          <w:bCs/>
        </w:rPr>
        <w:t xml:space="preserve"> </w:t>
      </w:r>
      <w:r w:rsidR="00AE051C">
        <w:rPr>
          <w:rFonts w:ascii="Times New Roman" w:hAnsi="Times New Roman" w:cs="Times New Roman"/>
          <w:bCs/>
        </w:rPr>
        <w:t>between case (</w:t>
      </w:r>
      <w:r w:rsidRPr="00C21B42">
        <w:rPr>
          <w:rFonts w:ascii="Times New Roman" w:hAnsi="Times New Roman" w:cs="Times New Roman"/>
          <w:bCs/>
        </w:rPr>
        <w:t xml:space="preserve">PC </w:t>
      </w:r>
      <w:r w:rsidR="00AE051C">
        <w:rPr>
          <w:rFonts w:ascii="Times New Roman" w:hAnsi="Times New Roman" w:cs="Times New Roman"/>
          <w:bCs/>
        </w:rPr>
        <w:t>or</w:t>
      </w:r>
      <w:r w:rsidRPr="00C21B42">
        <w:rPr>
          <w:rFonts w:ascii="Times New Roman" w:hAnsi="Times New Roman" w:cs="Times New Roman"/>
          <w:bCs/>
        </w:rPr>
        <w:t xml:space="preserve"> T2D</w:t>
      </w:r>
      <w:r w:rsidR="00AE051C">
        <w:rPr>
          <w:rFonts w:ascii="Times New Roman" w:hAnsi="Times New Roman" w:cs="Times New Roman"/>
          <w:bCs/>
        </w:rPr>
        <w:t>) and control groups</w:t>
      </w:r>
      <w:r w:rsidRPr="00C21B42">
        <w:rPr>
          <w:rFonts w:ascii="Times New Roman" w:hAnsi="Times New Roman" w:cs="Times New Roman"/>
          <w:bCs/>
        </w:rPr>
        <w:t xml:space="preserve">, we employed a prediction model and box plot analysis with the </w:t>
      </w:r>
      <w:bookmarkEnd w:id="16"/>
      <w:r w:rsidR="00CE711A">
        <w:rPr>
          <w:rFonts w:ascii="Times New Roman" w:hAnsi="Times New Roman" w:cs="Times New Roman"/>
          <w:bCs/>
        </w:rPr>
        <w:t xml:space="preserve">NCBI, </w:t>
      </w:r>
      <w:r w:rsidR="00992A24">
        <w:rPr>
          <w:rFonts w:ascii="Times New Roman" w:hAnsi="Times New Roman" w:cs="Times New Roman"/>
          <w:bCs/>
        </w:rPr>
        <w:t>TCGA and GTEx data</w:t>
      </w:r>
      <w:r w:rsidRPr="00C21B42">
        <w:rPr>
          <w:rFonts w:ascii="Times New Roman" w:hAnsi="Times New Roman" w:cs="Times New Roman"/>
          <w:bCs/>
        </w:rPr>
        <w:t xml:space="preserve">, as described below. </w:t>
      </w:r>
    </w:p>
    <w:p w14:paraId="323CDFCC" w14:textId="431490FE" w:rsidR="00C9123B" w:rsidRPr="00AC131E" w:rsidRDefault="00447ECA" w:rsidP="00C9123B">
      <w:pPr>
        <w:spacing w:line="360" w:lineRule="auto"/>
        <w:rPr>
          <w:rFonts w:ascii="Times New Roman" w:hAnsi="Times New Roman" w:cs="Times New Roman"/>
        </w:rPr>
      </w:pPr>
      <w:r>
        <w:rPr>
          <w:rFonts w:ascii="Times New Roman" w:hAnsi="Times New Roman" w:cs="Times New Roman"/>
          <w:b/>
        </w:rPr>
        <w:t>S</w:t>
      </w:r>
      <w:r w:rsidR="00920A42">
        <w:rPr>
          <w:rFonts w:ascii="Times New Roman" w:hAnsi="Times New Roman" w:cs="Times New Roman"/>
          <w:b/>
        </w:rPr>
        <w:t>4</w:t>
      </w:r>
      <w:r w:rsidR="003C6347" w:rsidRPr="00C21B42">
        <w:rPr>
          <w:rFonts w:ascii="Times New Roman" w:hAnsi="Times New Roman" w:cs="Times New Roman"/>
          <w:b/>
        </w:rPr>
        <w:t xml:space="preserve">.1. </w:t>
      </w:r>
      <w:bookmarkStart w:id="17" w:name="_Hlk138193380"/>
      <w:r w:rsidR="00235B91">
        <w:rPr>
          <w:rFonts w:ascii="Times New Roman" w:hAnsi="Times New Roman" w:cs="Times New Roman"/>
          <w:b/>
          <w:shd w:val="clear" w:color="auto" w:fill="FFFFFF"/>
        </w:rPr>
        <w:t>Validation of</w:t>
      </w:r>
      <w:r w:rsidR="00235B91" w:rsidRPr="006A414C">
        <w:rPr>
          <w:rFonts w:ascii="Times New Roman" w:hAnsi="Times New Roman" w:cs="Times New Roman"/>
          <w:b/>
          <w:shd w:val="clear" w:color="auto" w:fill="FFFFFF"/>
        </w:rPr>
        <w:t xml:space="preserve"> </w:t>
      </w:r>
      <w:r w:rsidR="00A91BCF">
        <w:rPr>
          <w:rFonts w:ascii="Times New Roman" w:hAnsi="Times New Roman" w:cs="Times New Roman"/>
          <w:b/>
          <w:shd w:val="clear" w:color="auto" w:fill="FFFFFF"/>
        </w:rPr>
        <w:t>sKGBs</w:t>
      </w:r>
      <w:r w:rsidR="00235B91">
        <w:rPr>
          <w:rFonts w:ascii="Times New Roman" w:hAnsi="Times New Roman" w:cs="Times New Roman"/>
          <w:b/>
          <w:shd w:val="clear" w:color="auto" w:fill="FFFFFF"/>
        </w:rPr>
        <w:t xml:space="preserve"> by the </w:t>
      </w:r>
      <w:r w:rsidR="00235B91" w:rsidRPr="006A414C">
        <w:rPr>
          <w:rFonts w:ascii="Times New Roman" w:hAnsi="Times New Roman" w:cs="Times New Roman"/>
          <w:b/>
          <w:shd w:val="clear" w:color="auto" w:fill="FFFFFF"/>
        </w:rPr>
        <w:t xml:space="preserve">PC and T2D prediction </w:t>
      </w:r>
      <w:r w:rsidR="00235B91">
        <w:rPr>
          <w:rFonts w:ascii="Times New Roman" w:hAnsi="Times New Roman" w:cs="Times New Roman"/>
          <w:b/>
          <w:shd w:val="clear" w:color="auto" w:fill="FFFFFF"/>
        </w:rPr>
        <w:t>models</w:t>
      </w:r>
    </w:p>
    <w:p w14:paraId="059CBAC4" w14:textId="5942BC01" w:rsidR="003C6347" w:rsidRPr="00C21B42" w:rsidRDefault="00C9123B" w:rsidP="00C9123B">
      <w:pPr>
        <w:spacing w:after="0" w:line="360" w:lineRule="auto"/>
        <w:jc w:val="both"/>
        <w:rPr>
          <w:rStyle w:val="jss7040"/>
          <w:rFonts w:ascii="Times New Roman" w:hAnsi="Times New Roman" w:cs="Times New Roman"/>
          <w:bCs/>
          <w:shd w:val="clear" w:color="auto" w:fill="FFFFFF"/>
        </w:rPr>
      </w:pPr>
      <w:r w:rsidRPr="00AC131E">
        <w:rPr>
          <w:rFonts w:ascii="Times New Roman" w:hAnsi="Times New Roman" w:cs="Times New Roman"/>
          <w:shd w:val="clear" w:color="auto" w:fill="FFFFFF"/>
        </w:rPr>
        <w:t xml:space="preserve">To assess PC </w:t>
      </w:r>
      <w:r>
        <w:rPr>
          <w:rFonts w:ascii="Times New Roman" w:hAnsi="Times New Roman" w:cs="Times New Roman"/>
          <w:shd w:val="clear" w:color="auto" w:fill="FFFFFF"/>
        </w:rPr>
        <w:t>and</w:t>
      </w:r>
      <w:r w:rsidRPr="00AC131E">
        <w:rPr>
          <w:rFonts w:ascii="Times New Roman" w:hAnsi="Times New Roman" w:cs="Times New Roman"/>
          <w:shd w:val="clear" w:color="auto" w:fill="FFFFFF"/>
        </w:rPr>
        <w:t xml:space="preserve"> T2D</w:t>
      </w:r>
      <w:r>
        <w:rPr>
          <w:rFonts w:ascii="Times New Roman" w:hAnsi="Times New Roman" w:cs="Times New Roman"/>
          <w:shd w:val="clear" w:color="auto" w:fill="FFFFFF"/>
        </w:rPr>
        <w:t xml:space="preserve"> prediction performance by </w:t>
      </w:r>
      <w:r w:rsidR="00A91BCF">
        <w:rPr>
          <w:rFonts w:ascii="Times New Roman" w:hAnsi="Times New Roman" w:cs="Times New Roman"/>
          <w:shd w:val="clear" w:color="auto" w:fill="FFFFFF"/>
        </w:rPr>
        <w:t>sKGBs</w:t>
      </w:r>
      <w:r w:rsidR="003C6347" w:rsidRPr="00C21B42">
        <w:rPr>
          <w:rFonts w:ascii="Times New Roman" w:hAnsi="Times New Roman" w:cs="Times New Roman"/>
          <w:bCs/>
          <w:shd w:val="clear" w:color="auto" w:fill="FFFFFF"/>
        </w:rPr>
        <w:t xml:space="preserve">, we employed a </w:t>
      </w:r>
      <w:r w:rsidR="003C6347" w:rsidRPr="00C21B42">
        <w:rPr>
          <w:rFonts w:ascii="Times New Roman" w:hAnsi="Times New Roman" w:cs="Times New Roman"/>
          <w:bCs/>
        </w:rPr>
        <w:t xml:space="preserve">Random Forest (RF) </w:t>
      </w:r>
      <w:r w:rsidR="003C6347" w:rsidRPr="00C21B42">
        <w:rPr>
          <w:rFonts w:ascii="Times New Roman" w:hAnsi="Times New Roman" w:cs="Times New Roman"/>
          <w:bCs/>
          <w:shd w:val="clear" w:color="auto" w:fill="FFFFFF"/>
        </w:rPr>
        <w:t xml:space="preserve">prediction model. </w:t>
      </w:r>
      <w:bookmarkEnd w:id="17"/>
      <w:r w:rsidR="003C6347" w:rsidRPr="00C21B42">
        <w:rPr>
          <w:rFonts w:ascii="Times New Roman" w:hAnsi="Times New Roman" w:cs="Times New Roman"/>
          <w:bCs/>
          <w:shd w:val="clear" w:color="auto" w:fill="FFFFFF"/>
        </w:rPr>
        <w:t xml:space="preserve">This model utilized the expressions of </w:t>
      </w:r>
      <w:r w:rsidR="00A91BCF">
        <w:rPr>
          <w:rFonts w:ascii="Times New Roman" w:hAnsi="Times New Roman" w:cs="Times New Roman"/>
          <w:bCs/>
          <w:shd w:val="clear" w:color="auto" w:fill="FFFFFF"/>
        </w:rPr>
        <w:t>sKGBs</w:t>
      </w:r>
      <w:r w:rsidR="003C6347" w:rsidRPr="00C21B42">
        <w:rPr>
          <w:rFonts w:ascii="Times New Roman" w:hAnsi="Times New Roman" w:cs="Times New Roman"/>
          <w:bCs/>
          <w:shd w:val="clear" w:color="auto" w:fill="FFFFFF"/>
        </w:rPr>
        <w:t xml:space="preserve"> derived from 60% of case (T2D/PC) and control samples from the aggregated transformed data (ATD). </w:t>
      </w:r>
      <w:r w:rsidR="003C6347" w:rsidRPr="00C21B42">
        <w:rPr>
          <w:rFonts w:ascii="Times New Roman" w:hAnsi="Times New Roman" w:cs="Times New Roman"/>
        </w:rPr>
        <w:t xml:space="preserve">We calculated the prediction performance scores (AUC, TPR, TNR, and Accuracy) for the test dataset that was made by the remaining 40% samples in both PC and T2D cases. </w:t>
      </w:r>
      <w:r w:rsidR="003C6347" w:rsidRPr="00C21B42">
        <w:rPr>
          <w:rFonts w:ascii="Times New Roman" w:hAnsi="Times New Roman" w:cs="Times New Roman"/>
          <w:bCs/>
          <w:shd w:val="clear" w:color="auto" w:fill="FFFFFF"/>
        </w:rPr>
        <w:t xml:space="preserve"> In this case, t</w:t>
      </w:r>
      <w:r w:rsidR="003C6347" w:rsidRPr="00C21B42">
        <w:rPr>
          <w:rStyle w:val="jss7040"/>
          <w:rFonts w:ascii="Times New Roman" w:hAnsi="Times New Roman" w:cs="Times New Roman"/>
          <w:bCs/>
          <w:shd w:val="clear" w:color="auto" w:fill="FFFFFF"/>
        </w:rPr>
        <w:t>he ATD can be constructed by the following way,</w:t>
      </w:r>
    </w:p>
    <w:p w14:paraId="68B59B9C" w14:textId="77777777" w:rsidR="003C6347" w:rsidRPr="00C21B42" w:rsidRDefault="003C6347" w:rsidP="003C6347">
      <w:pPr>
        <w:spacing w:line="360" w:lineRule="auto"/>
        <w:jc w:val="both"/>
        <w:rPr>
          <w:rFonts w:ascii="Times New Roman" w:hAnsi="Times New Roman" w:cs="Times New Roman"/>
          <w:bCs/>
        </w:rPr>
      </w:pPr>
      <w:r w:rsidRPr="00C21B42">
        <w:rPr>
          <w:rStyle w:val="jss7040"/>
          <w:rFonts w:ascii="Times New Roman" w:hAnsi="Times New Roman" w:cs="Times New Roman"/>
          <w:bCs/>
          <w:shd w:val="clear" w:color="auto" w:fill="FFFFFF"/>
        </w:rPr>
        <w:t xml:space="preserve">First </w:t>
      </w:r>
      <w:r w:rsidRPr="00C21B42">
        <w:rPr>
          <w:rFonts w:ascii="Times New Roman" w:hAnsi="Times New Roman" w:cs="Times New Roman"/>
          <w:bCs/>
        </w:rPr>
        <w:t xml:space="preserve">transformed each of the dataset by the following robust formula. </w:t>
      </w:r>
    </w:p>
    <w:p w14:paraId="1A1FA889" w14:textId="77777777" w:rsidR="003C6347" w:rsidRPr="00C21B42" w:rsidRDefault="00000000" w:rsidP="003C6347">
      <w:pPr>
        <w:spacing w:line="360" w:lineRule="auto"/>
        <w:jc w:val="center"/>
        <w:rPr>
          <w:rFonts w:ascii="Times New Roman" w:hAnsi="Times New Roman" w:cs="Times New Roman"/>
          <w:bCs/>
        </w:rPr>
      </w:pPr>
      <m:oMath>
        <m:sSubSup>
          <m:sSubSupPr>
            <m:ctrlPr>
              <w:rPr>
                <w:rFonts w:ascii="Cambria Math" w:hAnsi="Cambria Math" w:cs="Times New Roman"/>
                <w:bCs/>
              </w:rPr>
            </m:ctrlPr>
          </m:sSubSupPr>
          <m:e>
            <m:r>
              <m:rPr>
                <m:sty m:val="p"/>
              </m:rPr>
              <w:rPr>
                <w:rFonts w:ascii="Cambria Math" w:hAnsi="Cambria Math" w:cs="Times New Roman"/>
              </w:rPr>
              <m:t>X</m:t>
            </m:r>
          </m:e>
          <m:sub>
            <m:r>
              <w:rPr>
                <w:rFonts w:ascii="Cambria Math" w:hAnsi="Cambria Math" w:cs="Times New Roman"/>
              </w:rPr>
              <m:t>ij</m:t>
            </m:r>
          </m:sub>
          <m:sup>
            <m:r>
              <m:rPr>
                <m:sty m:val="p"/>
              </m:rPr>
              <w:rPr>
                <w:rFonts w:ascii="Cambria Math" w:hAnsi="Cambria Math" w:cs="Times New Roman"/>
              </w:rPr>
              <m:t>*</m:t>
            </m:r>
          </m:sup>
        </m:sSubSup>
        <m:r>
          <m:rPr>
            <m:sty m:val="p"/>
          </m:rPr>
          <w:rPr>
            <w:rFonts w:ascii="Cambria Math" w:hAnsi="Cambria Math" w:cs="Times New Roman"/>
          </w:rPr>
          <m:t>=</m:t>
        </m:r>
        <m:f>
          <m:fPr>
            <m:ctrlPr>
              <w:rPr>
                <w:rFonts w:ascii="Cambria Math" w:hAnsi="Cambria Math" w:cs="Times New Roman"/>
                <w:bCs/>
              </w:rPr>
            </m:ctrlPr>
          </m:fPr>
          <m:num>
            <m:sSub>
              <m:sSubPr>
                <m:ctrlPr>
                  <w:rPr>
                    <w:rFonts w:ascii="Cambria Math" w:hAnsi="Cambria Math" w:cs="Times New Roman"/>
                    <w:bCs/>
                  </w:rPr>
                </m:ctrlPr>
              </m:sSubPr>
              <m:e>
                <m:r>
                  <m:rPr>
                    <m:sty m:val="p"/>
                  </m:rPr>
                  <w:rPr>
                    <w:rFonts w:ascii="Cambria Math" w:hAnsi="Cambria Math" w:cs="Times New Roman"/>
                  </w:rPr>
                  <m:t>X</m:t>
                </m:r>
              </m:e>
              <m:sub>
                <m:r>
                  <w:rPr>
                    <w:rFonts w:ascii="Cambria Math" w:hAnsi="Cambria Math" w:cs="Times New Roman"/>
                  </w:rPr>
                  <m:t>ij</m:t>
                </m:r>
              </m:sub>
            </m:sSub>
            <m:r>
              <m:rPr>
                <m:sty m:val="p"/>
              </m:rPr>
              <w:rPr>
                <w:rFonts w:ascii="Cambria Math" w:hAnsi="Cambria Math" w:cs="Times New Roman"/>
              </w:rPr>
              <m:t xml:space="preserve"> -med(</m:t>
            </m:r>
            <m:sSub>
              <m:sSubPr>
                <m:ctrlPr>
                  <w:rPr>
                    <w:rFonts w:ascii="Cambria Math" w:hAnsi="Cambria Math" w:cs="Times New Roman"/>
                    <w:bCs/>
                  </w:rPr>
                </m:ctrlPr>
              </m:sSubPr>
              <m:e>
                <m:r>
                  <m:rPr>
                    <m:sty m:val="p"/>
                  </m:rPr>
                  <w:rPr>
                    <w:rFonts w:ascii="Cambria Math" w:hAnsi="Cambria Math" w:cs="Times New Roman"/>
                  </w:rPr>
                  <m:t>X</m:t>
                </m:r>
              </m:e>
              <m:sub>
                <m:r>
                  <w:rPr>
                    <w:rFonts w:ascii="Cambria Math" w:hAnsi="Cambria Math" w:cs="Times New Roman"/>
                  </w:rPr>
                  <m:t>i</m:t>
                </m:r>
              </m:sub>
            </m:sSub>
            <m:r>
              <m:rPr>
                <m:sty m:val="p"/>
              </m:rPr>
              <w:rPr>
                <w:rFonts w:ascii="Cambria Math" w:hAnsi="Cambria Math" w:cs="Times New Roman"/>
              </w:rPr>
              <m:t>)</m:t>
            </m:r>
          </m:num>
          <m:den>
            <m:sSub>
              <m:sSubPr>
                <m:ctrlPr>
                  <w:rPr>
                    <w:rFonts w:ascii="Cambria Math" w:hAnsi="Cambria Math" w:cs="Times New Roman"/>
                    <w:bCs/>
                  </w:rPr>
                </m:ctrlPr>
              </m:sSubPr>
              <m:e>
                <m:r>
                  <m:rPr>
                    <m:sty m:val="p"/>
                  </m:rPr>
                  <w:rPr>
                    <w:rFonts w:ascii="Cambria Math" w:hAnsi="Cambria Math" w:cs="Times New Roman"/>
                  </w:rPr>
                  <m:t>IQR</m:t>
                </m:r>
              </m:e>
              <m:sub>
                <m:r>
                  <w:rPr>
                    <w:rFonts w:ascii="Cambria Math" w:hAnsi="Cambria Math" w:cs="Times New Roman"/>
                  </w:rPr>
                  <m:t>i</m:t>
                </m:r>
              </m:sub>
            </m:sSub>
          </m:den>
        </m:f>
      </m:oMath>
      <w:r w:rsidR="003C6347" w:rsidRPr="00C21B42">
        <w:rPr>
          <w:rFonts w:ascii="Times New Roman" w:eastAsiaTheme="minorEastAsia" w:hAnsi="Times New Roman" w:cs="Times New Roman"/>
          <w:bCs/>
        </w:rPr>
        <w:t>,…………………………. (1)</w:t>
      </w:r>
    </w:p>
    <w:p w14:paraId="4B9142B8" w14:textId="77777777" w:rsidR="003C6347" w:rsidRPr="00C21B42" w:rsidRDefault="003C6347" w:rsidP="003C6347">
      <w:pPr>
        <w:spacing w:line="360" w:lineRule="auto"/>
        <w:jc w:val="both"/>
        <w:rPr>
          <w:rFonts w:ascii="Times New Roman" w:eastAsiaTheme="minorEastAsia" w:hAnsi="Times New Roman" w:cs="Times New Roman"/>
          <w:bCs/>
        </w:rPr>
      </w:pPr>
      <w:r w:rsidRPr="00C21B42">
        <w:rPr>
          <w:rFonts w:ascii="Times New Roman" w:eastAsiaTheme="minorEastAsia" w:hAnsi="Times New Roman" w:cs="Times New Roman"/>
          <w:bCs/>
        </w:rPr>
        <w:t xml:space="preserve">Where,  </w:t>
      </w:r>
      <m:oMath>
        <m:sSub>
          <m:sSubPr>
            <m:ctrlPr>
              <w:rPr>
                <w:rFonts w:ascii="Cambria Math" w:hAnsi="Cambria Math" w:cs="Times New Roman"/>
                <w:bCs/>
              </w:rPr>
            </m:ctrlPr>
          </m:sSubPr>
          <m:e>
            <m:r>
              <m:rPr>
                <m:sty m:val="p"/>
              </m:rPr>
              <w:rPr>
                <w:rFonts w:ascii="Cambria Math" w:hAnsi="Cambria Math" w:cs="Times New Roman"/>
              </w:rPr>
              <m:t>X</m:t>
            </m:r>
          </m:e>
          <m:sub>
            <m:r>
              <w:rPr>
                <w:rFonts w:ascii="Cambria Math" w:hAnsi="Cambria Math" w:cs="Times New Roman"/>
              </w:rPr>
              <m:t>ij</m:t>
            </m:r>
          </m:sub>
        </m:sSub>
        <m:r>
          <m:rPr>
            <m:sty m:val="p"/>
          </m:rPr>
          <w:rPr>
            <w:rFonts w:ascii="Cambria Math" w:hAnsi="Cambria Math" w:cs="Times New Roman"/>
          </w:rPr>
          <m:t xml:space="preserve"> </m:t>
        </m:r>
      </m:oMath>
      <w:r w:rsidRPr="00C21B42">
        <w:rPr>
          <w:rFonts w:ascii="Times New Roman" w:eastAsiaTheme="minorEastAsia" w:hAnsi="Times New Roman" w:cs="Times New Roman"/>
          <w:bCs/>
        </w:rPr>
        <w:t xml:space="preserve"> indicates the expression value of </w:t>
      </w:r>
      <m:oMath>
        <m:sSup>
          <m:sSupPr>
            <m:ctrlPr>
              <w:rPr>
                <w:rFonts w:ascii="Cambria Math" w:eastAsiaTheme="minorEastAsia" w:hAnsi="Cambria Math" w:cs="Times New Roman"/>
                <w:bCs/>
              </w:rPr>
            </m:ctrlPr>
          </m:sSupPr>
          <m:e>
            <m:r>
              <w:rPr>
                <w:rFonts w:ascii="Cambria Math" w:eastAsiaTheme="minorEastAsia" w:hAnsi="Cambria Math" w:cs="Times New Roman"/>
              </w:rPr>
              <m:t>i</m:t>
            </m:r>
          </m:e>
          <m:sup>
            <m:r>
              <m:rPr>
                <m:sty m:val="p"/>
              </m:rPr>
              <w:rPr>
                <w:rFonts w:ascii="Cambria Math" w:eastAsiaTheme="minorEastAsia" w:hAnsi="Cambria Math" w:cs="Times New Roman"/>
              </w:rPr>
              <m:t>th</m:t>
            </m:r>
          </m:sup>
        </m:sSup>
        <m:r>
          <m:rPr>
            <m:sty m:val="p"/>
          </m:rPr>
          <w:rPr>
            <w:rFonts w:ascii="Cambria Math" w:eastAsiaTheme="minorEastAsia" w:hAnsi="Cambria Math" w:cs="Times New Roman"/>
          </w:rPr>
          <m:t xml:space="preserve"> </m:t>
        </m:r>
      </m:oMath>
      <w:r w:rsidRPr="00C21B42">
        <w:rPr>
          <w:rFonts w:ascii="Times New Roman" w:eastAsiaTheme="minorEastAsia" w:hAnsi="Times New Roman" w:cs="Times New Roman"/>
          <w:bCs/>
        </w:rPr>
        <w:t xml:space="preserve">gene and </w:t>
      </w:r>
      <m:oMath>
        <m:sSup>
          <m:sSupPr>
            <m:ctrlPr>
              <w:rPr>
                <w:rFonts w:ascii="Cambria Math" w:eastAsiaTheme="minorEastAsia" w:hAnsi="Cambria Math" w:cs="Times New Roman"/>
                <w:bCs/>
              </w:rPr>
            </m:ctrlPr>
          </m:sSupPr>
          <m:e>
            <m:r>
              <w:rPr>
                <w:rFonts w:ascii="Cambria Math" w:eastAsiaTheme="minorEastAsia" w:hAnsi="Cambria Math" w:cs="Times New Roman"/>
              </w:rPr>
              <m:t>j</m:t>
            </m:r>
          </m:e>
          <m:sup>
            <m:r>
              <m:rPr>
                <m:sty m:val="p"/>
              </m:rPr>
              <w:rPr>
                <w:rFonts w:ascii="Cambria Math" w:eastAsiaTheme="minorEastAsia" w:hAnsi="Cambria Math" w:cs="Times New Roman"/>
              </w:rPr>
              <m:t>th</m:t>
            </m:r>
          </m:sup>
        </m:sSup>
      </m:oMath>
      <w:r w:rsidRPr="00C21B42">
        <w:rPr>
          <w:rFonts w:ascii="Times New Roman" w:eastAsiaTheme="minorEastAsia" w:hAnsi="Times New Roman" w:cs="Times New Roman"/>
          <w:bCs/>
        </w:rPr>
        <w:t xml:space="preserve"> sample;  </w:t>
      </w:r>
      <m:oMath>
        <m:r>
          <m:rPr>
            <m:sty m:val="p"/>
          </m:rPr>
          <w:rPr>
            <w:rFonts w:ascii="Cambria Math" w:hAnsi="Cambria Math" w:cs="Times New Roman"/>
          </w:rPr>
          <m:t>med(</m:t>
        </m:r>
        <m:sSub>
          <m:sSubPr>
            <m:ctrlPr>
              <w:rPr>
                <w:rFonts w:ascii="Cambria Math" w:hAnsi="Cambria Math" w:cs="Times New Roman"/>
                <w:bCs/>
              </w:rPr>
            </m:ctrlPr>
          </m:sSubPr>
          <m:e>
            <m:r>
              <m:rPr>
                <m:sty m:val="p"/>
              </m:rPr>
              <w:rPr>
                <w:rFonts w:ascii="Cambria Math" w:hAnsi="Cambria Math" w:cs="Times New Roman"/>
              </w:rPr>
              <m:t>X</m:t>
            </m:r>
          </m:e>
          <m:sub>
            <m:r>
              <w:rPr>
                <w:rFonts w:ascii="Cambria Math" w:hAnsi="Cambria Math" w:cs="Times New Roman"/>
              </w:rPr>
              <m:t>i</m:t>
            </m:r>
          </m:sub>
        </m:sSub>
        <m:r>
          <m:rPr>
            <m:sty m:val="p"/>
          </m:rPr>
          <w:rPr>
            <w:rFonts w:ascii="Cambria Math" w:hAnsi="Cambria Math" w:cs="Times New Roman"/>
          </w:rPr>
          <m:t>)</m:t>
        </m:r>
      </m:oMath>
      <w:r w:rsidRPr="00C21B42">
        <w:rPr>
          <w:rFonts w:ascii="Times New Roman" w:eastAsiaTheme="minorEastAsia" w:hAnsi="Times New Roman" w:cs="Times New Roman"/>
          <w:bCs/>
        </w:rPr>
        <w:t xml:space="preserve"> and </w:t>
      </w:r>
      <m:oMath>
        <m:sSub>
          <m:sSubPr>
            <m:ctrlPr>
              <w:rPr>
                <w:rFonts w:ascii="Cambria Math" w:hAnsi="Cambria Math" w:cs="Times New Roman"/>
                <w:bCs/>
              </w:rPr>
            </m:ctrlPr>
          </m:sSubPr>
          <m:e>
            <m:r>
              <m:rPr>
                <m:sty m:val="p"/>
              </m:rPr>
              <w:rPr>
                <w:rFonts w:ascii="Cambria Math" w:hAnsi="Cambria Math" w:cs="Times New Roman"/>
              </w:rPr>
              <m:t>IQR</m:t>
            </m:r>
          </m:e>
          <m:sub>
            <m:r>
              <w:rPr>
                <w:rFonts w:ascii="Cambria Math" w:hAnsi="Cambria Math" w:cs="Times New Roman"/>
              </w:rPr>
              <m:t>i</m:t>
            </m:r>
          </m:sub>
        </m:sSub>
      </m:oMath>
      <w:r w:rsidRPr="00C21B42">
        <w:rPr>
          <w:rFonts w:ascii="Times New Roman" w:eastAsiaTheme="minorEastAsia" w:hAnsi="Times New Roman" w:cs="Times New Roman"/>
          <w:bCs/>
        </w:rPr>
        <w:t xml:space="preserve"> are the median and </w:t>
      </w:r>
      <w:r w:rsidRPr="00C21B42">
        <w:rPr>
          <w:rFonts w:ascii="Times New Roman" w:hAnsi="Times New Roman" w:cs="Times New Roman"/>
          <w:bCs/>
        </w:rPr>
        <w:t xml:space="preserve">interquartile range of </w:t>
      </w:r>
      <m:oMath>
        <m:sSup>
          <m:sSupPr>
            <m:ctrlPr>
              <w:rPr>
                <w:rFonts w:ascii="Cambria Math" w:eastAsiaTheme="minorEastAsia" w:hAnsi="Cambria Math" w:cs="Times New Roman"/>
                <w:bCs/>
              </w:rPr>
            </m:ctrlPr>
          </m:sSupPr>
          <m:e>
            <m:r>
              <w:rPr>
                <w:rFonts w:ascii="Cambria Math" w:eastAsiaTheme="minorEastAsia" w:hAnsi="Cambria Math" w:cs="Times New Roman"/>
              </w:rPr>
              <m:t>i</m:t>
            </m:r>
          </m:e>
          <m:sup>
            <m:r>
              <m:rPr>
                <m:sty m:val="p"/>
              </m:rPr>
              <w:rPr>
                <w:rFonts w:ascii="Cambria Math" w:eastAsiaTheme="minorEastAsia" w:hAnsi="Cambria Math" w:cs="Times New Roman"/>
              </w:rPr>
              <m:t>th</m:t>
            </m:r>
          </m:sup>
        </m:sSup>
        <m:r>
          <m:rPr>
            <m:sty m:val="p"/>
          </m:rPr>
          <w:rPr>
            <w:rFonts w:ascii="Cambria Math" w:eastAsiaTheme="minorEastAsia" w:hAnsi="Cambria Math" w:cs="Times New Roman"/>
          </w:rPr>
          <m:t xml:space="preserve"> </m:t>
        </m:r>
      </m:oMath>
      <w:r w:rsidRPr="00C21B42">
        <w:rPr>
          <w:rFonts w:ascii="Times New Roman" w:hAnsi="Times New Roman" w:cs="Times New Roman"/>
          <w:bCs/>
        </w:rPr>
        <w:t>gene, respectively.</w:t>
      </w:r>
    </w:p>
    <w:p w14:paraId="1EB97A77" w14:textId="77777777" w:rsidR="003C6347" w:rsidRPr="00C21B42" w:rsidRDefault="003C6347" w:rsidP="003C6347">
      <w:pPr>
        <w:spacing w:after="0" w:line="360" w:lineRule="auto"/>
        <w:jc w:val="both"/>
        <w:rPr>
          <w:rFonts w:ascii="Times New Roman" w:hAnsi="Times New Roman" w:cs="Times New Roman"/>
          <w:bCs/>
        </w:rPr>
      </w:pPr>
      <w:r w:rsidRPr="00C21B42">
        <w:rPr>
          <w:rFonts w:ascii="Times New Roman" w:hAnsi="Times New Roman" w:cs="Times New Roman"/>
          <w:bCs/>
        </w:rPr>
        <w:t>Then, we combined the datasets (for each group) according the unique gene symbols.</w:t>
      </w:r>
    </w:p>
    <w:p w14:paraId="4C9BF71B" w14:textId="77777777" w:rsidR="003C6347" w:rsidRPr="00C21B42" w:rsidRDefault="003C6347" w:rsidP="003C6347">
      <w:pPr>
        <w:spacing w:after="0" w:line="360" w:lineRule="auto"/>
        <w:jc w:val="both"/>
        <w:rPr>
          <w:rFonts w:ascii="Times New Roman" w:hAnsi="Times New Roman" w:cs="Times New Roman"/>
          <w:bCs/>
        </w:rPr>
      </w:pPr>
    </w:p>
    <w:p w14:paraId="1663926A" w14:textId="7D5ADD67" w:rsidR="003C6347" w:rsidRPr="00C21B42" w:rsidRDefault="00447ECA" w:rsidP="003C6347">
      <w:pPr>
        <w:spacing w:line="360" w:lineRule="auto"/>
        <w:jc w:val="both"/>
        <w:rPr>
          <w:rFonts w:ascii="Times New Roman" w:hAnsi="Times New Roman" w:cs="Times New Roman"/>
          <w:b/>
        </w:rPr>
      </w:pPr>
      <w:r>
        <w:rPr>
          <w:rFonts w:ascii="Times New Roman" w:hAnsi="Times New Roman" w:cs="Times New Roman"/>
          <w:b/>
        </w:rPr>
        <w:t>S</w:t>
      </w:r>
      <w:r w:rsidR="00920A42">
        <w:rPr>
          <w:rFonts w:ascii="Times New Roman" w:hAnsi="Times New Roman" w:cs="Times New Roman"/>
          <w:b/>
        </w:rPr>
        <w:t>4</w:t>
      </w:r>
      <w:r w:rsidR="003C6347" w:rsidRPr="00C21B42">
        <w:rPr>
          <w:rFonts w:ascii="Times New Roman" w:hAnsi="Times New Roman" w:cs="Times New Roman"/>
          <w:b/>
        </w:rPr>
        <w:t xml:space="preserve">.2.  </w:t>
      </w:r>
      <w:r w:rsidR="00E129BC">
        <w:rPr>
          <w:rFonts w:ascii="Times New Roman" w:hAnsi="Times New Roman" w:cs="Times New Roman"/>
          <w:b/>
          <w:shd w:val="clear" w:color="auto" w:fill="FFFFFF"/>
        </w:rPr>
        <w:t>Validation of</w:t>
      </w:r>
      <w:r w:rsidR="00E129BC" w:rsidRPr="006A414C">
        <w:rPr>
          <w:rFonts w:ascii="Times New Roman" w:hAnsi="Times New Roman" w:cs="Times New Roman"/>
          <w:b/>
          <w:shd w:val="clear" w:color="auto" w:fill="FFFFFF"/>
        </w:rPr>
        <w:t xml:space="preserve"> </w:t>
      </w:r>
      <w:r w:rsidR="00A91BCF">
        <w:rPr>
          <w:rFonts w:ascii="Times New Roman" w:hAnsi="Times New Roman" w:cs="Times New Roman"/>
          <w:b/>
          <w:shd w:val="clear" w:color="auto" w:fill="FFFFFF"/>
        </w:rPr>
        <w:t>sKGBs</w:t>
      </w:r>
      <w:r w:rsidR="00E129BC">
        <w:rPr>
          <w:rFonts w:ascii="Times New Roman" w:hAnsi="Times New Roman" w:cs="Times New Roman"/>
          <w:b/>
          <w:shd w:val="clear" w:color="auto" w:fill="FFFFFF"/>
        </w:rPr>
        <w:t xml:space="preserve"> by </w:t>
      </w:r>
      <w:r w:rsidR="003C6347" w:rsidRPr="00C21B42">
        <w:rPr>
          <w:rFonts w:ascii="Times New Roman" w:hAnsi="Times New Roman" w:cs="Times New Roman"/>
          <w:b/>
        </w:rPr>
        <w:t xml:space="preserve">Box plot analysis </w:t>
      </w:r>
    </w:p>
    <w:p w14:paraId="04F4AA8D" w14:textId="3A50FD64" w:rsidR="003C6347" w:rsidRPr="00C21B42" w:rsidRDefault="003C6347" w:rsidP="003C6347">
      <w:pPr>
        <w:spacing w:line="360" w:lineRule="auto"/>
        <w:jc w:val="both"/>
        <w:rPr>
          <w:rFonts w:ascii="Times New Roman" w:hAnsi="Times New Roman" w:cs="Times New Roman"/>
          <w:bCs/>
        </w:rPr>
      </w:pPr>
      <w:bookmarkStart w:id="18" w:name="_Hlk138193394"/>
      <w:r w:rsidRPr="00C21B42">
        <w:rPr>
          <w:rFonts w:ascii="Times New Roman" w:hAnsi="Times New Roman" w:cs="Times New Roman"/>
          <w:bCs/>
        </w:rPr>
        <w:t xml:space="preserve">To verify the expression levels of </w:t>
      </w:r>
      <w:r w:rsidR="00A91BCF">
        <w:rPr>
          <w:rFonts w:ascii="Times New Roman" w:hAnsi="Times New Roman" w:cs="Times New Roman"/>
          <w:bCs/>
        </w:rPr>
        <w:t>sKGBs</w:t>
      </w:r>
      <w:r w:rsidRPr="00C21B42">
        <w:rPr>
          <w:rFonts w:ascii="Times New Roman" w:hAnsi="Times New Roman" w:cs="Times New Roman"/>
          <w:bCs/>
        </w:rPr>
        <w:t xml:space="preserve">, we employed the GEPIA2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{"citationItems":[{"id":"ITEM-1","itemData":{"DOI":"10.1093/nar/gkz430","ISSN":"13624962","abstract":"Introduced in 2017, the GEPIA (Gene Expression Profiling Interactive Analysis) web server has been a valuable and highly cited resource for gene expression analysis based on tumor and normal samples from the TCGA and the GTEx databases. Here, we present GEPIA2, an updated and enhanced version to provide insights with higher resolution and more functionalities. Featuring 198 619 isoforms and 84 cancer subtypes, GEPIA2 has extended gene expression quantification from the gene level to the transcript level, and supports analysis of a specific cancer subtype, and comparison between subtypes. In addition, GEPIA2 has adopted new analysis techniques of gene signature quantification inspired by single-cell sequencing studies, and provides customized analysis where users can upload their own RNA-seq data and compare them with TCGA and GTEx samples. We also offer an API for batch process and easy retrieval of the analysis results. The updated web server is publicly accessible at http://gepia2.cancer-pku.cn/.","author":[{"dropping-particle":"","family":"Tang","given":"Zefang","non-dropping-particle":"","parse-names":false,"suffix":""},{"dropping-particle":"","family":"Kang","given":"Boxi","non-dropping-particle":"","parse-names":false,"suffix":""},{"dropping-particle":"","family":"Li","given":"Chenwei","non-dropping-particle":"","parse-names":false,"suffix":""},{"dropping-particle":"","family":"Chen","given":"Tianxiang","non-dropping-particle":"","parse-names":false,"suffix":""},{"dropping-particle":"","family":"Zhang","given":"Zemin","non-dropping-particle":"","parse-names":false,"suffix":""}],"container-title":"Nucleic Acids Research","id":"ITEM-1","issue":"W1","issued":{"date-parts":[["2019"]]},"title":"GEPIA2: an enhanced web server for large-scale expression profiling and interactive analysis","type":"article-journal","volume":"47"},"uris":["http://www.mendeley.com/documents/?uuid=0a6736fb-3b07-499d-a43c-30b5f297f397"]}],"mendeley":{"formattedCitation":"[10]","plainTextFormattedCitation":"[10]","previouslyFormattedCitation":"[10]"},"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[10]</w:t>
      </w:r>
      <w:r w:rsidRPr="00C21B42">
        <w:rPr>
          <w:rFonts w:ascii="Times New Roman" w:hAnsi="Times New Roman" w:cs="Times New Roman"/>
          <w:bCs/>
        </w:rPr>
        <w:fldChar w:fldCharType="end"/>
      </w:r>
      <w:r w:rsidRPr="00C21B42">
        <w:rPr>
          <w:rFonts w:ascii="Times New Roman" w:hAnsi="Times New Roman" w:cs="Times New Roman"/>
          <w:bCs/>
        </w:rPr>
        <w:t xml:space="preserve">  web tool, which utilizes </w:t>
      </w:r>
      <w:bookmarkStart w:id="19" w:name="_Hlk138196260"/>
      <w:r w:rsidRPr="00C21B42">
        <w:rPr>
          <w:rFonts w:ascii="Times New Roman" w:hAnsi="Times New Roman" w:cs="Times New Roman"/>
          <w:bCs/>
        </w:rPr>
        <w:t xml:space="preserve">TCGA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{"citationItems":[{"id":"ITEM-1","itemData":{"author":[{"dropping-particle":"","family":"NIH","given":"","non-dropping-particle":"","parse-names":false,"suffix":""}],"id":"ITEM-1","issued":{"date-parts":[["2022"]]},"title":"The Cancer Genome Atlas Program - NCI","type":"article-journal"},"uris":["http://www.mendeley.com/documents/?uuid=db131c04-0696-4304-b07a-10a551112f9a"]}],"mendeley":{"formattedCitation":"[11]","plainTextFormattedCitation":"[11]","previouslyFormattedCitation":"[11]"},"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[11]</w:t>
      </w:r>
      <w:r w:rsidRPr="00C21B42">
        <w:rPr>
          <w:rFonts w:ascii="Times New Roman" w:hAnsi="Times New Roman" w:cs="Times New Roman"/>
          <w:bCs/>
        </w:rPr>
        <w:fldChar w:fldCharType="end"/>
      </w:r>
      <w:r w:rsidRPr="00C21B42">
        <w:rPr>
          <w:rFonts w:ascii="Times New Roman" w:hAnsi="Times New Roman" w:cs="Times New Roman"/>
          <w:bCs/>
        </w:rPr>
        <w:t xml:space="preserve"> and GTEx portal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{"citationItems":[{"id":"ITEM-1","itemData":{"DOI":"10.1089/bio.2015.29031.hmm","ISSN":"19475543","PMID":"26484569","author":[{"dropping-particle":"","family":"Carithers","given":"Latarsha J.","non-dropping-particle":"","parse-names":false,"suffix":""},{"dropping-particle":"","family":"Moore","given":"Helen M.","non-dropping-particle":"","parse-names":false,"suffix":""}],"container-title":"Biopreservation and Biobanking","id":"ITEM-1","issue":"5","issued":{"date-parts":[["2015"]]},"page":"307-308","title":"The Genotype-Tissue Expression (GTEx) Project","type":"article-journal","volume":"13"},"uris":["http://www.mendeley.com/documents/?uuid=e00812b3-b7b6-470c-9ff7-12d1ae9a560b","http://www.mendeley.com/documents/?uuid=407dc13d-81d0-40ae-aa8c-1df8b9bb67ec"]}],"mendeley":{"formattedCitation":"[12]","plainTextFormattedCitation":"[12]","previouslyFormattedCitation":"[12]"},"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[12]</w:t>
      </w:r>
      <w:r w:rsidRPr="00C21B42">
        <w:rPr>
          <w:rFonts w:ascii="Times New Roman" w:hAnsi="Times New Roman" w:cs="Times New Roman"/>
          <w:bCs/>
        </w:rPr>
        <w:fldChar w:fldCharType="end"/>
      </w:r>
      <w:r w:rsidRPr="00C21B42">
        <w:rPr>
          <w:rFonts w:ascii="Times New Roman" w:hAnsi="Times New Roman" w:cs="Times New Roman"/>
          <w:bCs/>
        </w:rPr>
        <w:t xml:space="preserve"> database </w:t>
      </w:r>
      <w:bookmarkEnd w:id="19"/>
      <w:r w:rsidRPr="00C21B42">
        <w:rPr>
          <w:rFonts w:ascii="Times New Roman" w:hAnsi="Times New Roman" w:cs="Times New Roman"/>
          <w:bCs/>
        </w:rPr>
        <w:t xml:space="preserve">and constructed Box plots for expression levels of </w:t>
      </w:r>
      <w:r w:rsidR="00A91BCF">
        <w:rPr>
          <w:rFonts w:ascii="Times New Roman" w:hAnsi="Times New Roman" w:cs="Times New Roman"/>
          <w:bCs/>
        </w:rPr>
        <w:t>sKGBs</w:t>
      </w:r>
      <w:r w:rsidRPr="00C21B42">
        <w:rPr>
          <w:rFonts w:ascii="Times New Roman" w:hAnsi="Times New Roman" w:cs="Times New Roman"/>
          <w:bCs/>
        </w:rPr>
        <w:t xml:space="preserve"> in PC tissues and compared them to those in normal tissues.</w:t>
      </w:r>
    </w:p>
    <w:bookmarkEnd w:id="18"/>
    <w:p w14:paraId="393FA5FC" w14:textId="09C480FB" w:rsidR="003C6347" w:rsidRPr="00C21B42" w:rsidRDefault="00AE051C" w:rsidP="003C6347">
      <w:pPr>
        <w:spacing w:line="360" w:lineRule="auto"/>
        <w:jc w:val="both"/>
        <w:rPr>
          <w:rFonts w:ascii="Times New Roman" w:hAnsi="Times New Roman" w:cs="Times New Roman"/>
          <w:b/>
        </w:rPr>
      </w:pPr>
      <w:r>
        <w:rPr>
          <w:rFonts w:ascii="Times New Roman" w:hAnsi="Times New Roman" w:cs="Times New Roman"/>
          <w:b/>
        </w:rPr>
        <w:t>A</w:t>
      </w:r>
      <w:r w:rsidR="00920A42">
        <w:rPr>
          <w:rFonts w:ascii="Times New Roman" w:hAnsi="Times New Roman" w:cs="Times New Roman"/>
          <w:b/>
        </w:rPr>
        <w:t>5</w:t>
      </w:r>
      <w:r w:rsidR="003C6347" w:rsidRPr="00C21B42">
        <w:rPr>
          <w:rFonts w:ascii="Times New Roman" w:hAnsi="Times New Roman" w:cs="Times New Roman"/>
          <w:b/>
          <w:bCs/>
        </w:rPr>
        <w:t xml:space="preserve">. </w:t>
      </w:r>
      <w:r w:rsidR="003C6347" w:rsidRPr="00C21B42">
        <w:rPr>
          <w:rFonts w:ascii="Times New Roman" w:hAnsi="Times New Roman" w:cs="Times New Roman"/>
          <w:b/>
        </w:rPr>
        <w:t>Exploring shared pathogenetic processes of PC and T2D</w:t>
      </w:r>
    </w:p>
    <w:p w14:paraId="2E3EAB6B" w14:textId="4B0F8D4A" w:rsidR="00EB27FD" w:rsidRDefault="003C6347" w:rsidP="003C6347">
      <w:pPr>
        <w:spacing w:line="360" w:lineRule="auto"/>
        <w:jc w:val="both"/>
        <w:rPr>
          <w:rFonts w:ascii="Times New Roman" w:hAnsi="Times New Roman" w:cs="Times New Roman"/>
          <w:bCs/>
        </w:rPr>
      </w:pPr>
      <w:bookmarkStart w:id="20" w:name="_Hlk138193408"/>
      <w:r w:rsidRPr="00C21B42">
        <w:rPr>
          <w:rFonts w:ascii="Times New Roman" w:hAnsi="Times New Roman" w:cs="Times New Roman"/>
          <w:bCs/>
        </w:rPr>
        <w:t xml:space="preserve">An attempt was undertaken to explore shared pathogenetic process by </w:t>
      </w:r>
      <w:r w:rsidR="00A91BCF">
        <w:rPr>
          <w:rFonts w:ascii="Times New Roman" w:hAnsi="Times New Roman" w:cs="Times New Roman"/>
          <w:bCs/>
        </w:rPr>
        <w:t>sKGBs</w:t>
      </w:r>
      <w:r w:rsidRPr="00C21B42">
        <w:rPr>
          <w:rFonts w:ascii="Times New Roman" w:hAnsi="Times New Roman" w:cs="Times New Roman"/>
          <w:bCs/>
        </w:rPr>
        <w:t xml:space="preserve">-set enrichment analysis, association with the different immune infiltration levels, methylation, and regulatory analysis of </w:t>
      </w:r>
      <w:r w:rsidR="00A91BCF">
        <w:rPr>
          <w:rFonts w:ascii="Times New Roman" w:hAnsi="Times New Roman" w:cs="Times New Roman"/>
          <w:bCs/>
        </w:rPr>
        <w:t>sKGBs</w:t>
      </w:r>
      <w:r w:rsidRPr="00C21B42">
        <w:rPr>
          <w:rFonts w:ascii="Times New Roman" w:hAnsi="Times New Roman" w:cs="Times New Roman"/>
          <w:bCs/>
        </w:rPr>
        <w:t xml:space="preserve"> with the use of various databases</w:t>
      </w:r>
      <w:bookmarkEnd w:id="20"/>
      <w:r w:rsidRPr="00C21B42">
        <w:rPr>
          <w:rFonts w:ascii="Times New Roman" w:hAnsi="Times New Roman" w:cs="Times New Roman"/>
          <w:bCs/>
        </w:rPr>
        <w:t>, as described below.</w:t>
      </w:r>
    </w:p>
    <w:p w14:paraId="3E6A4811" w14:textId="77777777" w:rsidR="00A462BC" w:rsidRDefault="00A462BC" w:rsidP="003C6347">
      <w:pPr>
        <w:spacing w:line="360" w:lineRule="auto"/>
        <w:jc w:val="both"/>
        <w:rPr>
          <w:rFonts w:ascii="Times New Roman" w:hAnsi="Times New Roman" w:cs="Times New Roman"/>
          <w:bCs/>
        </w:rPr>
      </w:pPr>
    </w:p>
    <w:p w14:paraId="66F15D51" w14:textId="77777777" w:rsidR="00A462BC" w:rsidRPr="00C21B42" w:rsidRDefault="00A462BC" w:rsidP="003C6347">
      <w:pPr>
        <w:spacing w:line="360" w:lineRule="auto"/>
        <w:jc w:val="both"/>
        <w:rPr>
          <w:rFonts w:ascii="Times New Roman" w:hAnsi="Times New Roman" w:cs="Times New Roman"/>
          <w:bCs/>
        </w:rPr>
      </w:pPr>
    </w:p>
    <w:p w14:paraId="09AD681E" w14:textId="3BA87A56" w:rsidR="003C6347" w:rsidRPr="00C21B42" w:rsidRDefault="00447ECA" w:rsidP="003C6347">
      <w:pPr>
        <w:spacing w:after="0"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5</w:t>
      </w:r>
      <w:r w:rsidR="003C6347" w:rsidRPr="00C21B42">
        <w:rPr>
          <w:rFonts w:ascii="Times New Roman" w:hAnsi="Times New Roman" w:cs="Times New Roman"/>
          <w:b/>
        </w:rPr>
        <w:t xml:space="preserve">.1. </w:t>
      </w:r>
      <w:r w:rsidR="00B720F9">
        <w:rPr>
          <w:rFonts w:ascii="Times New Roman" w:hAnsi="Times New Roman" w:cs="Times New Roman"/>
          <w:b/>
        </w:rPr>
        <w:t xml:space="preserve">Exploring </w:t>
      </w:r>
      <w:r w:rsidR="003C6347" w:rsidRPr="00C21B42">
        <w:rPr>
          <w:rFonts w:ascii="Times New Roman" w:hAnsi="Times New Roman" w:cs="Times New Roman"/>
          <w:b/>
        </w:rPr>
        <w:t>GO-terms and KEGG pathways</w:t>
      </w:r>
      <w:r w:rsidR="00B720F9">
        <w:rPr>
          <w:rFonts w:ascii="Times New Roman" w:hAnsi="Times New Roman" w:cs="Times New Roman"/>
          <w:b/>
        </w:rPr>
        <w:t xml:space="preserve"> by the enrichment analysis of </w:t>
      </w:r>
      <w:r w:rsidR="00A91BCF">
        <w:rPr>
          <w:rFonts w:ascii="Times New Roman" w:hAnsi="Times New Roman" w:cs="Times New Roman"/>
          <w:b/>
        </w:rPr>
        <w:t>sKGBs</w:t>
      </w:r>
      <w:r w:rsidR="00B720F9">
        <w:rPr>
          <w:rFonts w:ascii="Times New Roman" w:hAnsi="Times New Roman" w:cs="Times New Roman"/>
          <w:b/>
        </w:rPr>
        <w:t xml:space="preserve"> </w:t>
      </w:r>
    </w:p>
    <w:p w14:paraId="7CA6B31F" w14:textId="7A50CB5A" w:rsidR="003C6347" w:rsidRDefault="003C6347" w:rsidP="00193870">
      <w:pPr>
        <w:pStyle w:val="NoSpacing"/>
        <w:spacing w:line="360" w:lineRule="auto"/>
        <w:jc w:val="both"/>
        <w:rPr>
          <w:rFonts w:ascii="Times New Roman" w:hAnsi="Times New Roman" w:cs="Times New Roman"/>
          <w:bCs/>
        </w:rPr>
      </w:pPr>
      <w:bookmarkStart w:id="21" w:name="_Hlk138193437"/>
      <w:r w:rsidRPr="00C21B42">
        <w:rPr>
          <w:rFonts w:ascii="Times New Roman" w:hAnsi="Times New Roman" w:cs="Times New Roman"/>
          <w:bCs/>
          <w:spacing w:val="3"/>
        </w:rPr>
        <w:t xml:space="preserve">To explore </w:t>
      </w:r>
      <w:r w:rsidR="00A91BCF">
        <w:rPr>
          <w:rFonts w:ascii="Times New Roman" w:hAnsi="Times New Roman" w:cs="Times New Roman"/>
          <w:bCs/>
          <w:spacing w:val="3"/>
        </w:rPr>
        <w:t>sKGBs</w:t>
      </w:r>
      <w:r w:rsidRPr="00C21B42">
        <w:rPr>
          <w:rFonts w:ascii="Times New Roman" w:hAnsi="Times New Roman" w:cs="Times New Roman"/>
          <w:bCs/>
          <w:spacing w:val="3"/>
        </w:rPr>
        <w:t xml:space="preserve">-ontology terms (biological processes (BP), molecular functions (MF), cellular components (CC)) and  Kyoto encyclopedia of genes and genomes (KEGG) pathways by the </w:t>
      </w:r>
      <w:r w:rsidR="00A91BCF">
        <w:rPr>
          <w:rFonts w:ascii="Times New Roman" w:hAnsi="Times New Roman" w:cs="Times New Roman"/>
          <w:bCs/>
          <w:spacing w:val="3"/>
        </w:rPr>
        <w:t>sKGBs</w:t>
      </w:r>
      <w:r w:rsidRPr="00C21B42">
        <w:rPr>
          <w:rFonts w:ascii="Times New Roman" w:hAnsi="Times New Roman" w:cs="Times New Roman"/>
          <w:bCs/>
          <w:spacing w:val="3"/>
        </w:rPr>
        <w:t xml:space="preserve"> that are associated with the development of T2D and PC, we employed </w:t>
      </w:r>
      <w:r w:rsidRPr="00C21B42">
        <w:rPr>
          <w:rFonts w:ascii="Times New Roman" w:eastAsia="TimesNewRomanMTStd" w:hAnsi="Times New Roman" w:cs="Times New Roman"/>
          <w:bCs/>
        </w:rPr>
        <w:t xml:space="preserve">enrichment analysis of </w:t>
      </w:r>
      <w:r w:rsidR="00A91BCF">
        <w:rPr>
          <w:rFonts w:ascii="Times New Roman" w:eastAsia="TimesNewRomanMTStd" w:hAnsi="Times New Roman" w:cs="Times New Roman"/>
          <w:bCs/>
        </w:rPr>
        <w:t>sKGBs</w:t>
      </w:r>
      <w:r w:rsidRPr="00C21B42">
        <w:rPr>
          <w:rFonts w:ascii="Times New Roman" w:hAnsi="Times New Roman" w:cs="Times New Roman"/>
          <w:bCs/>
          <w:spacing w:val="3"/>
        </w:rPr>
        <w:t>-</w:t>
      </w:r>
      <w:r w:rsidRPr="00C21B42">
        <w:rPr>
          <w:rFonts w:ascii="Times New Roman" w:hAnsi="Times New Roman" w:cs="Times New Roman"/>
          <w:bCs/>
          <w:spacing w:val="3"/>
        </w:rPr>
        <w:lastRenderedPageBreak/>
        <w:t xml:space="preserve">set  </w:t>
      </w:r>
      <w:bookmarkEnd w:id="21"/>
      <w:r w:rsidRPr="00C21B42">
        <w:rPr>
          <w:rFonts w:ascii="Times New Roman" w:hAnsi="Times New Roman" w:cs="Times New Roman"/>
          <w:bCs/>
          <w:spacing w:val="3"/>
        </w:rPr>
        <w:fldChar w:fldCharType="begin" w:fldLock="1"/>
      </w:r>
      <w:r w:rsidR="00936BE4" w:rsidRPr="00C21B42">
        <w:rPr>
          <w:rFonts w:ascii="Times New Roman" w:hAnsi="Times New Roman" w:cs="Times New Roman"/>
          <w:bCs/>
          <w:spacing w:val="3"/>
        </w:rPr>
        <w:instrText>ADDIN CSL_CITATION {"citationItems":[{"id":"ITEM-1","itemData":{"DOI":"10.1093/bioinformatics/bth456","abstract":"GO::TermFinder comprises a set of object-oriented Perl modules for accessing Gene Ontology (GO) information and evaluating and visualizing the collective annotation of a list of genes to GO terms. It can be used to draw conclusions from microarray and other biological data, calculating the statistical significance of each annotation. GO::TermFinder can be used on any system on which Perl can be run, either as a command line application , in single or batch mode, or as a web-based CGI script. Availability: The full source code and documentation for GO::TermFinder are freely available from http://search.cpan. org/dist/GO-TermFinder/ Contact:","author":[{"dropping-particle":"","family":"Boyle","given":"Elizabeth I","non-dropping-particle":"","parse-names":false,"suffix":""},{"dropping-particle":"","family":"Weng","given":"Shuai","non-dropping-particle":"","parse-names":false,"suffix":""},{"dropping-particle":"","family":"Gollub","given":"Jeremy","non-dropping-particle":"","parse-names":false,"suffix":""},{"dropping-particle":"","family":"Jin","given":"Heng","non-dropping-particle":"","parse-names":false,"suffix":""},{"dropping-particle":"","family":"Botstein","given":"David","non-dropping-particle":"","parse-names":false,"suffix":""},{"dropping-particle":"","family":"Cherry","given":"J Michael","non-dropping-particle":"","parse-names":false,"suffix":""},{"dropping-particle":"","family":"Sherlock","given":"Gavin","non-dropping-particle":"","parse-names":false,"suffix":""}],"container-title":"BIOINFORMATICS APPLICATIONS NOTE","id":"ITEM-1","issue":"18","issued":{"date-parts":[["2004"]]},"page":"3710-3715","title":"GO::TermFinder-open source software for accessing Gene Ontology information and finding significantly enriched Gene Ontology terms associated with a list of genes INTRODUCTION: MOTIVATION AND DESIGN","type":"article-journal","volume":"20"},"uris":["http://www.mendeley.com/documents/?uuid=0e614180-b849-4716-bde9-5df8077b4ffa"]}],"mendeley":{"formattedCitation":"[13]","plainTextFormattedCitation":"[13]","previouslyFormattedCitation":"[13]"},"properties":{"noteIndex":0},"schema":"https://github.com/citation-style-language/schema/raw/master/csl-citation.json"}</w:instrText>
      </w:r>
      <w:r w:rsidRPr="00C21B42">
        <w:rPr>
          <w:rFonts w:ascii="Times New Roman" w:hAnsi="Times New Roman" w:cs="Times New Roman"/>
          <w:bCs/>
          <w:spacing w:val="3"/>
        </w:rPr>
        <w:fldChar w:fldCharType="separate"/>
      </w:r>
      <w:r w:rsidRPr="00C21B42">
        <w:rPr>
          <w:rFonts w:ascii="Times New Roman" w:hAnsi="Times New Roman" w:cs="Times New Roman"/>
          <w:bCs/>
          <w:noProof/>
          <w:spacing w:val="3"/>
        </w:rPr>
        <w:t>[13]</w:t>
      </w:r>
      <w:r w:rsidRPr="00C21B42">
        <w:rPr>
          <w:rFonts w:ascii="Times New Roman" w:hAnsi="Times New Roman" w:cs="Times New Roman"/>
          <w:bCs/>
          <w:spacing w:val="3"/>
        </w:rPr>
        <w:fldChar w:fldCharType="end"/>
      </w:r>
      <w:r w:rsidRPr="00C21B42">
        <w:rPr>
          <w:rFonts w:ascii="Times New Roman" w:hAnsi="Times New Roman" w:cs="Times New Roman"/>
          <w:bCs/>
          <w:spacing w:val="3"/>
        </w:rPr>
        <w:t xml:space="preserve">. </w:t>
      </w:r>
      <w:r w:rsidRPr="00C21B42">
        <w:rPr>
          <w:rFonts w:ascii="Times New Roman" w:hAnsi="Times New Roman" w:cs="Times New Roman"/>
          <w:bCs/>
        </w:rPr>
        <w:t xml:space="preserve"> Let, A</w:t>
      </w:r>
      <w:r w:rsidRPr="00C21B42">
        <w:rPr>
          <w:rFonts w:ascii="Times New Roman" w:hAnsi="Times New Roman" w:cs="Times New Roman"/>
          <w:bCs/>
          <w:i/>
          <w:iCs/>
          <w:vertAlign w:val="subscript"/>
        </w:rPr>
        <w:t>i</w:t>
      </w:r>
      <w:r w:rsidRPr="00C21B42">
        <w:rPr>
          <w:rFonts w:ascii="Times New Roman" w:hAnsi="Times New Roman" w:cs="Times New Roman"/>
          <w:bCs/>
        </w:rPr>
        <w:t xml:space="preserve"> is the collection of enriched gene-set in the </w:t>
      </w:r>
      <m:oMath>
        <m:sSup>
          <m:sSupPr>
            <m:ctrlPr>
              <w:rPr>
                <w:rFonts w:ascii="Cambria Math" w:hAnsi="Cambria Math" w:cs="Times New Roman"/>
                <w:bCs/>
              </w:rPr>
            </m:ctrlPr>
          </m:sSupPr>
          <m:e>
            <m:r>
              <w:rPr>
                <w:rFonts w:ascii="Cambria Math" w:hAnsi="Cambria Math" w:cs="Times New Roman"/>
              </w:rPr>
              <m:t>i</m:t>
            </m:r>
          </m:e>
          <m:sup>
            <m:r>
              <m:rPr>
                <m:sty m:val="p"/>
              </m:rPr>
              <w:rPr>
                <w:rFonts w:ascii="Cambria Math" w:hAnsi="Cambria Math" w:cs="Times New Roman"/>
              </w:rPr>
              <m:t>th</m:t>
            </m:r>
          </m:sup>
        </m:sSup>
      </m:oMath>
      <w:r w:rsidRPr="00C21B42">
        <w:rPr>
          <w:rFonts w:ascii="Times New Roman" w:hAnsi="Times New Roman" w:cs="Times New Roman"/>
          <w:bCs/>
        </w:rPr>
        <w:t xml:space="preserve"> GO functional or KEGG  pathways and M</w:t>
      </w:r>
      <w:r w:rsidRPr="00C21B42">
        <w:rPr>
          <w:rFonts w:ascii="Times New Roman" w:hAnsi="Times New Roman" w:cs="Times New Roman"/>
          <w:bCs/>
          <w:i/>
          <w:iCs/>
          <w:vertAlign w:val="subscript"/>
        </w:rPr>
        <w:t>i</w:t>
      </w:r>
      <w:r w:rsidRPr="00C21B42">
        <w:rPr>
          <w:rFonts w:ascii="Times New Roman" w:hAnsi="Times New Roman" w:cs="Times New Roman"/>
          <w:bCs/>
        </w:rPr>
        <w:t xml:space="preserve"> indicates the number of </w:t>
      </w:r>
      <w:r w:rsidR="00A91BCF">
        <w:rPr>
          <w:rFonts w:ascii="Times New Roman" w:hAnsi="Times New Roman" w:cs="Times New Roman"/>
          <w:bCs/>
        </w:rPr>
        <w:t>sKGBs</w:t>
      </w:r>
      <w:r w:rsidRPr="00C21B42">
        <w:rPr>
          <w:rFonts w:ascii="Times New Roman" w:hAnsi="Times New Roman" w:cs="Times New Roman"/>
          <w:bCs/>
        </w:rPr>
        <w:t xml:space="preserve"> in A</w:t>
      </w:r>
      <w:r w:rsidRPr="00C21B42">
        <w:rPr>
          <w:rFonts w:ascii="Times New Roman" w:hAnsi="Times New Roman" w:cs="Times New Roman"/>
          <w:bCs/>
          <w:i/>
          <w:iCs/>
          <w:vertAlign w:val="subscript"/>
        </w:rPr>
        <w:t>i</w:t>
      </w:r>
      <w:r w:rsidRPr="00C21B42">
        <w:rPr>
          <w:rFonts w:ascii="Times New Roman" w:hAnsi="Times New Roman" w:cs="Times New Roman"/>
          <w:bCs/>
        </w:rPr>
        <w:t xml:space="preserve"> (</w:t>
      </w:r>
      <w:r w:rsidRPr="00C21B42">
        <w:rPr>
          <w:rFonts w:ascii="Times New Roman" w:hAnsi="Times New Roman" w:cs="Times New Roman"/>
          <w:bCs/>
          <w:i/>
          <w:iCs/>
        </w:rPr>
        <w:t>i</w:t>
      </w:r>
      <w:r w:rsidRPr="00C21B42">
        <w:rPr>
          <w:rFonts w:ascii="Times New Roman" w:hAnsi="Times New Roman" w:cs="Times New Roman"/>
          <w:bCs/>
        </w:rPr>
        <w:t xml:space="preserve">=1, 2,…,r); G is considered as an enriched gene number that contributed to the formation of the combined set A such that  </w:t>
      </w:r>
      <m:oMath>
        <m:r>
          <m:rPr>
            <m:sty m:val="p"/>
          </m:rPr>
          <w:rPr>
            <w:rFonts w:ascii="Cambria Math" w:hAnsi="Cambria Math" w:cs="Times New Roman"/>
          </w:rPr>
          <m:t>A=</m:t>
        </m:r>
        <m:nary>
          <m:naryPr>
            <m:chr m:val="⋃"/>
            <m:limLoc m:val="undOvr"/>
            <m:ctrlPr>
              <w:rPr>
                <w:rFonts w:ascii="Cambria Math" w:hAnsi="Cambria Math" w:cs="Times New Roman"/>
                <w:bCs/>
              </w:rPr>
            </m:ctrlPr>
          </m:naryPr>
          <m:sub>
            <m:r>
              <w:rPr>
                <w:rFonts w:ascii="Cambria Math" w:hAnsi="Cambria Math" w:cs="Times New Roman"/>
              </w:rPr>
              <m:t>i</m:t>
            </m:r>
            <m:r>
              <m:rPr>
                <m:sty m:val="p"/>
              </m:rPr>
              <w:rPr>
                <w:rFonts w:ascii="Cambria Math" w:hAnsi="Cambria Math" w:cs="Times New Roman"/>
              </w:rPr>
              <m:t>=1</m:t>
            </m:r>
          </m:sub>
          <m:sup>
            <m:r>
              <m:rPr>
                <m:sty m:val="p"/>
              </m:rPr>
              <w:rPr>
                <w:rFonts w:ascii="Cambria Math" w:hAnsi="Cambria Math" w:cs="Times New Roman"/>
              </w:rPr>
              <m:t>r</m:t>
            </m:r>
          </m:sup>
          <m:e>
            <m:sSub>
              <m:sSubPr>
                <m:ctrlPr>
                  <w:rPr>
                    <w:rFonts w:ascii="Cambria Math" w:hAnsi="Cambria Math" w:cs="Times New Roman"/>
                    <w:bCs/>
                  </w:rPr>
                </m:ctrlPr>
              </m:sSubPr>
              <m:e>
                <m:r>
                  <m:rPr>
                    <m:sty m:val="p"/>
                  </m:rPr>
                  <w:rPr>
                    <w:rFonts w:ascii="Cambria Math" w:hAnsi="Cambria Math" w:cs="Times New Roman"/>
                  </w:rPr>
                  <m:t>A</m:t>
                </m:r>
              </m:e>
              <m:sub>
                <m:r>
                  <m:rPr>
                    <m:sty m:val="p"/>
                  </m:rPr>
                  <w:rPr>
                    <w:rFonts w:ascii="Cambria Math" w:hAnsi="Cambria Math" w:cs="Times New Roman"/>
                  </w:rPr>
                  <m:t>i</m:t>
                </m:r>
              </m:sub>
            </m:sSub>
            <m:r>
              <m:rPr>
                <m:sty m:val="p"/>
              </m:rPr>
              <w:rPr>
                <w:rFonts w:ascii="Cambria Math" w:hAnsi="Cambria Math" w:cs="Times New Roman"/>
              </w:rPr>
              <m:t>=</m:t>
            </m:r>
          </m:e>
        </m:nary>
        <m:sSub>
          <m:sSubPr>
            <m:ctrlPr>
              <w:rPr>
                <w:rFonts w:ascii="Cambria Math" w:hAnsi="Cambria Math" w:cs="Times New Roman"/>
                <w:bCs/>
              </w:rPr>
            </m:ctrlPr>
          </m:sSubPr>
          <m:e>
            <m:r>
              <m:rPr>
                <m:sty m:val="p"/>
              </m:rPr>
              <w:rPr>
                <w:rFonts w:ascii="Cambria Math" w:hAnsi="Cambria Math" w:cs="Times New Roman"/>
              </w:rPr>
              <m:t>A</m:t>
            </m:r>
          </m:e>
          <m:sub>
            <m:r>
              <w:rPr>
                <w:rFonts w:ascii="Cambria Math" w:hAnsi="Cambria Math" w:cs="Times New Roman"/>
              </w:rPr>
              <m:t>i</m:t>
            </m:r>
          </m:sub>
        </m:sSub>
        <m:nary>
          <m:naryPr>
            <m:chr m:val="⋃"/>
            <m:limLoc m:val="undOvr"/>
            <m:subHide m:val="1"/>
            <m:supHide m:val="1"/>
            <m:ctrlPr>
              <w:rPr>
                <w:rFonts w:ascii="Cambria Math" w:hAnsi="Cambria Math" w:cs="Times New Roman"/>
                <w:bCs/>
              </w:rPr>
            </m:ctrlPr>
          </m:naryPr>
          <m:sub/>
          <m:sup/>
          <m:e>
            <m:sSubSup>
              <m:sSubSupPr>
                <m:ctrlPr>
                  <w:rPr>
                    <w:rFonts w:ascii="Cambria Math" w:hAnsi="Cambria Math" w:cs="Times New Roman"/>
                    <w:bCs/>
                  </w:rPr>
                </m:ctrlPr>
              </m:sSubSupPr>
              <m:e>
                <m:r>
                  <m:rPr>
                    <m:sty m:val="p"/>
                  </m:rPr>
                  <w:rPr>
                    <w:rFonts w:ascii="Cambria Math" w:hAnsi="Cambria Math" w:cs="Times New Roman"/>
                  </w:rPr>
                  <m:t>A</m:t>
                </m:r>
              </m:e>
              <m:sub>
                <m:r>
                  <w:rPr>
                    <w:rFonts w:ascii="Cambria Math" w:hAnsi="Cambria Math" w:cs="Times New Roman"/>
                  </w:rPr>
                  <m:t>i</m:t>
                </m:r>
              </m:sub>
              <m:sup>
                <m:r>
                  <m:rPr>
                    <m:sty m:val="p"/>
                  </m:rPr>
                  <w:rPr>
                    <w:rFonts w:ascii="Cambria Math" w:hAnsi="Cambria Math" w:cs="Times New Roman"/>
                  </w:rPr>
                  <m:t>c</m:t>
                </m:r>
              </m:sup>
            </m:sSubSup>
          </m:e>
        </m:nary>
      </m:oMath>
      <w:r w:rsidRPr="00C21B42">
        <w:rPr>
          <w:rFonts w:ascii="Times New Roman" w:hAnsi="Times New Roman" w:cs="Times New Roman"/>
          <w:bCs/>
        </w:rPr>
        <w:t xml:space="preserve">  and  G </w:t>
      </w:r>
      <m:oMath>
        <m:r>
          <m:rPr>
            <m:sty m:val="p"/>
          </m:rPr>
          <w:rPr>
            <w:rFonts w:ascii="Cambria Math" w:hAnsi="Cambria Math" w:cs="Times New Roman"/>
          </w:rPr>
          <m:t>≤</m:t>
        </m:r>
        <m:nary>
          <m:naryPr>
            <m:chr m:val="∑"/>
            <m:limLoc m:val="undOvr"/>
            <m:ctrlPr>
              <w:rPr>
                <w:rFonts w:ascii="Cambria Math" w:hAnsi="Cambria Math" w:cs="Times New Roman"/>
                <w:bCs/>
              </w:rPr>
            </m:ctrlPr>
          </m:naryPr>
          <m:sub>
            <m:r>
              <w:rPr>
                <w:rFonts w:ascii="Cambria Math" w:hAnsi="Cambria Math" w:cs="Times New Roman"/>
              </w:rPr>
              <m:t>i</m:t>
            </m:r>
            <m:r>
              <m:rPr>
                <m:sty m:val="p"/>
              </m:rPr>
              <w:rPr>
                <w:rFonts w:ascii="Cambria Math" w:hAnsi="Cambria Math" w:cs="Times New Roman"/>
              </w:rPr>
              <m:t>=1</m:t>
            </m:r>
          </m:sub>
          <m:sup>
            <m:r>
              <m:rPr>
                <m:sty m:val="p"/>
              </m:rPr>
              <w:rPr>
                <w:rFonts w:ascii="Cambria Math" w:hAnsi="Cambria Math" w:cs="Times New Roman"/>
              </w:rPr>
              <m:t>r</m:t>
            </m:r>
          </m:sup>
          <m:e>
            <m:sSub>
              <m:sSubPr>
                <m:ctrlPr>
                  <w:rPr>
                    <w:rFonts w:ascii="Cambria Math" w:hAnsi="Cambria Math" w:cs="Times New Roman"/>
                    <w:bCs/>
                  </w:rPr>
                </m:ctrlPr>
              </m:sSubPr>
              <m:e>
                <m:r>
                  <m:rPr>
                    <m:sty m:val="p"/>
                  </m:rPr>
                  <w:rPr>
                    <w:rFonts w:ascii="Cambria Math" w:hAnsi="Cambria Math" w:cs="Times New Roman"/>
                  </w:rPr>
                  <m:t>M</m:t>
                </m:r>
              </m:e>
              <m:sub>
                <m:r>
                  <w:rPr>
                    <w:rFonts w:ascii="Cambria Math" w:hAnsi="Cambria Math" w:cs="Times New Roman"/>
                  </w:rPr>
                  <m:t>i</m:t>
                </m:r>
              </m:sub>
            </m:sSub>
            <m:r>
              <m:rPr>
                <m:sty m:val="p"/>
              </m:rPr>
              <w:rPr>
                <w:rFonts w:ascii="Cambria Math" w:hAnsi="Cambria Math" w:cs="Times New Roman"/>
              </w:rPr>
              <m:t xml:space="preserve"> ;</m:t>
            </m:r>
          </m:e>
        </m:nary>
      </m:oMath>
      <w:r w:rsidRPr="00C21B42">
        <w:rPr>
          <w:rFonts w:ascii="Times New Roman" w:hAnsi="Times New Roman" w:cs="Times New Roman"/>
          <w:bCs/>
        </w:rPr>
        <w:t xml:space="preserve"> where </w:t>
      </w:r>
      <m:oMath>
        <m:sSubSup>
          <m:sSubSupPr>
            <m:ctrlPr>
              <w:rPr>
                <w:rFonts w:ascii="Cambria Math" w:hAnsi="Cambria Math" w:cs="Times New Roman"/>
                <w:bCs/>
              </w:rPr>
            </m:ctrlPr>
          </m:sSubSupPr>
          <m:e>
            <m:r>
              <m:rPr>
                <m:sty m:val="p"/>
              </m:rPr>
              <w:rPr>
                <w:rFonts w:ascii="Cambria Math" w:hAnsi="Cambria Math" w:cs="Times New Roman"/>
              </w:rPr>
              <m:t>A</m:t>
            </m:r>
          </m:e>
          <m:sub>
            <m:r>
              <w:rPr>
                <w:rFonts w:ascii="Cambria Math" w:hAnsi="Cambria Math" w:cs="Times New Roman"/>
              </w:rPr>
              <m:t>i</m:t>
            </m:r>
          </m:sub>
          <m:sup>
            <m:r>
              <m:rPr>
                <m:sty m:val="p"/>
              </m:rPr>
              <w:rPr>
                <w:rFonts w:ascii="Cambria Math" w:hAnsi="Cambria Math" w:cs="Times New Roman"/>
              </w:rPr>
              <m:t>c</m:t>
            </m:r>
          </m:sup>
        </m:sSubSup>
      </m:oMath>
      <w:r w:rsidRPr="00C21B42">
        <w:rPr>
          <w:rFonts w:ascii="Times New Roman" w:hAnsi="Times New Roman" w:cs="Times New Roman"/>
          <w:bCs/>
        </w:rPr>
        <w:t xml:space="preserve"> is the alternative set of A</w:t>
      </w:r>
      <w:r w:rsidRPr="00C21B42">
        <w:rPr>
          <w:rFonts w:ascii="Times New Roman" w:hAnsi="Times New Roman" w:cs="Times New Roman"/>
          <w:bCs/>
          <w:i/>
          <w:iCs/>
          <w:vertAlign w:val="subscript"/>
        </w:rPr>
        <w:t>i</w:t>
      </w:r>
      <w:r w:rsidRPr="00C21B42">
        <w:rPr>
          <w:rFonts w:ascii="Times New Roman" w:hAnsi="Times New Roman" w:cs="Times New Roman"/>
          <w:bCs/>
        </w:rPr>
        <w:t xml:space="preserve">. Assuming </w:t>
      </w:r>
      <w:r w:rsidRPr="00C21B42">
        <w:rPr>
          <w:rFonts w:ascii="Times New Roman" w:hAnsi="Times New Roman" w:cs="Times New Roman"/>
          <w:bCs/>
          <w:i/>
          <w:iCs/>
        </w:rPr>
        <w:t>g</w:t>
      </w:r>
      <w:r w:rsidRPr="00C21B42">
        <w:rPr>
          <w:rFonts w:ascii="Times New Roman" w:hAnsi="Times New Roman" w:cs="Times New Roman"/>
          <w:bCs/>
        </w:rPr>
        <w:t xml:space="preserve"> represents the count of </w:t>
      </w:r>
      <w:r w:rsidR="00A91BCF">
        <w:rPr>
          <w:rFonts w:ascii="Times New Roman" w:hAnsi="Times New Roman" w:cs="Times New Roman"/>
          <w:bCs/>
        </w:rPr>
        <w:t>sKGBs</w:t>
      </w:r>
      <w:r w:rsidRPr="00C21B42">
        <w:rPr>
          <w:rFonts w:ascii="Times New Roman" w:hAnsi="Times New Roman" w:cs="Times New Roman"/>
          <w:bCs/>
        </w:rPr>
        <w:t xml:space="preserve"> and m</w:t>
      </w:r>
      <w:r w:rsidRPr="00C21B42">
        <w:rPr>
          <w:rFonts w:ascii="Times New Roman" w:hAnsi="Times New Roman" w:cs="Times New Roman"/>
          <w:bCs/>
          <w:vertAlign w:val="subscript"/>
        </w:rPr>
        <w:t>i</w:t>
      </w:r>
      <w:r w:rsidRPr="00C21B42">
        <w:rPr>
          <w:rFonts w:ascii="Times New Roman" w:hAnsi="Times New Roman" w:cs="Times New Roman"/>
          <w:bCs/>
        </w:rPr>
        <w:t xml:space="preserve"> indicates the number of </w:t>
      </w:r>
      <w:r w:rsidR="00A91BCF">
        <w:rPr>
          <w:rFonts w:ascii="Times New Roman" w:hAnsi="Times New Roman" w:cs="Times New Roman"/>
          <w:bCs/>
        </w:rPr>
        <w:t>sKGBs</w:t>
      </w:r>
      <w:r w:rsidRPr="00C21B42">
        <w:rPr>
          <w:rFonts w:ascii="Times New Roman" w:hAnsi="Times New Roman" w:cs="Times New Roman"/>
          <w:bCs/>
        </w:rPr>
        <w:t>, which is a subset of A</w:t>
      </w:r>
      <w:r w:rsidRPr="00C21B42">
        <w:rPr>
          <w:rFonts w:ascii="Times New Roman" w:hAnsi="Times New Roman" w:cs="Times New Roman"/>
          <w:bCs/>
          <w:i/>
          <w:iCs/>
          <w:vertAlign w:val="subscript"/>
        </w:rPr>
        <w:t>i</w:t>
      </w:r>
      <w:r w:rsidRPr="00C21B42">
        <w:rPr>
          <w:rFonts w:ascii="Times New Roman" w:hAnsi="Times New Roman" w:cs="Times New Roman"/>
          <w:bCs/>
        </w:rPr>
        <w:t xml:space="preserve">. The </w:t>
      </w:r>
      <w:r w:rsidRPr="00C21B42">
        <w:rPr>
          <w:rFonts w:ascii="Times New Roman" w:hAnsi="Times New Roman" w:cs="Times New Roman"/>
          <w:b/>
        </w:rPr>
        <w:t xml:space="preserve">Table </w:t>
      </w:r>
      <w:r w:rsidR="00193870" w:rsidRPr="00C21B42">
        <w:rPr>
          <w:rFonts w:ascii="Times New Roman" w:hAnsi="Times New Roman" w:cs="Times New Roman"/>
          <w:b/>
        </w:rPr>
        <w:t>S</w:t>
      </w:r>
      <w:r w:rsidR="0040398D">
        <w:rPr>
          <w:rFonts w:ascii="Times New Roman" w:hAnsi="Times New Roman" w:cs="Times New Roman"/>
          <w:b/>
        </w:rPr>
        <w:t>1</w:t>
      </w:r>
      <w:r w:rsidRPr="00C21B42">
        <w:rPr>
          <w:rFonts w:ascii="Times New Roman" w:hAnsi="Times New Roman" w:cs="Times New Roman"/>
          <w:bCs/>
        </w:rPr>
        <w:t xml:space="preserve"> provides a summary of this issue. </w:t>
      </w:r>
    </w:p>
    <w:tbl>
      <w:tblPr>
        <w:tblStyle w:val="GridTable1Light-Accent31"/>
        <w:tblW w:w="9576" w:type="dxa"/>
        <w:tblLook w:val="04A0" w:firstRow="1" w:lastRow="0" w:firstColumn="1" w:lastColumn="0" w:noHBand="0" w:noVBand="1"/>
      </w:tblPr>
      <w:tblGrid>
        <w:gridCol w:w="3618"/>
        <w:gridCol w:w="1746"/>
        <w:gridCol w:w="2454"/>
        <w:gridCol w:w="1758"/>
      </w:tblGrid>
      <w:tr w:rsidR="00C21B42" w:rsidRPr="00C21B42" w14:paraId="5E89235D" w14:textId="77777777" w:rsidTr="00AE051C">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9576" w:type="dxa"/>
            <w:gridSpan w:val="4"/>
            <w:noWrap/>
            <w:hideMark/>
          </w:tcPr>
          <w:p w14:paraId="2883ACCE" w14:textId="060EDDAF" w:rsidR="00C21B42" w:rsidRPr="00C21B42" w:rsidRDefault="00C21B42" w:rsidP="00AE051C">
            <w:pPr>
              <w:spacing w:line="360" w:lineRule="auto"/>
              <w:rPr>
                <w:rFonts w:ascii="Times New Roman" w:hAnsi="Times New Roman"/>
                <w:b w:val="0"/>
                <w:sz w:val="24"/>
              </w:rPr>
            </w:pPr>
            <w:r w:rsidRPr="00C21B42">
              <w:rPr>
                <w:rFonts w:ascii="Times New Roman" w:hAnsi="Times New Roman"/>
                <w:sz w:val="24"/>
              </w:rPr>
              <w:t>Table S</w:t>
            </w:r>
            <w:r w:rsidR="0040398D">
              <w:rPr>
                <w:rFonts w:ascii="Times New Roman" w:hAnsi="Times New Roman"/>
                <w:sz w:val="24"/>
              </w:rPr>
              <w:t>1</w:t>
            </w:r>
            <w:r w:rsidRPr="00C21B42">
              <w:rPr>
                <w:rFonts w:ascii="Times New Roman" w:hAnsi="Times New Roman"/>
                <w:sz w:val="24"/>
              </w:rPr>
              <w:t>.</w:t>
            </w:r>
            <w:r w:rsidRPr="00C21B42">
              <w:rPr>
                <w:rFonts w:ascii="Times New Roman" w:hAnsi="Times New Roman"/>
                <w:b w:val="0"/>
                <w:sz w:val="24"/>
              </w:rPr>
              <w:t xml:space="preserve"> Two-way contingency table for </w:t>
            </w:r>
            <w:r w:rsidR="00A91BCF">
              <w:rPr>
                <w:rFonts w:ascii="Times New Roman" w:hAnsi="Times New Roman"/>
                <w:b w:val="0"/>
                <w:sz w:val="24"/>
              </w:rPr>
              <w:t>sKGBs</w:t>
            </w:r>
            <w:r w:rsidRPr="00C21B42">
              <w:rPr>
                <w:rFonts w:ascii="Times New Roman" w:hAnsi="Times New Roman"/>
                <w:b w:val="0"/>
                <w:sz w:val="24"/>
              </w:rPr>
              <w:t>-set enrichment analysis. </w:t>
            </w:r>
          </w:p>
        </w:tc>
      </w:tr>
      <w:tr w:rsidR="00C21B42" w:rsidRPr="00C21B42" w14:paraId="42CDD95C" w14:textId="77777777" w:rsidTr="00AE051C">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4E1EA065" w14:textId="77777777" w:rsidR="00C21B42" w:rsidRPr="00C21B42" w:rsidRDefault="00C21B42" w:rsidP="00AE051C">
            <w:pPr>
              <w:spacing w:line="360" w:lineRule="auto"/>
              <w:jc w:val="center"/>
              <w:rPr>
                <w:rFonts w:ascii="Times New Roman" w:hAnsi="Times New Roman"/>
                <w:b w:val="0"/>
                <w:sz w:val="24"/>
              </w:rPr>
            </w:pPr>
            <w:r w:rsidRPr="00C21B42">
              <w:rPr>
                <w:rFonts w:ascii="Times New Roman" w:hAnsi="Times New Roman"/>
                <w:b w:val="0"/>
                <w:sz w:val="24"/>
              </w:rPr>
              <w:t>Enriched-gene-sets</w:t>
            </w:r>
          </w:p>
        </w:tc>
        <w:tc>
          <w:tcPr>
            <w:tcW w:w="1746" w:type="dxa"/>
            <w:noWrap/>
            <w:hideMark/>
          </w:tcPr>
          <w:p w14:paraId="07FC14F7" w14:textId="5BCE128F" w:rsidR="00C21B42" w:rsidRPr="00C21B42" w:rsidRDefault="00A91BCF"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Pr>
                <w:rFonts w:ascii="Times New Roman" w:hAnsi="Times New Roman"/>
                <w:bCs/>
                <w:sz w:val="24"/>
              </w:rPr>
              <w:t>sKGBs</w:t>
            </w:r>
          </w:p>
          <w:p w14:paraId="6CBD0C23"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(proposed)</w:t>
            </w:r>
          </w:p>
        </w:tc>
        <w:tc>
          <w:tcPr>
            <w:tcW w:w="2454" w:type="dxa"/>
            <w:noWrap/>
            <w:hideMark/>
          </w:tcPr>
          <w:p w14:paraId="2B8794B3" w14:textId="35A34882"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 xml:space="preserve">Not </w:t>
            </w:r>
            <w:r w:rsidR="00A91BCF">
              <w:rPr>
                <w:rFonts w:ascii="Times New Roman" w:hAnsi="Times New Roman"/>
                <w:bCs/>
                <w:sz w:val="24"/>
              </w:rPr>
              <w:t>sKGBs</w:t>
            </w:r>
          </w:p>
          <w:p w14:paraId="0B6065C8"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(proposed)</w:t>
            </w:r>
          </w:p>
        </w:tc>
        <w:tc>
          <w:tcPr>
            <w:tcW w:w="1758" w:type="dxa"/>
            <w:noWrap/>
            <w:hideMark/>
          </w:tcPr>
          <w:p w14:paraId="0C2D5977"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Marginal total</w:t>
            </w:r>
          </w:p>
        </w:tc>
      </w:tr>
      <w:tr w:rsidR="00C21B42" w:rsidRPr="00C21B42" w14:paraId="11E4630B" w14:textId="77777777" w:rsidTr="00AE051C">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6E1881ED" w14:textId="77777777" w:rsidR="00C21B42" w:rsidRPr="00C21B42" w:rsidRDefault="00C21B42" w:rsidP="00AE051C">
            <w:pPr>
              <w:spacing w:line="360" w:lineRule="auto"/>
              <w:jc w:val="center"/>
              <w:rPr>
                <w:rFonts w:ascii="Times New Roman" w:hAnsi="Times New Roman"/>
                <w:b w:val="0"/>
                <w:sz w:val="24"/>
              </w:rPr>
            </w:pPr>
            <w:r w:rsidRPr="00C21B42">
              <w:rPr>
                <w:rFonts w:ascii="Times New Roman" w:hAnsi="Times New Roman"/>
                <w:b w:val="0"/>
                <w:i/>
                <w:iCs/>
                <w:sz w:val="24"/>
              </w:rPr>
              <w:t>i</w:t>
            </w:r>
            <w:r w:rsidRPr="00C21B42">
              <w:rPr>
                <w:rFonts w:ascii="Times New Roman" w:hAnsi="Times New Roman"/>
                <w:b w:val="0"/>
                <w:sz w:val="24"/>
                <w:vertAlign w:val="superscript"/>
              </w:rPr>
              <w:t>th</w:t>
            </w:r>
            <w:r w:rsidRPr="00C21B42">
              <w:rPr>
                <w:rFonts w:ascii="Times New Roman" w:hAnsi="Times New Roman"/>
                <w:b w:val="0"/>
                <w:sz w:val="24"/>
              </w:rPr>
              <w:t xml:space="preserve"> GO-term/KEGG pathway (A</w:t>
            </w:r>
            <w:r w:rsidRPr="00C21B42">
              <w:rPr>
                <w:rFonts w:ascii="Times New Roman" w:hAnsi="Times New Roman"/>
                <w:b w:val="0"/>
                <w:i/>
                <w:iCs/>
                <w:sz w:val="24"/>
                <w:vertAlign w:val="subscript"/>
              </w:rPr>
              <w:t>i</w:t>
            </w:r>
            <w:r w:rsidRPr="00C21B42">
              <w:rPr>
                <w:rFonts w:ascii="Times New Roman" w:hAnsi="Times New Roman"/>
                <w:b w:val="0"/>
                <w:sz w:val="24"/>
              </w:rPr>
              <w:t>)</w:t>
            </w:r>
          </w:p>
        </w:tc>
        <w:tc>
          <w:tcPr>
            <w:tcW w:w="1746" w:type="dxa"/>
            <w:noWrap/>
            <w:hideMark/>
          </w:tcPr>
          <w:p w14:paraId="3D3D4354" w14:textId="77777777" w:rsidR="00C21B42" w:rsidRPr="00C21B42" w:rsidRDefault="00000000"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m:oMathPara>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m:oMathPara>
          </w:p>
        </w:tc>
        <w:tc>
          <w:tcPr>
            <w:tcW w:w="2454" w:type="dxa"/>
            <w:noWrap/>
            <w:hideMark/>
          </w:tcPr>
          <w:p w14:paraId="724CCC72" w14:textId="77777777" w:rsidR="00C21B42" w:rsidRPr="00C21B42" w:rsidRDefault="00000000"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r w:rsidR="00C21B42" w:rsidRPr="00C21B42">
              <w:rPr>
                <w:rFonts w:ascii="Times New Roman" w:hAnsi="Times New Roman"/>
                <w:sz w:val="24"/>
              </w:rPr>
              <w:t xml:space="preserve">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c>
          <w:tcPr>
            <w:tcW w:w="1758" w:type="dxa"/>
            <w:noWrap/>
            <w:hideMark/>
          </w:tcPr>
          <w:p w14:paraId="074C36F1" w14:textId="77777777" w:rsidR="00C21B42" w:rsidRPr="00C21B42" w:rsidRDefault="00000000"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m:oMathPara>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m:oMathPara>
          </w:p>
        </w:tc>
      </w:tr>
      <w:tr w:rsidR="00C21B42" w:rsidRPr="00C21B42" w14:paraId="30AA89E7" w14:textId="77777777" w:rsidTr="00AE051C">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01B845E9" w14:textId="77777777" w:rsidR="00C21B42" w:rsidRPr="00C21B42" w:rsidRDefault="00C21B42" w:rsidP="00AE051C">
            <w:pPr>
              <w:spacing w:line="360" w:lineRule="auto"/>
              <w:jc w:val="center"/>
              <w:rPr>
                <w:rFonts w:ascii="Times New Roman" w:hAnsi="Times New Roman"/>
                <w:b w:val="0"/>
                <w:sz w:val="24"/>
              </w:rPr>
            </w:pPr>
            <w:r w:rsidRPr="00C21B42">
              <w:rPr>
                <w:rFonts w:ascii="Times New Roman" w:hAnsi="Times New Roman"/>
                <w:b w:val="0"/>
                <w:sz w:val="24"/>
              </w:rPr>
              <w:t>Complement of A</w:t>
            </w:r>
            <w:r w:rsidRPr="00C21B42">
              <w:rPr>
                <w:rFonts w:ascii="Times New Roman" w:hAnsi="Times New Roman"/>
                <w:b w:val="0"/>
                <w:i/>
                <w:iCs/>
                <w:sz w:val="24"/>
                <w:vertAlign w:val="subscript"/>
              </w:rPr>
              <w:t>i</w:t>
            </w:r>
            <w:r w:rsidRPr="00C21B42">
              <w:rPr>
                <w:rFonts w:ascii="Times New Roman" w:hAnsi="Times New Roman"/>
                <w:b w:val="0"/>
                <w:sz w:val="24"/>
              </w:rPr>
              <w:t xml:space="preserve"> (</w:t>
            </w:r>
            <m:oMath>
              <m:sSubSup>
                <m:sSubSupPr>
                  <m:ctrlPr>
                    <w:rPr>
                      <w:rFonts w:ascii="Cambria Math" w:hAnsi="Cambria Math"/>
                      <w:b w:val="0"/>
                      <w:i/>
                      <w:sz w:val="24"/>
                    </w:rPr>
                  </m:ctrlPr>
                </m:sSubSupPr>
                <m:e>
                  <m:r>
                    <m:rPr>
                      <m:sty m:val="bi"/>
                    </m:rPr>
                    <w:rPr>
                      <w:rFonts w:ascii="Cambria Math" w:hAnsi="Cambria Math"/>
                      <w:sz w:val="24"/>
                    </w:rPr>
                    <m:t>A</m:t>
                  </m:r>
                </m:e>
                <m:sub>
                  <m:r>
                    <m:rPr>
                      <m:sty m:val="bi"/>
                    </m:rPr>
                    <w:rPr>
                      <w:rFonts w:ascii="Cambria Math" w:hAnsi="Cambria Math"/>
                      <w:sz w:val="24"/>
                    </w:rPr>
                    <m:t>i</m:t>
                  </m:r>
                </m:sub>
                <m:sup>
                  <m:r>
                    <m:rPr>
                      <m:sty m:val="bi"/>
                    </m:rPr>
                    <w:rPr>
                      <w:rFonts w:ascii="Cambria Math" w:hAnsi="Cambria Math"/>
                      <w:sz w:val="24"/>
                    </w:rPr>
                    <m:t>c</m:t>
                  </m:r>
                </m:sup>
              </m:sSubSup>
              <m:r>
                <m:rPr>
                  <m:sty m:val="bi"/>
                </m:rPr>
                <w:rPr>
                  <w:rFonts w:ascii="Cambria Math" w:hAnsi="Cambria Math"/>
                  <w:sz w:val="24"/>
                </w:rPr>
                <m:t>)</m:t>
              </m:r>
            </m:oMath>
          </w:p>
        </w:tc>
        <w:tc>
          <w:tcPr>
            <w:tcW w:w="1746" w:type="dxa"/>
            <w:noWrap/>
            <w:hideMark/>
          </w:tcPr>
          <w:p w14:paraId="155EB5DE"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 xml:space="preserve">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c>
          <w:tcPr>
            <w:tcW w:w="2454" w:type="dxa"/>
            <w:noWrap/>
            <w:hideMark/>
          </w:tcPr>
          <w:p w14:paraId="6D73BE4B"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 xml:space="preserve">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r w:rsidRPr="00C21B42">
              <w:rPr>
                <w:rFonts w:ascii="Times New Roman" w:hAnsi="Times New Roman"/>
                <w:sz w:val="24"/>
              </w:rPr>
              <w:t xml:space="preserve"> – 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c>
          <w:tcPr>
            <w:tcW w:w="1758" w:type="dxa"/>
            <w:noWrap/>
            <w:hideMark/>
          </w:tcPr>
          <w:p w14:paraId="0C584061"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 xml:space="preserve">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r>
      <w:tr w:rsidR="00C21B42" w:rsidRPr="00C21B42" w14:paraId="2077CDF5" w14:textId="77777777" w:rsidTr="00AE051C">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19793365" w14:textId="77777777" w:rsidR="00C21B42" w:rsidRPr="00C21B42" w:rsidRDefault="00C21B42" w:rsidP="00AE051C">
            <w:pPr>
              <w:spacing w:line="360" w:lineRule="auto"/>
              <w:jc w:val="center"/>
              <w:rPr>
                <w:rFonts w:ascii="Times New Roman" w:hAnsi="Times New Roman"/>
                <w:b w:val="0"/>
                <w:sz w:val="24"/>
              </w:rPr>
            </w:pPr>
            <w:r w:rsidRPr="00C21B42">
              <w:rPr>
                <w:rFonts w:ascii="Times New Roman" w:hAnsi="Times New Roman"/>
                <w:b w:val="0"/>
                <w:sz w:val="24"/>
              </w:rPr>
              <w:t>Marginal total</w:t>
            </w:r>
          </w:p>
        </w:tc>
        <w:tc>
          <w:tcPr>
            <w:tcW w:w="1746" w:type="dxa"/>
            <w:noWrap/>
            <w:hideMark/>
          </w:tcPr>
          <w:p w14:paraId="59B56050"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g</w:t>
            </w:r>
          </w:p>
        </w:tc>
        <w:tc>
          <w:tcPr>
            <w:tcW w:w="2454" w:type="dxa"/>
            <w:noWrap/>
            <w:hideMark/>
          </w:tcPr>
          <w:p w14:paraId="1E3CC6DD"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G - g</w:t>
            </w:r>
          </w:p>
        </w:tc>
        <w:tc>
          <w:tcPr>
            <w:tcW w:w="1758" w:type="dxa"/>
            <w:noWrap/>
            <w:hideMark/>
          </w:tcPr>
          <w:p w14:paraId="1CA5D20C" w14:textId="77777777" w:rsidR="00C21B42" w:rsidRPr="00C21B42" w:rsidRDefault="00C21B42" w:rsidP="00AE051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G (Grand total)</w:t>
            </w:r>
          </w:p>
        </w:tc>
      </w:tr>
    </w:tbl>
    <w:p w14:paraId="34F14F80" w14:textId="77777777" w:rsidR="00C21B42" w:rsidRPr="00C21B42" w:rsidRDefault="00C21B42" w:rsidP="00193870">
      <w:pPr>
        <w:pStyle w:val="NoSpacing"/>
        <w:spacing w:line="360" w:lineRule="auto"/>
        <w:jc w:val="both"/>
        <w:rPr>
          <w:rFonts w:ascii="Times New Roman" w:hAnsi="Times New Roman" w:cs="Times New Roman"/>
          <w:bCs/>
        </w:rPr>
      </w:pPr>
    </w:p>
    <w:p w14:paraId="2232A533" w14:textId="3AF23016" w:rsidR="003C6347" w:rsidRPr="00C21B42" w:rsidRDefault="003C6347" w:rsidP="003C6347">
      <w:pPr>
        <w:pStyle w:val="MDPI31text"/>
        <w:spacing w:line="360" w:lineRule="auto"/>
        <w:ind w:left="0" w:firstLine="0"/>
        <w:rPr>
          <w:rFonts w:ascii="Times New Roman" w:hAnsi="Times New Roman"/>
          <w:bCs/>
          <w:color w:val="auto"/>
          <w:spacing w:val="3"/>
          <w:sz w:val="22"/>
        </w:rPr>
      </w:pPr>
      <w:r w:rsidRPr="00C21B42">
        <w:rPr>
          <w:rFonts w:ascii="Times New Roman" w:hAnsi="Times New Roman"/>
          <w:bCs/>
          <w:color w:val="auto"/>
          <w:spacing w:val="3"/>
          <w:sz w:val="22"/>
        </w:rPr>
        <w:t>The hypergeometric distribution is utilized to calculate the probability of locating exactly m</w:t>
      </w:r>
      <w:r w:rsidRPr="00C21B42">
        <w:rPr>
          <w:rStyle w:val="Emphasis"/>
          <w:rFonts w:ascii="Times New Roman" w:eastAsia="SimSun" w:hAnsi="Times New Roman"/>
          <w:bCs/>
          <w:color w:val="auto"/>
          <w:sz w:val="22"/>
          <w:vertAlign w:val="subscript"/>
          <w:lang w:val="en"/>
        </w:rPr>
        <w:t>i</w:t>
      </w:r>
      <w:r w:rsidRPr="00C21B42">
        <w:rPr>
          <w:rFonts w:ascii="Times New Roman" w:hAnsi="Times New Roman"/>
          <w:bCs/>
          <w:color w:val="auto"/>
          <w:sz w:val="22"/>
          <w:lang w:val="en"/>
        </w:rPr>
        <w:t xml:space="preserve"> </w:t>
      </w:r>
      <w:r w:rsidR="00A91BCF">
        <w:rPr>
          <w:rFonts w:ascii="Times New Roman" w:hAnsi="Times New Roman"/>
          <w:bCs/>
          <w:color w:val="auto"/>
          <w:sz w:val="22"/>
          <w:lang w:val="en"/>
        </w:rPr>
        <w:t>sKGBs</w:t>
      </w:r>
      <w:r w:rsidRPr="00C21B42">
        <w:rPr>
          <w:rFonts w:ascii="Times New Roman" w:hAnsi="Times New Roman"/>
          <w:bCs/>
          <w:color w:val="auto"/>
          <w:spacing w:val="3"/>
          <w:sz w:val="22"/>
        </w:rPr>
        <w:t xml:space="preserve"> in </w:t>
      </w:r>
      <w:r w:rsidRPr="00C21B42">
        <w:rPr>
          <w:rFonts w:ascii="Times New Roman" w:hAnsi="Times New Roman"/>
          <w:bCs/>
          <w:i/>
          <w:iCs/>
          <w:color w:val="auto"/>
          <w:spacing w:val="3"/>
          <w:sz w:val="22"/>
        </w:rPr>
        <w:t>i</w:t>
      </w:r>
      <w:r w:rsidRPr="00C21B42">
        <w:rPr>
          <w:rFonts w:ascii="Times New Roman" w:hAnsi="Times New Roman"/>
          <w:bCs/>
          <w:color w:val="auto"/>
          <w:spacing w:val="3"/>
          <w:sz w:val="22"/>
          <w:vertAlign w:val="superscript"/>
        </w:rPr>
        <w:t>th</w:t>
      </w:r>
      <w:r w:rsidRPr="00C21B42">
        <w:rPr>
          <w:rFonts w:ascii="Times New Roman" w:hAnsi="Times New Roman"/>
          <w:bCs/>
          <w:color w:val="auto"/>
          <w:spacing w:val="3"/>
          <w:sz w:val="22"/>
        </w:rPr>
        <w:t xml:space="preserve"> enriched GO terms and pathways (</w:t>
      </w:r>
      <w:r w:rsidRPr="00C21B42">
        <w:rPr>
          <w:rFonts w:ascii="Times New Roman" w:eastAsia="Calibri" w:hAnsi="Times New Roman"/>
          <w:bCs/>
          <w:color w:val="auto"/>
          <w:sz w:val="22"/>
        </w:rPr>
        <w:t>A</w:t>
      </w:r>
      <w:r w:rsidRPr="00C21B42">
        <w:rPr>
          <w:rFonts w:ascii="Times New Roman" w:eastAsia="Calibri" w:hAnsi="Times New Roman"/>
          <w:bCs/>
          <w:i/>
          <w:iCs/>
          <w:color w:val="auto"/>
          <w:sz w:val="22"/>
          <w:vertAlign w:val="subscript"/>
        </w:rPr>
        <w:t>i</w:t>
      </w:r>
      <w:r w:rsidRPr="00C21B42">
        <w:rPr>
          <w:rFonts w:ascii="Times New Roman" w:hAnsi="Times New Roman"/>
          <w:bCs/>
          <w:color w:val="auto"/>
          <w:spacing w:val="3"/>
          <w:sz w:val="22"/>
        </w:rPr>
        <w:t xml:space="preserve">) out of g </w:t>
      </w:r>
      <w:r w:rsidR="00A91BCF">
        <w:rPr>
          <w:rFonts w:ascii="Times New Roman" w:hAnsi="Times New Roman"/>
          <w:bCs/>
          <w:color w:val="auto"/>
          <w:spacing w:val="3"/>
          <w:sz w:val="22"/>
        </w:rPr>
        <w:t>sKGBs</w:t>
      </w:r>
      <w:r w:rsidRPr="00C21B42">
        <w:rPr>
          <w:rFonts w:ascii="Times New Roman" w:hAnsi="Times New Roman"/>
          <w:bCs/>
          <w:color w:val="auto"/>
          <w:spacing w:val="3"/>
          <w:sz w:val="22"/>
        </w:rPr>
        <w:t>. Its probability value can be calculated as,</w:t>
      </w:r>
    </w:p>
    <w:p w14:paraId="0BF86687" w14:textId="77777777" w:rsidR="003C6347" w:rsidRPr="00C21B42" w:rsidRDefault="00000000" w:rsidP="003C6347">
      <w:pPr>
        <w:autoSpaceDE w:val="0"/>
        <w:adjustRightInd w:val="0"/>
        <w:spacing w:line="360" w:lineRule="auto"/>
        <w:jc w:val="both"/>
        <w:rPr>
          <w:rFonts w:ascii="Times New Roman" w:hAnsi="Times New Roman" w:cs="Times New Roman"/>
          <w:bCs/>
        </w:rPr>
      </w:pPr>
      <m:oMathPara>
        <m:oMath>
          <m:sSub>
            <m:sSubPr>
              <m:ctrlPr>
                <w:rPr>
                  <w:rFonts w:ascii="Cambria Math" w:hAnsi="Cambria Math" w:cs="Times New Roman"/>
                  <w:bCs/>
                  <w:i/>
                  <w:sz w:val="20"/>
                  <w:szCs w:val="20"/>
                </w:rPr>
              </m:ctrlPr>
            </m:sSubPr>
            <m:e>
              <m:r>
                <w:rPr>
                  <w:rFonts w:ascii="Cambria Math" w:hAnsi="Cambria Math" w:cs="Times New Roman"/>
                  <w:sz w:val="20"/>
                  <w:szCs w:val="20"/>
                </w:rPr>
                <m:t>p</m:t>
              </m:r>
            </m:e>
            <m:sub>
              <m:r>
                <w:rPr>
                  <w:rFonts w:ascii="Cambria Math" w:hAnsi="Cambria Math" w:cs="Times New Roman"/>
                  <w:sz w:val="20"/>
                  <w:szCs w:val="20"/>
                </w:rPr>
                <m:t>i</m:t>
              </m:r>
            </m:sub>
          </m:sSub>
          <m:r>
            <m:rPr>
              <m:sty m:val="p"/>
            </m:rPr>
            <w:rPr>
              <w:rFonts w:ascii="Cambria Math" w:eastAsia="Cambria Math" w:hAnsi="Cambria Math" w:cs="Times New Roman"/>
              <w:sz w:val="20"/>
              <w:szCs w:val="20"/>
            </w:rPr>
            <m:t>=1-</m:t>
          </m:r>
          <m:nary>
            <m:naryPr>
              <m:chr m:val="∑"/>
              <m:grow m:val="1"/>
              <m:ctrlPr>
                <w:rPr>
                  <w:rFonts w:ascii="Cambria Math" w:hAnsi="Cambria Math" w:cs="Times New Roman"/>
                  <w:bCs/>
                  <w:sz w:val="20"/>
                  <w:szCs w:val="20"/>
                </w:rPr>
              </m:ctrlPr>
            </m:naryPr>
            <m:sub>
              <m:r>
                <m:rPr>
                  <m:sty m:val="p"/>
                </m:rPr>
                <w:rPr>
                  <w:rFonts w:ascii="Cambria Math" w:eastAsia="Cambria Math" w:hAnsi="Cambria Math" w:cs="Times New Roman"/>
                  <w:sz w:val="20"/>
                  <w:szCs w:val="20"/>
                </w:rPr>
                <m:t>j=0</m:t>
              </m:r>
            </m:sub>
            <m:sup>
              <m:sSub>
                <m:sSubPr>
                  <m:ctrlPr>
                    <w:rPr>
                      <w:rFonts w:ascii="Cambria Math" w:eastAsia="Cambria Math" w:hAnsi="Cambria Math" w:cs="Times New Roman"/>
                      <w:bCs/>
                      <w:i/>
                      <w:sz w:val="20"/>
                      <w:szCs w:val="20"/>
                    </w:rPr>
                  </m:ctrlPr>
                </m:sSubPr>
                <m:e>
                  <m:r>
                    <w:rPr>
                      <w:rFonts w:ascii="Cambria Math" w:eastAsia="Cambria Math" w:hAnsi="Cambria Math" w:cs="Times New Roman"/>
                      <w:sz w:val="20"/>
                      <w:szCs w:val="20"/>
                    </w:rPr>
                    <m:t>m</m:t>
                  </m:r>
                </m:e>
                <m:sub>
                  <m:r>
                    <w:rPr>
                      <w:rFonts w:ascii="Cambria Math" w:eastAsia="Cambria Math" w:hAnsi="Cambria Math" w:cs="Times New Roman"/>
                      <w:sz w:val="20"/>
                      <w:szCs w:val="20"/>
                    </w:rPr>
                    <m:t>i</m:t>
                  </m:r>
                </m:sub>
              </m:sSub>
            </m:sup>
            <m:e>
              <m:f>
                <m:fPr>
                  <m:ctrlPr>
                    <w:rPr>
                      <w:rFonts w:ascii="Cambria Math" w:hAnsi="Cambria Math" w:cs="Times New Roman"/>
                      <w:bCs/>
                      <w:sz w:val="20"/>
                      <w:szCs w:val="20"/>
                    </w:rPr>
                  </m:ctrlPr>
                </m:fPr>
                <m:num>
                  <m:d>
                    <m:dPr>
                      <m:ctrlPr>
                        <w:rPr>
                          <w:rFonts w:ascii="Cambria Math" w:hAnsi="Cambria Math" w:cs="Times New Roman"/>
                          <w:bCs/>
                          <w:sz w:val="20"/>
                          <w:szCs w:val="20"/>
                        </w:rPr>
                      </m:ctrlPr>
                    </m:dPr>
                    <m:e>
                      <m:f>
                        <m:fPr>
                          <m:type m:val="noBar"/>
                          <m:ctrlPr>
                            <w:rPr>
                              <w:rFonts w:ascii="Cambria Math" w:hAnsi="Cambria Math" w:cs="Times New Roman"/>
                              <w:bCs/>
                              <w:sz w:val="20"/>
                              <w:szCs w:val="20"/>
                            </w:rPr>
                          </m:ctrlPr>
                        </m:fPr>
                        <m:num>
                          <m:sSub>
                            <m:sSubPr>
                              <m:ctrlPr>
                                <w:rPr>
                                  <w:rFonts w:ascii="Cambria Math" w:hAnsi="Cambria Math" w:cs="Times New Roman"/>
                                  <w:sz w:val="20"/>
                                  <w:szCs w:val="20"/>
                                  <w:vertAlign w:val="subscript"/>
                                </w:rPr>
                              </m:ctrlPr>
                            </m:sSubPr>
                            <m:e>
                              <m:r>
                                <w:rPr>
                                  <w:rFonts w:ascii="Cambria Math" w:hAnsi="Cambria Math" w:cs="Times New Roman"/>
                                  <w:sz w:val="20"/>
                                  <w:szCs w:val="20"/>
                                  <w:vertAlign w:val="subscript"/>
                                </w:rPr>
                                <m:t>M</m:t>
                              </m:r>
                            </m:e>
                            <m:sub>
                              <m:r>
                                <w:rPr>
                                  <w:rFonts w:ascii="Cambria Math" w:hAnsi="Cambria Math" w:cs="Times New Roman"/>
                                  <w:sz w:val="20"/>
                                  <w:szCs w:val="20"/>
                                  <w:vertAlign w:val="subscript"/>
                                </w:rPr>
                                <m:t>i</m:t>
                              </m:r>
                            </m:sub>
                          </m:sSub>
                        </m:num>
                        <m:den>
                          <m:r>
                            <m:rPr>
                              <m:sty m:val="p"/>
                            </m:rPr>
                            <w:rPr>
                              <w:rFonts w:ascii="Cambria Math" w:eastAsia="Cambria Math" w:hAnsi="Cambria Math" w:cs="Times New Roman"/>
                              <w:sz w:val="20"/>
                              <w:szCs w:val="20"/>
                            </w:rPr>
                            <m:t>j</m:t>
                          </m:r>
                        </m:den>
                      </m:f>
                    </m:e>
                  </m:d>
                  <m:d>
                    <m:dPr>
                      <m:ctrlPr>
                        <w:rPr>
                          <w:rFonts w:ascii="Cambria Math" w:hAnsi="Cambria Math" w:cs="Times New Roman"/>
                          <w:bCs/>
                          <w:sz w:val="20"/>
                          <w:szCs w:val="20"/>
                        </w:rPr>
                      </m:ctrlPr>
                    </m:dPr>
                    <m:e>
                      <m:f>
                        <m:fPr>
                          <m:type m:val="noBar"/>
                          <m:ctrlPr>
                            <w:rPr>
                              <w:rFonts w:ascii="Cambria Math" w:hAnsi="Cambria Math" w:cs="Times New Roman"/>
                              <w:bCs/>
                              <w:sz w:val="20"/>
                              <w:szCs w:val="20"/>
                            </w:rPr>
                          </m:ctrlPr>
                        </m:fPr>
                        <m:num>
                          <m:r>
                            <m:rPr>
                              <m:sty m:val="p"/>
                            </m:rPr>
                            <w:rPr>
                              <w:rFonts w:ascii="Cambria Math" w:eastAsia="Cambria Math" w:hAnsi="Cambria Math" w:cs="Times New Roman"/>
                              <w:sz w:val="20"/>
                              <w:szCs w:val="20"/>
                            </w:rPr>
                            <m:t>G-</m:t>
                          </m:r>
                          <m:sSub>
                            <m:sSubPr>
                              <m:ctrlPr>
                                <w:rPr>
                                  <w:rFonts w:ascii="Cambria Math" w:hAnsi="Cambria Math" w:cs="Times New Roman"/>
                                  <w:sz w:val="20"/>
                                  <w:szCs w:val="20"/>
                                  <w:vertAlign w:val="subscript"/>
                                </w:rPr>
                              </m:ctrlPr>
                            </m:sSubPr>
                            <m:e>
                              <m:r>
                                <w:rPr>
                                  <w:rFonts w:ascii="Cambria Math" w:hAnsi="Cambria Math" w:cs="Times New Roman"/>
                                  <w:sz w:val="20"/>
                                  <w:szCs w:val="20"/>
                                  <w:vertAlign w:val="subscript"/>
                                </w:rPr>
                                <m:t>M</m:t>
                              </m:r>
                            </m:e>
                            <m:sub>
                              <m:r>
                                <w:rPr>
                                  <w:rFonts w:ascii="Cambria Math" w:hAnsi="Cambria Math" w:cs="Times New Roman"/>
                                  <w:sz w:val="20"/>
                                  <w:szCs w:val="20"/>
                                  <w:vertAlign w:val="subscript"/>
                                </w:rPr>
                                <m:t>i</m:t>
                              </m:r>
                            </m:sub>
                          </m:sSub>
                        </m:num>
                        <m:den>
                          <m:r>
                            <m:rPr>
                              <m:sty m:val="p"/>
                            </m:rPr>
                            <w:rPr>
                              <w:rFonts w:ascii="Cambria Math" w:eastAsia="Cambria Math" w:hAnsi="Cambria Math" w:cs="Times New Roman"/>
                              <w:sz w:val="20"/>
                              <w:szCs w:val="20"/>
                            </w:rPr>
                            <m:t>g-j</m:t>
                          </m:r>
                        </m:den>
                      </m:f>
                    </m:e>
                  </m:d>
                </m:num>
                <m:den>
                  <m:d>
                    <m:dPr>
                      <m:ctrlPr>
                        <w:rPr>
                          <w:rFonts w:ascii="Cambria Math" w:hAnsi="Cambria Math" w:cs="Times New Roman"/>
                          <w:bCs/>
                          <w:sz w:val="20"/>
                          <w:szCs w:val="20"/>
                        </w:rPr>
                      </m:ctrlPr>
                    </m:dPr>
                    <m:e>
                      <m:f>
                        <m:fPr>
                          <m:type m:val="noBar"/>
                          <m:ctrlPr>
                            <w:rPr>
                              <w:rFonts w:ascii="Cambria Math" w:hAnsi="Cambria Math" w:cs="Times New Roman"/>
                              <w:bCs/>
                              <w:sz w:val="20"/>
                              <w:szCs w:val="20"/>
                            </w:rPr>
                          </m:ctrlPr>
                        </m:fPr>
                        <m:num>
                          <m:r>
                            <w:rPr>
                              <w:rFonts w:ascii="Cambria Math" w:hAnsi="Cambria Math" w:cs="Times New Roman"/>
                              <w:sz w:val="20"/>
                              <w:szCs w:val="20"/>
                            </w:rPr>
                            <m:t>G</m:t>
                          </m:r>
                        </m:num>
                        <m:den>
                          <m:r>
                            <w:rPr>
                              <w:rFonts w:ascii="Cambria Math" w:hAnsi="Cambria Math" w:cs="Times New Roman"/>
                              <w:sz w:val="20"/>
                              <w:szCs w:val="20"/>
                            </w:rPr>
                            <m:t>g</m:t>
                          </m:r>
                        </m:den>
                      </m:f>
                    </m:e>
                  </m:d>
                </m:den>
              </m:f>
              <m:r>
                <m:rPr>
                  <m:sty m:val="p"/>
                </m:rPr>
                <w:rPr>
                  <w:rFonts w:ascii="Cambria Math" w:hAnsi="Cambria Math" w:cs="Times New Roman"/>
                  <w:sz w:val="20"/>
                  <w:szCs w:val="20"/>
                </w:rPr>
                <m:t xml:space="preserve">,  </m:t>
              </m:r>
              <m:r>
                <w:rPr>
                  <w:rFonts w:ascii="Cambria Math" w:hAnsi="Cambria Math" w:cs="Times New Roman"/>
                  <w:sz w:val="20"/>
                  <w:szCs w:val="20"/>
                </w:rPr>
                <m:t xml:space="preserve"> i</m:t>
              </m:r>
              <m:r>
                <m:rPr>
                  <m:sty m:val="p"/>
                </m:rPr>
                <w:rPr>
                  <w:rFonts w:ascii="Cambria Math" w:hAnsi="Cambria Math" w:cs="Times New Roman"/>
                  <w:sz w:val="20"/>
                  <w:szCs w:val="20"/>
                </w:rPr>
                <m:t>=1,2,…,r.</m:t>
              </m:r>
            </m:e>
          </m:nary>
        </m:oMath>
      </m:oMathPara>
    </w:p>
    <w:p w14:paraId="53820A14" w14:textId="7B77E583" w:rsidR="003C6347" w:rsidRPr="00C21B42" w:rsidRDefault="003C6347" w:rsidP="003C6347">
      <w:pPr>
        <w:autoSpaceDE w:val="0"/>
        <w:adjustRightInd w:val="0"/>
        <w:spacing w:line="360" w:lineRule="auto"/>
        <w:jc w:val="both"/>
        <w:rPr>
          <w:rFonts w:ascii="Times New Roman" w:hAnsi="Times New Roman" w:cs="Times New Roman"/>
          <w:bCs/>
        </w:rPr>
      </w:pPr>
      <w:r w:rsidRPr="00C21B42">
        <w:rPr>
          <w:rFonts w:ascii="Times New Roman" w:hAnsi="Times New Roman" w:cs="Times New Roman"/>
          <w:bCs/>
          <w:lang w:val="en"/>
        </w:rPr>
        <w:t xml:space="preserve">The part of </w:t>
      </w:r>
      <w:r w:rsidR="00A91BCF">
        <w:rPr>
          <w:rFonts w:ascii="Times New Roman" w:hAnsi="Times New Roman" w:cs="Times New Roman"/>
          <w:bCs/>
          <w:lang w:val="en"/>
        </w:rPr>
        <w:t>sKGBs</w:t>
      </w:r>
      <w:r w:rsidRPr="00C21B42">
        <w:rPr>
          <w:rFonts w:ascii="Times New Roman" w:hAnsi="Times New Roman" w:cs="Times New Roman"/>
          <w:bCs/>
          <w:lang w:val="en"/>
        </w:rPr>
        <w:t xml:space="preserve"> in A</w:t>
      </w:r>
      <w:r w:rsidRPr="00C21B42">
        <w:rPr>
          <w:rFonts w:ascii="Times New Roman" w:hAnsi="Times New Roman" w:cs="Times New Roman"/>
          <w:bCs/>
          <w:i/>
          <w:iCs/>
          <w:vertAlign w:val="subscript"/>
          <w:lang w:val="en"/>
        </w:rPr>
        <w:t>i</w:t>
      </w:r>
      <w:r w:rsidRPr="00C21B42">
        <w:rPr>
          <w:rFonts w:ascii="Times New Roman" w:hAnsi="Times New Roman" w:cs="Times New Roman"/>
          <w:bCs/>
          <w:lang w:val="en"/>
        </w:rPr>
        <w:t xml:space="preserve"> is considered to be significantly annotated if its </w:t>
      </w:r>
      <w:r w:rsidRPr="00C21B42">
        <w:rPr>
          <w:rFonts w:ascii="Times New Roman" w:hAnsi="Times New Roman" w:cs="Times New Roman"/>
          <w:bCs/>
        </w:rPr>
        <w:t xml:space="preserve">adjusted </w:t>
      </w:r>
      <w:r w:rsidRPr="00C21B42">
        <w:rPr>
          <w:rStyle w:val="Emphasis"/>
          <w:rFonts w:ascii="Times New Roman" w:hAnsi="Times New Roman" w:cs="Times New Roman"/>
          <w:bCs/>
          <w:lang w:val="en"/>
        </w:rPr>
        <w:t>p</w:t>
      </w:r>
      <w:r w:rsidRPr="00C21B42">
        <w:rPr>
          <w:rFonts w:ascii="Times New Roman" w:hAnsi="Times New Roman" w:cs="Times New Roman"/>
          <w:bCs/>
          <w:lang w:val="en"/>
        </w:rPr>
        <w:t>-value (p</w:t>
      </w:r>
      <w:r w:rsidRPr="00C21B42">
        <w:rPr>
          <w:rFonts w:ascii="Times New Roman" w:hAnsi="Times New Roman" w:cs="Times New Roman"/>
          <w:bCs/>
          <w:i/>
          <w:iCs/>
          <w:vertAlign w:val="subscript"/>
          <w:lang w:val="en"/>
        </w:rPr>
        <w:t>i</w:t>
      </w:r>
      <w:r w:rsidRPr="00C21B42">
        <w:rPr>
          <w:rFonts w:ascii="Times New Roman" w:hAnsi="Times New Roman" w:cs="Times New Roman"/>
          <w:bCs/>
          <w:lang w:val="en"/>
        </w:rPr>
        <w:t xml:space="preserve">) </w:t>
      </w:r>
      <w:r w:rsidRPr="00C21B42">
        <w:rPr>
          <w:rFonts w:ascii="Times New Roman" w:hAnsi="Times New Roman" w:cs="Times New Roman"/>
          <w:bCs/>
        </w:rPr>
        <w:t xml:space="preserve">&lt; 0.01 </w:t>
      </w:r>
      <w:r w:rsidRPr="00C21B42">
        <w:rPr>
          <w:rFonts w:ascii="Times New Roman" w:hAnsi="Times New Roman" w:cs="Times New Roman"/>
          <w:bCs/>
          <w:lang w:val="en"/>
        </w:rPr>
        <w:t xml:space="preserve">with FDR at 5%. </w:t>
      </w:r>
      <w:bookmarkStart w:id="22" w:name="_Hlk138193461"/>
      <w:r w:rsidRPr="00C21B42">
        <w:rPr>
          <w:rFonts w:ascii="Times New Roman" w:hAnsi="Times New Roman" w:cs="Times New Roman"/>
          <w:bCs/>
        </w:rPr>
        <w:t xml:space="preserve">Two </w:t>
      </w:r>
      <w:r w:rsidRPr="00C21B42">
        <w:rPr>
          <w:rFonts w:ascii="Times New Roman" w:eastAsia="TimesNewRomanMTStd" w:hAnsi="Times New Roman" w:cs="Times New Roman"/>
          <w:bCs/>
        </w:rPr>
        <w:t>web tools (</w:t>
      </w:r>
      <w:r w:rsidRPr="00C21B42">
        <w:rPr>
          <w:rFonts w:ascii="Times New Roman" w:hAnsi="Times New Roman" w:cs="Times New Roman"/>
          <w:bCs/>
        </w:rPr>
        <w:t xml:space="preserve">Enrichr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{"citationItems":[{"id":"ITEM-1","itemData":{"DOI":"10.1186/1471-2105-14-128","ISSN":"14712105","abstract":"Background: System-wide profiling of genes and proteins in mammalian cells produce lists of differentially expressed genes/proteins that need to be further analyzed for their collective functions in order to extract new knowledge. Once unbiased lists of genes or proteins are generated from such experiments, these lists are used as input for computing enrichment with existing lists created from prior knowledge organized into gene-set libraries. While many enrichment analysis tools and gene-set libraries databases have been developed, there is still room for improvement.Results: Here, we present Enrichr, an integrative web-based and mobile software application that includes new gene-set libraries, an alternative approach to rank enriched terms, and various interactive visualization approaches to display enrichment results using the JavaScript library, Data Driven Documents (D3). The software can also be embedded into any tool that performs gene list analysis. We applied Enrichr to analyze nine cancer cell lines by comparing their enrichment signatures to the enrichment signatures of matched normal tissues. We observed a common pattern of up regulation of the polycomb group PRC2 and enrichment for the histone mark H3K27me3 in many cancer cell lines, as well as alterations in Toll-like receptor and interlukin signaling in K562 cells when compared with normal myeloid CD33+ cells. Such analyses provide global visualization of critical differences between normal tissues and cancer cell lines but can be applied to many other scenarios.Conclusions: Enrichr is an easy to use intuitive enrichment analysis web-based tool providing various types of visualization summaries of collective functions of gene lists. Enrichr is open source and freely available online at: http://amp.pharm.mssm.edu/Enrichr. © 2013 Chen et al.; licensee BioMed Central Ltd.","author":[{"dropping-particle":"","family":"Chen","given":"Edward Y.","non-dropping-particle":"","parse-names":false,"suffix":""},{"dropping-particle":"","family":"Tan","given":"Christopher M.","non-dropping-particle":"","parse-names":false,"suffix":""},{"dropping-particle":"","family":"Kou","given":"Yan","non-dropping-particle":"","parse-names":false,"suffix":""},{"dropping-particle":"","family":"Duan","given":"Qiaonan","non-dropping-particle":"","parse-names":false,"suffix":""},{"dropping-particle":"","family":"Wang","given":"Zichen","non-dropping-particle":"","parse-names":false,"suffix":""},{"dropping-particle":"V.","family":"Meirelles","given":"Gabriela","non-dropping-particle":"","parse-names":false,"suffix":""},{"dropping-particle":"","family":"Clark","given":"Neil R.","non-dropping-particle":"","parse-names":false,"suffix":""},{"dropping-particle":"","family":"Ma'ayan","given":"Avi","non-dropping-particle":"","parse-names":false,"suffix":""}],"container-title":"BMC Bioinformatics","id":"ITEM-1","issued":{"date-parts":[["2013"]]},"title":"Enrichr: Interactive and collaborative HTML5 gene list enrichment analysis tool","type":"article-journal","volume":"14"},"uris":["http://www.mendeley.com/documents/?uuid=453b1296-03f7-30e3-a17f-fe7a29e3b939"]}],"mendeley":{"formattedCitation":"[14]","plainTextFormattedCitation":"[14]","previouslyFormattedCitation":"[14]"},"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[14]</w:t>
      </w:r>
      <w:r w:rsidRPr="00C21B42">
        <w:rPr>
          <w:rFonts w:ascii="Times New Roman" w:hAnsi="Times New Roman" w:cs="Times New Roman"/>
          <w:bCs/>
        </w:rPr>
        <w:fldChar w:fldCharType="end"/>
      </w:r>
      <w:r w:rsidRPr="00C21B42">
        <w:rPr>
          <w:rFonts w:ascii="Times New Roman" w:hAnsi="Times New Roman" w:cs="Times New Roman"/>
          <w:bCs/>
        </w:rPr>
        <w:t>, and GeneCodis</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{"citationItems":[{"id":"ITEM-1","itemData":{"DOI":"10.1093/nar/gkp416","ISSN":"03051048","abstract":"GeneCodis is a web server application for functional analysis of gene lists that integrates different sources of information and finds modular patterns of interrelated annotations. This integrative approach has proved to be useful for the interpretation of high-throughput experiments and therefore a new version of the system has been developed to expand its functionality and scope. GeneCodis now expands the functional information with regulatory patterns and user-defined annotations, offering the possibility of integrating all sources of information in the same analysis. Traditional singular enrichment is now permitted and more organisms and gene identifiers have been added to the database. The application has been re-engineered to improve performance, accessibility and scalability. In addition, GeneCodis can now be accessed through a public SOAP web services interface, enabling users to perform analysis from their own scripts and workflows. The application is freely available at http://genecodis.dacya.ucm.es.","author":[{"dropping-particle":"","family":"Nogales-Cadenas","given":"Ruben","non-dropping-particle":"","parse-names":false,"suffix":""},{"dropping-particle":"","family":"Carmona-Saez","given":"Pedro","non-dropping-particle":"","parse-names":false,"suffix":""},{"dropping-particle":"","family":"Vazquez","given":"Miguel","non-dropping-particle":"","parse-names":false,"suffix":""},{"dropping-particle":"","family":"Vicente","given":"Cesar","non-dropping-particle":"","parse-names":false,"suffix":""},{"dropping-particle":"","family":"Yang","given":"Xiaoyuan","non-dropping-particle":"","parse-names":false,"suffix":""},{"dropping-particle":"","family":"Tirado","given":"Francisco","non-dropping-particle":"","parse-names":false,"suffix":""},{"dropping-particle":"","family":"Carazo","given":"Jose María","non-dropping-particle":"","parse-names":false,"suffix":""},{"dropping-particle":"","family":"Pascual-Montano","given":"Alberto","non-dropping-particle":"","parse-names":false,"suffix":""}],"container-title":"Nucleic Acids Research","id":"ITEM-1","issue":"SUPPL. 2","issued":{"date-parts":[["2009"]]},"title":"GeneCodis: Interpreting gene lists through enrichment analysis and integration of diverse biological information","type":"article-journal","volume":"37"},"uris":["http://www.mendeley.com/documents/?uuid=dc93d27b-c947-3ac1-bc2d-74583b235a06"]}],"mendeley":{"formattedCitation":"[15]","plainTextFormattedCitation":"[15]","previouslyFormattedCitation":"[15]"},"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[15]</w:t>
      </w:r>
      <w:r w:rsidRPr="00C21B42">
        <w:rPr>
          <w:rFonts w:ascii="Times New Roman" w:hAnsi="Times New Roman" w:cs="Times New Roman"/>
          <w:bCs/>
        </w:rPr>
        <w:fldChar w:fldCharType="end"/>
      </w:r>
      <w:r w:rsidRPr="00C21B42">
        <w:rPr>
          <w:rFonts w:ascii="Times New Roman" w:hAnsi="Times New Roman" w:cs="Times New Roman"/>
          <w:bCs/>
        </w:rPr>
        <w:t>)</w:t>
      </w:r>
      <w:r w:rsidRPr="00C21B42">
        <w:rPr>
          <w:rFonts w:ascii="Times New Roman" w:eastAsia="TimesNewRomanMTStd" w:hAnsi="Times New Roman" w:cs="Times New Roman"/>
          <w:bCs/>
        </w:rPr>
        <w:t xml:space="preserve"> were used to calculate their </w:t>
      </w:r>
      <w:r w:rsidRPr="00C21B42">
        <w:rPr>
          <w:rFonts w:ascii="Times New Roman" w:hAnsi="Times New Roman" w:cs="Times New Roman"/>
          <w:bCs/>
        </w:rPr>
        <w:t xml:space="preserve">adjusted </w:t>
      </w:r>
      <w:r w:rsidRPr="00C21B42">
        <w:rPr>
          <w:rFonts w:ascii="Times New Roman" w:hAnsi="Times New Roman" w:cs="Times New Roman"/>
          <w:bCs/>
          <w:i/>
          <w:iCs/>
        </w:rPr>
        <w:t>p-</w:t>
      </w:r>
      <w:r w:rsidRPr="00C21B42">
        <w:rPr>
          <w:rFonts w:ascii="Times New Roman" w:hAnsi="Times New Roman" w:cs="Times New Roman"/>
          <w:bCs/>
        </w:rPr>
        <w:t xml:space="preserve">values using the Benjamini and Hochberg (BH) procedure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{"citationItems":[{"id":"ITEM-1","itemData":{"DOI":"10.1111/j.2517-6161.1995.tb02031.x","ISSN":"0035-9246","abstract":"The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 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author":[{"dropping-particle":"","family":"Benjamini","given":"Yoav","non-dropping-particle":"","parse-names":false,"suffix":""},{"dropping-particle":"","family":"Hochberg","given":"Yosef","non-dropping-particle":"","parse-names":false,"suffix":""}],"container-title":"Journal of the Royal Statistical Society: Series B (Methodological)","id":"ITEM-1","issue":"1","issued":{"date-parts":[["1995"]]},"title":"Controlling the False Discovery Rate: A Practical and Powerful Approach to Multiple Testing","type":"article-journal","volume":"57"},"uris":["http://www.mendeley.com/documents/?uuid=12bb96b3-0bea-43a9-a828-68715997bf97"]}],"mendeley":{"formattedCitation":"[16]","plainTextFormattedCitation":"[16]","previouslyFormattedCitation":"[16]"},"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[16]</w:t>
      </w:r>
      <w:r w:rsidRPr="00C21B42">
        <w:rPr>
          <w:rFonts w:ascii="Times New Roman" w:hAnsi="Times New Roman" w:cs="Times New Roman"/>
          <w:bCs/>
        </w:rPr>
        <w:fldChar w:fldCharType="end"/>
      </w:r>
      <w:r w:rsidRPr="00C21B42">
        <w:rPr>
          <w:rFonts w:ascii="Times New Roman" w:hAnsi="Times New Roman" w:cs="Times New Roman"/>
          <w:bCs/>
        </w:rPr>
        <w:t xml:space="preserve"> that revealed </w:t>
      </w:r>
      <w:r w:rsidR="00A91BCF">
        <w:rPr>
          <w:rFonts w:ascii="Times New Roman" w:hAnsi="Times New Roman" w:cs="Times New Roman"/>
          <w:bCs/>
        </w:rPr>
        <w:t>sKGBs</w:t>
      </w:r>
      <w:r w:rsidRPr="00C21B42">
        <w:rPr>
          <w:rFonts w:ascii="Times New Roman" w:hAnsi="Times New Roman" w:cs="Times New Roman"/>
          <w:bCs/>
        </w:rPr>
        <w:t xml:space="preserve"> related significant GO functionals as well as KEGG pathways.</w:t>
      </w:r>
    </w:p>
    <w:bookmarkEnd w:id="22"/>
    <w:p w14:paraId="3EC99495" w14:textId="0CF08F4B" w:rsidR="003C6347" w:rsidRPr="00C21B42" w:rsidRDefault="00447ECA" w:rsidP="003C6347">
      <w:pPr>
        <w:spacing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5</w:t>
      </w:r>
      <w:r w:rsidR="003C6347" w:rsidRPr="00C21B42">
        <w:rPr>
          <w:rFonts w:ascii="Times New Roman" w:hAnsi="Times New Roman" w:cs="Times New Roman"/>
          <w:b/>
        </w:rPr>
        <w:t xml:space="preserve">.2.  </w:t>
      </w:r>
      <w:r w:rsidR="00B720F9">
        <w:rPr>
          <w:rFonts w:ascii="Times New Roman" w:hAnsi="Times New Roman" w:cs="Times New Roman"/>
          <w:b/>
        </w:rPr>
        <w:t xml:space="preserve">Exploring </w:t>
      </w:r>
      <w:r w:rsidR="003C6347" w:rsidRPr="00C21B42">
        <w:rPr>
          <w:rFonts w:ascii="Times New Roman" w:hAnsi="Times New Roman" w:cs="Times New Roman"/>
          <w:b/>
        </w:rPr>
        <w:t xml:space="preserve">different </w:t>
      </w:r>
      <w:bookmarkStart w:id="23" w:name="_Hlk125722999"/>
      <w:r w:rsidR="003C6347" w:rsidRPr="00C21B42">
        <w:rPr>
          <w:rFonts w:ascii="Times New Roman" w:hAnsi="Times New Roman" w:cs="Times New Roman"/>
          <w:b/>
        </w:rPr>
        <w:t xml:space="preserve">immune infiltration levels </w:t>
      </w:r>
      <w:bookmarkEnd w:id="23"/>
      <w:r w:rsidR="003C6347" w:rsidRPr="00C21B42">
        <w:rPr>
          <w:rFonts w:ascii="Times New Roman" w:hAnsi="Times New Roman" w:cs="Times New Roman"/>
          <w:b/>
        </w:rPr>
        <w:t>in PC</w:t>
      </w:r>
      <w:r w:rsidR="00B720F9">
        <w:rPr>
          <w:rFonts w:ascii="Times New Roman" w:hAnsi="Times New Roman" w:cs="Times New Roman"/>
          <w:b/>
        </w:rPr>
        <w:t xml:space="preserve"> by the association of </w:t>
      </w:r>
      <w:r w:rsidR="00A91BCF">
        <w:rPr>
          <w:rFonts w:ascii="Times New Roman" w:hAnsi="Times New Roman" w:cs="Times New Roman"/>
          <w:b/>
        </w:rPr>
        <w:t>sKGBs</w:t>
      </w:r>
    </w:p>
    <w:p w14:paraId="5655E082" w14:textId="74CB57EB" w:rsidR="003C6347" w:rsidRPr="00C21B42" w:rsidRDefault="003C6347" w:rsidP="003C6347">
      <w:pPr>
        <w:spacing w:line="360" w:lineRule="auto"/>
        <w:jc w:val="both"/>
        <w:rPr>
          <w:rFonts w:ascii="Times New Roman" w:hAnsi="Times New Roman" w:cs="Times New Roman"/>
          <w:bCs/>
        </w:rPr>
      </w:pPr>
      <w:r w:rsidRPr="00C21B42">
        <w:rPr>
          <w:rFonts w:ascii="Times New Roman" w:hAnsi="Times New Roman" w:cs="Times New Roman"/>
          <w:bCs/>
        </w:rPr>
        <w:t xml:space="preserve">The tumor microenvironment plays an important role in tumor progression and response to immunotherapy, largely influenced by the composition and abundance of immune cells present. </w:t>
      </w:r>
      <w:bookmarkStart w:id="24" w:name="_Hlk138193475"/>
      <w:r w:rsidRPr="00C21B42">
        <w:rPr>
          <w:rFonts w:ascii="Times New Roman" w:hAnsi="Times New Roman" w:cs="Times New Roman"/>
          <w:bCs/>
        </w:rPr>
        <w:t xml:space="preserve">We investigated the associations between immune infiltrates and the expressions of </w:t>
      </w:r>
      <w:r w:rsidR="00A91BCF">
        <w:rPr>
          <w:rFonts w:ascii="Times New Roman" w:hAnsi="Times New Roman" w:cs="Times New Roman"/>
          <w:bCs/>
        </w:rPr>
        <w:t>sKGBs</w:t>
      </w:r>
      <w:r w:rsidRPr="00C21B42">
        <w:rPr>
          <w:rFonts w:ascii="Times New Roman" w:hAnsi="Times New Roman" w:cs="Times New Roman"/>
          <w:bCs/>
        </w:rPr>
        <w:t xml:space="preserve"> by TCGA Pancreatic Adenocarcinoma (PAAD) data based TIMER (Tumor Immune Estimation Resource) web-tools </w:t>
      </w:r>
      <w:bookmarkStart w:id="25" w:name="_Hlk138196281"/>
      <w:bookmarkEnd w:id="24"/>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{"citationItems":[{"id":"ITEM-1","itemData":{"DOI":"10.1093/NAR/GKAA407","ISSN":"13624962","PMID":"32442275","abstract":"Tumor progression and the efficacy of immunotherapy are strongly influenced by the composition and abundance of immune cells in the tumor microenvironment. Due to the limitations of direct measurement methods, computational algorithms are often used to infer immune cell composition from bulk tumor transcriptome profiles. These estimated tumor immune infiltrate populations have been associated with genomic and transcriptomic changes in the tumors, providing insight into tumor-immune interactions. However, such investigations on large-scale public data remain challenging. To lower the barriers for the analysis of complex tumor-immune interactions, we significantly improved our previous web platform TIMER. Instead of just using one algorithm, TIMER2.0 (http://timer.cistrome.org/) provides more robust estimation of immune infiltration levels for The Cancer Genome Atlas (TCGA) or user-provided tumor profiles using six state-of-the-art algorithms. TIMER2.0 provides four modules for investigating the associations between immune infiltrates and genetic or clinical features, and four modules for exploring cancer-related associations in the TCGA cohorts. Each module can generate a functional heatmap table, enabling the user to easily identify significant associations in multiple cancer types simultaneously. Overall, the TIMER2.0 web server provides comprehensive analysis and visualization functions of tumor infiltrating immune cells.","author":[{"dropping-particle":"","family":"Li","given":"Taiwen","non-dropping-particle":"","parse-names":false,"suffix":""},{"dropping-particle":"","family":"Fu","given":"Jingxin","non-dropping-particle":"","parse-names":false,"suffix":""},{"dropping-particle":"","family":"Zeng","given":"Zexian","non-dropping-particle":"","parse-names":false,"suffix":""},{"dropping-particle":"","family":"Cohen","given":"David","non-dropping-particle":"","parse-names":false,"suffix":""},{"dropping-particle":"","family":"Li","given":"Jing","non-dropping-particle":"","parse-names":false,"suffix":""},{"dropping-particle":"","family":"Chen","given":"Qianming","non-dropping-particle":"","parse-names":false,"suffix":""},{"dropping-particle":"","family":"Li","given":"Bo","non-dropping-particle":"","parse-names":false,"suffix":""},{"dropping-particle":"","family":"Liu","given":"X. Shirley","non-dropping-particle":"","parse-names":false,"suffix":""}],"container-title":"Nucleic Acids Research","id":"ITEM-1","issue":"W1","issued":{"date-parts":[["2020"]]},"page":"W509-W514","title":"TIMER2.0 for analysis of tumor-infiltrating immune cells","type":"article-journal","volume":"48"},"uris":["http://www.mendeley.com/documents/?uuid=a15b1258-0ec9-4e0a-abae-b685722416c7","http://www.mendeley.com/documents/?uuid=1c40a2fd-621b-40ab-8b56-3138cd12f95f","http://www.mendeley.com/documents/?uuid=20d7c25c-e714-453e-9ccd-9be2a09f893b"]},{"id":"ITEM-2","itemData":{"author":[{"dropping-particle":"","family":"NIH","given":"","non-dropping-particle":"","parse-names":false,"suffix":""}],"id":"ITEM-2","issued":{"date-parts":[["2022"]]},"title":"The Cancer Genome Atlas Program - NCI","type":"article-journal"},"uris":["http://www.mendeley.com/documents/?uuid=db131c04-0696-4304-b07a-10a551112f9a"]}],"mendeley":{"formattedCitation":"[11,17]","plainTextFormattedCitation":"[11,17]","previouslyFormattedCitation":"[11,17]"},"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[11,17]</w:t>
      </w:r>
      <w:r w:rsidRPr="00C21B42">
        <w:rPr>
          <w:rFonts w:ascii="Times New Roman" w:hAnsi="Times New Roman" w:cs="Times New Roman"/>
          <w:bCs/>
        </w:rPr>
        <w:fldChar w:fldCharType="end"/>
      </w:r>
      <w:r w:rsidRPr="00C21B42">
        <w:rPr>
          <w:rFonts w:ascii="Times New Roman" w:hAnsi="Times New Roman" w:cs="Times New Roman"/>
          <w:bCs/>
        </w:rPr>
        <w:t xml:space="preserve">. </w:t>
      </w:r>
      <w:bookmarkEnd w:id="25"/>
      <w:r w:rsidRPr="00C21B42">
        <w:rPr>
          <w:rFonts w:ascii="Times New Roman" w:hAnsi="Times New Roman" w:cs="Times New Roman"/>
          <w:bCs/>
        </w:rPr>
        <w:t xml:space="preserve">TIMER is an integrated resource for studying the genetic characterization of tumor-immune interactions across several cancer types. It uses a deconvolution statistical approach to estimate the number of six tumor-infiltrating immune cells: B cells, neutrophils, CD8+T cells, CD4+T cells, macrophages, and dendritic cells (DC). </w:t>
      </w:r>
    </w:p>
    <w:p w14:paraId="3792C6E6" w14:textId="440896DA" w:rsidR="003C6347" w:rsidRPr="00C21B42" w:rsidRDefault="00447ECA" w:rsidP="003C6347">
      <w:pPr>
        <w:spacing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5.</w:t>
      </w:r>
      <w:r w:rsidR="003C6347" w:rsidRPr="00C21B42">
        <w:rPr>
          <w:rFonts w:ascii="Times New Roman" w:hAnsi="Times New Roman" w:cs="Times New Roman"/>
          <w:b/>
        </w:rPr>
        <w:t xml:space="preserve">3.  DNA methylation of </w:t>
      </w:r>
      <w:r w:rsidR="00A91BCF">
        <w:rPr>
          <w:rFonts w:ascii="Times New Roman" w:hAnsi="Times New Roman" w:cs="Times New Roman"/>
          <w:b/>
        </w:rPr>
        <w:t>sKGBs</w:t>
      </w:r>
      <w:r w:rsidR="003C6347" w:rsidRPr="00C21B42">
        <w:rPr>
          <w:rFonts w:ascii="Times New Roman" w:hAnsi="Times New Roman" w:cs="Times New Roman"/>
          <w:b/>
        </w:rPr>
        <w:t xml:space="preserve"> in PC</w:t>
      </w:r>
    </w:p>
    <w:p w14:paraId="14E54012" w14:textId="5A144F0E" w:rsidR="003C6347" w:rsidRPr="00C21B42" w:rsidRDefault="003C6347" w:rsidP="003C6347">
      <w:pPr>
        <w:spacing w:line="360" w:lineRule="auto"/>
        <w:jc w:val="both"/>
        <w:rPr>
          <w:rFonts w:ascii="Times New Roman" w:hAnsi="Times New Roman" w:cs="Times New Roman"/>
          <w:b/>
        </w:rPr>
      </w:pPr>
      <w:bookmarkStart w:id="26" w:name="_Hlk138193494"/>
      <w:r w:rsidRPr="00C21B42">
        <w:rPr>
          <w:rFonts w:ascii="Times New Roman" w:hAnsi="Times New Roman" w:cs="Times New Roman"/>
          <w:bCs/>
        </w:rPr>
        <w:lastRenderedPageBreak/>
        <w:t xml:space="preserve">DNA methylation, an intricate epigenetic mechanism that regulates gene expression in normal and tumor cells, was examined using MethSurv web-tools with TCGA-PAAD methylation data </w:t>
      </w:r>
      <w:bookmarkStart w:id="27" w:name="_Hlk138196297"/>
      <w:bookmarkEnd w:id="26"/>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{"citationItems":[{"id":"ITEM-1","itemData":{"DOI":"10.2217/epi-2017-0118","ISSN":"1750192X","PMID":"29264942","abstract":"Aim: To develop a web tool for survival analysis based on CpG methylation patterns. Materials &amp; methods: We utilized methylome data from 'The Cancer Genome Atlas' and used the Cox proportional-hazards model to develop an interactive web interface for survival analysis. Results: MethSurv enables survival analysis for a CpG located in or around the proximity of a query gene. For further mining, cluster analysis for a query gene to associate methylation patterns with clinical characteristics and browsing of top biomarkers for each cancer type are provided. MethSurv includes 7358 methylomes from 25 different human cancers. Conclusion: The MethSurv tool is a valuable platform for the researchers without programming skills to perform the initial assessment of methylation-based cancer biomarkers.","author":[{"dropping-particle":"","family":"Modhukur","given":"Vijayachitra","non-dropping-particle":"","parse-names":false,"suffix":""},{"dropping-particle":"","family":"Iljasenko","given":"Tatjana","non-dropping-particle":"","parse-names":false,"suffix":""},{"dropping-particle":"","family":"Metsalu","given":"Tauno","non-dropping-particle":"","parse-names":false,"suffix":""},{"dropping-particle":"","family":"Lokk","given":"Kaie","non-dropping-particle":"","parse-names":false,"suffix":""},{"dropping-particle":"","family":"Laisk-Podar","given":"Triin","non-dropping-particle":"","parse-names":false,"suffix":""},{"dropping-particle":"","family":"Vilo","given":"Jaak","non-dropping-particle":"","parse-names":false,"suffix":""}],"container-title":"Epigenomics","id":"ITEM-1","issue":"3","issued":{"date-parts":[["2018"]]},"page":"277-288","title":"MethSurv: A web tool to perform multivariable survival analysis using DNA methylation data","type":"article-journal","volume":"10"},"uris":["http://www.mendeley.com/documents/?uuid=7430a9f4-d911-4a02-9310-a97d74dadfe6","http://www.mendeley.com/documents/?uuid=fe3ca0ef-63c8-4009-8142-a84c36202b51","http://www.mendeley.com/documents/?uuid=0776e228-a57a-41cc-a298-48ec61e191b0"]}],"mendeley":{"formattedCitation":"[18]","plainTextFormattedCitation":"[18]","previouslyFormattedCitation":"[18]"},"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[18]</w:t>
      </w:r>
      <w:r w:rsidRPr="00C21B42">
        <w:rPr>
          <w:rFonts w:ascii="Times New Roman" w:hAnsi="Times New Roman" w:cs="Times New Roman"/>
          <w:bCs/>
        </w:rPr>
        <w:fldChar w:fldCharType="end"/>
      </w:r>
      <w:r w:rsidRPr="00C21B42">
        <w:rPr>
          <w:rFonts w:ascii="Times New Roman" w:hAnsi="Times New Roman" w:cs="Times New Roman"/>
          <w:bCs/>
        </w:rPr>
        <w:t xml:space="preserve">. </w:t>
      </w:r>
      <w:bookmarkEnd w:id="27"/>
      <w:r w:rsidRPr="00C21B42">
        <w:rPr>
          <w:rFonts w:ascii="Times New Roman" w:hAnsi="Times New Roman" w:cs="Times New Roman"/>
          <w:bCs/>
        </w:rPr>
        <w:t>β values represented DNA methylation values (ranging from 0 to 1), calculated as M/(M + U + 100) for each CpG site, where M and U denote methylated and unmethylated intensities, respectively. To evaluate differences in patient survival, we divided the methylation levels into two groups: higher (methylation β value above the cut-off point) and lower (methylation β value below the cut-off point). The cut-off point for grouping can be determined using either the mean or data quantiles.</w:t>
      </w:r>
    </w:p>
    <w:p w14:paraId="39D7B633" w14:textId="679AAFDC" w:rsidR="003C6347" w:rsidRPr="00C21B42" w:rsidRDefault="00447ECA" w:rsidP="003C6347">
      <w:pPr>
        <w:spacing w:after="0"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5</w:t>
      </w:r>
      <w:r w:rsidR="003C6347" w:rsidRPr="00C21B42">
        <w:rPr>
          <w:rFonts w:ascii="Times New Roman" w:hAnsi="Times New Roman" w:cs="Times New Roman"/>
          <w:b/>
        </w:rPr>
        <w:t xml:space="preserve">.4. Regulatory analysis of </w:t>
      </w:r>
      <w:r w:rsidR="00A91BCF">
        <w:rPr>
          <w:rFonts w:ascii="Times New Roman" w:hAnsi="Times New Roman" w:cs="Times New Roman"/>
          <w:b/>
        </w:rPr>
        <w:t>sKGBs</w:t>
      </w:r>
      <w:r w:rsidR="003C6347" w:rsidRPr="00C21B42">
        <w:rPr>
          <w:rFonts w:ascii="Times New Roman" w:hAnsi="Times New Roman" w:cs="Times New Roman"/>
          <w:b/>
        </w:rPr>
        <w:t xml:space="preserve"> </w:t>
      </w:r>
    </w:p>
    <w:p w14:paraId="23759D31" w14:textId="4C912092" w:rsidR="003C6347" w:rsidRPr="00C21B42" w:rsidRDefault="003C6347" w:rsidP="003C6347">
      <w:pPr>
        <w:pStyle w:val="MDPI31text"/>
        <w:spacing w:line="360" w:lineRule="auto"/>
        <w:ind w:left="0" w:firstLine="0"/>
        <w:rPr>
          <w:rFonts w:ascii="Times New Roman" w:hAnsi="Times New Roman"/>
          <w:bCs/>
          <w:color w:val="auto"/>
          <w:sz w:val="22"/>
        </w:rPr>
      </w:pPr>
      <w:r w:rsidRPr="00C21B42">
        <w:rPr>
          <w:rFonts w:ascii="Times New Roman" w:hAnsi="Times New Roman"/>
          <w:bCs/>
          <w:color w:val="auto"/>
          <w:sz w:val="22"/>
        </w:rPr>
        <w:t xml:space="preserve">Understanding gene regulatory networks helps us unravel the causes of diseases by studying how cellular processes become disrupted. </w:t>
      </w:r>
      <w:bookmarkStart w:id="28" w:name="_Hlk138193526"/>
      <w:r w:rsidRPr="00C21B42">
        <w:rPr>
          <w:rFonts w:ascii="Times New Roman" w:hAnsi="Times New Roman"/>
          <w:bCs/>
          <w:color w:val="auto"/>
          <w:sz w:val="22"/>
        </w:rPr>
        <w:t xml:space="preserve">To identify crucial  governing  transcription factors (TFs) and micro-RNAs (miRNAs) of </w:t>
      </w:r>
      <w:r w:rsidR="00A91BCF">
        <w:rPr>
          <w:rFonts w:ascii="Times New Roman" w:hAnsi="Times New Roman"/>
          <w:bCs/>
          <w:color w:val="auto"/>
          <w:sz w:val="22"/>
        </w:rPr>
        <w:t>sKGBs</w:t>
      </w:r>
      <w:r w:rsidRPr="00C21B42">
        <w:rPr>
          <w:rFonts w:ascii="Times New Roman" w:hAnsi="Times New Roman"/>
          <w:bCs/>
          <w:color w:val="auto"/>
          <w:sz w:val="22"/>
        </w:rPr>
        <w:t>, we considered NetworkAnalyst</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 xml:space="preserve">ADDIN CSL_CITATION {"citationItems":[{"id":"ITEM-1","itemData":{"DOI":"10.1038/nprot.2015.052","ISSN":"17502799","abstract":"Meta-analysis of gene expression data sets is increasingly performed to help identify robust molecular signatures and to gain insights into underlying biological processes. The complicated nature of such analyses requires both advanced statistics and innovative visualization strategies to support efficient data comparison, interpretation and hypothesis generation. NetworkAnalyst (http://www.networkanalyst.ca) is a comprehensive web-based tool designed to allow bench researchers to perform various common and complex meta-analyses of gene expression data via an intuitive web interface. By coupling well-established statistical procedures with state-of-the-art data visualization techniques, NetworkAnalyst allows researchers to easily navigate large complex gene expression data sets to determine important features, patterns, functions and connections, thus leading to the generation of new biological hypotheses. This protocol provides a step-wise description of how to effectively use NetworkAnalyst to perform network analysis and visualization from gene lists; to perform meta-analysis on gene expression data while taking into account multiple metadata parameters; and, finally, to perform a meta-analysis of multiple gene expression data sets. NetworkAnalyst is designed to be accessible to biologists rather than to specialist bioinformaticians. The complete protocol can be executed in </w:instrText>
      </w:r>
      <w:r w:rsidR="00936BE4" w:rsidRPr="00C21B42">
        <w:rPr>
          <w:rFonts w:ascii="Cambria Math" w:hAnsi="Cambria Math" w:cs="Cambria Math"/>
          <w:bCs/>
          <w:color w:val="auto"/>
          <w:sz w:val="22"/>
        </w:rPr>
        <w:instrText>∼</w:instrText>
      </w:r>
      <w:r w:rsidR="00936BE4" w:rsidRPr="00C21B42">
        <w:rPr>
          <w:rFonts w:ascii="Times New Roman" w:hAnsi="Times New Roman"/>
          <w:bCs/>
          <w:color w:val="auto"/>
          <w:sz w:val="22"/>
        </w:rPr>
        <w:instrText>1.5 h. Compared with other similar web-based tools, NetworkAnalyst offers a unique visual analytics experience that enables data analysis within the context of protein-protein interaction networks, heatmaps or chord diagrams. All of these analysis methods provide the user with supporting statistical and functional evidence.","author":[{"dropping-particle":"","family":"Xia","given":"Jianguo","non-dropping-particle":"","parse-names":false,"suffix":""},{"dropping-particle":"","family":"Gill","given":"Erin E.","non-dropping-particle":"","parse-names":false,"suffix":""},{"dropping-particle":"","family":"Hancock","given":"Robert E.W.","non-dropping-particle":"","parse-names":false,"suffix":""}],"container-title":"Nature Protocols","id":"ITEM-1","issue":"6","issued":{"date-parts":[["2015"]]},"title":"NetworkAnalyst for statistical, visual and network-based meta-analysis of gene expression data","type":"article-journal","volume":"10"},"uris":["http://www.mendeley.com/documents/?uuid=991ca912-7ecb-4bd0-9db9-0c00fc2608ff"]}],"mendeley":{"formattedCitation":"[19]","plainTextFormattedCitation":"[19]","previouslyFormattedCitation":"[19]"},"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[19]</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platform-based RegNetwork</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{"citationItems":[{"id":"ITEM-1","itemData":{"DOI":"10.1093/database/bav095","ISSN":"17580463","abstract":"Transcriptional and post-transcriptional regulation of gene expression is of fundamental importance to numerous biological processes. Nowadays, an increasing amount of gene regulatory relationships have been documented in various databases and literature. However, to more efficiently exploit such knowledge for biomedical research and applications, it is necessary to construct a genome-wide regulatory network database to integrate the information on gene regulatory relationships that are widely scattered in many different places. Therefore, in this work, we build a knowledge-based database, named 'RegNetwork', of gene regulatory networks for human and mouse by collecting and integrating the documented regulatory interactions among transcription factors (TFs), microRNAs (miRNAs) and target genes from 25 selected databases. Moreover, we also inferred and incorporated potential regulatory relationships based on transcription factor binding site (TFBS) motifs into RegNetwork. As a result, RegNetwork contains a comprehensive set of experimentally observed or predicted transcriptional and post-transcriptional regulatory relationships, and the database framework is flexibly designed for potential extensions to include gene regulatory networks for other organisms in the future. Based on RegNetwork, we characterized the statistical and topological properties of genome-wide regulatory networks for human and mouse, we also extracted and interpreted simple yet important network motifs that involve the interplays between TF-miRNA and their targets. In summary, RegNetwork provides an integrated resource on the prior information for gene regulatory relationships, and it enables us to further investigate context-specific transcriptional and post-transcriptional regulatory interactions based on domain-specific experimental data.","author":[{"dropping-particle":"","family":"Liu","given":"Zhi Ping","non-dropping-particle":"","parse-names":false,"suffix":""},{"dropping-particle":"","family":"Wu","given":"Canglin","non-dropping-particle":"","parse-names":false,"suffix":""},{"dropping-particle":"","family":"Miao","given":"Hongyu","non-dropping-particle":"","parse-names":false,"suffix":""},{"dropping-particle":"","family":"Wu","given":"Hulin","non-dropping-particle":"","parse-names":false,"suffix":""}],"container-title":"Database","id":"ITEM-1","issued":{"date-parts":[["2015"]]},"title":"RegNetwork: An integrated database of transcriptional and post-transcriptional regulatory networks in human and mouse","type":"article-journal","volume":"2015"},"uris":["http://www.mendeley.com/documents/?uuid=20c48bac-1778-4d02-907a-498290a5caf4"]}],"mendeley":{"formattedCitation":"[20]","plainTextFormattedCitation":"[20]","previouslyFormattedCitation":"[20]"},"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[20]</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databases to perform the </w:t>
      </w:r>
      <w:r w:rsidR="00A91BCF">
        <w:rPr>
          <w:rFonts w:ascii="Times New Roman" w:hAnsi="Times New Roman"/>
          <w:bCs/>
          <w:color w:val="auto"/>
          <w:sz w:val="22"/>
        </w:rPr>
        <w:t>sKGBs</w:t>
      </w:r>
      <w:r w:rsidRPr="00C21B42">
        <w:rPr>
          <w:rFonts w:ascii="Times New Roman" w:hAnsi="Times New Roman"/>
          <w:bCs/>
          <w:color w:val="auto"/>
          <w:sz w:val="22"/>
        </w:rPr>
        <w:t xml:space="preserve"> </w:t>
      </w:r>
      <w:r w:rsidRPr="00C21B42">
        <w:rPr>
          <w:rFonts w:ascii="Times New Roman" w:hAnsi="Times New Roman"/>
          <w:bCs/>
          <w:i/>
          <w:iCs/>
          <w:color w:val="auto"/>
          <w:sz w:val="22"/>
        </w:rPr>
        <w:t xml:space="preserve">vs. </w:t>
      </w:r>
      <w:r w:rsidRPr="00C21B42">
        <w:rPr>
          <w:rFonts w:ascii="Times New Roman" w:hAnsi="Times New Roman"/>
          <w:bCs/>
          <w:color w:val="auto"/>
          <w:sz w:val="22"/>
        </w:rPr>
        <w:t xml:space="preserve">TFs </w:t>
      </w:r>
      <w:r w:rsidRPr="00C21B42">
        <w:rPr>
          <w:rFonts w:ascii="Times New Roman" w:hAnsi="Times New Roman"/>
          <w:bCs/>
          <w:i/>
          <w:iCs/>
          <w:color w:val="auto"/>
          <w:sz w:val="22"/>
        </w:rPr>
        <w:t xml:space="preserve">vs. </w:t>
      </w:r>
      <w:r w:rsidRPr="00C21B42">
        <w:rPr>
          <w:rFonts w:ascii="Times New Roman" w:hAnsi="Times New Roman"/>
          <w:bCs/>
          <w:color w:val="auto"/>
          <w:sz w:val="22"/>
        </w:rPr>
        <w:t xml:space="preserve">miRNAs co-regulatory network analysis. </w:t>
      </w:r>
      <w:bookmarkEnd w:id="28"/>
      <w:r w:rsidRPr="00C21B42">
        <w:rPr>
          <w:rFonts w:ascii="Times New Roman" w:hAnsi="Times New Roman"/>
          <w:bCs/>
          <w:color w:val="auto"/>
          <w:sz w:val="22"/>
        </w:rPr>
        <w:t xml:space="preserve">The Cytoscape software </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{"citationItems":[{"id":"ITEM-1","itemData":{"DOI":"10.1101/gr.1239303","ISSN":"10889051","abstract":"Cytoscape is an open source software project for integrating biomolecular interaction networks with high-throughput expression data and other molecular states into a unified conceptual framework. Although applicable to any system of molecular components and interactions, Cytoscape is most powerful when used in conjunction with large databases of protein-protein, protein-DNA, and genetic interactions that are increasingly available for humans and model organisms. Cytoscape's software Core provides basic functionality to layout and query the network; to visually integrate the network with expression profiles, phenotypes, and other molecular states; and to link the network to databases of functional annotations. The Core is extensible through a straightforward plug-in architecture, allowing rapid development of additional computational analyses and features. Several case studies of Cytoscape plug-ins are surveyed, including a search for interaction pathways correlating with changes in gene expression, a study of protein complexes involved in cellular recovery to DNA damage, inference of a combined physical/functional interaction network for Halobacterium, and an interface to detailed stochastic/kinetic gene regulatory models.","author":[{"dropping-particle":"","family":"Shannon","given":"Paul","non-dropping-particle":"","parse-names":false,"suffix":""},{"dropping-particle":"","family":"Markiel","given":"Andrew","non-dropping-particle":"","parse-names":false,"suffix":""},{"dropping-particle":"","family":"Ozier","given":"Owen","non-dropping-particle":"","parse-names":false,"suffix":""},{"dropping-particle":"","family":"Baliga","given":"Nitin S.","non-dropping-particle":"","parse-names":false,"suffix":""},{"dropping-particle":"","family":"Wang","given":"Jonathan T.","non-dropping-particle":"","parse-names":false,"suffix":""},{"dropping-particle":"","family":"Ramage","given":"Daniel","non-dropping-particle":"","parse-names":false,"suffix":""},{"dropping-particle":"","family":"Amin","given":"Nada","non-dropping-particle":"","parse-names":false,"suffix":""},{"dropping-particle":"","family":"Schwikowski","given":"Beno","non-dropping-particle":"","parse-names":false,"suffix":""},{"dropping-particle":"","family":"Ideker","given":"Trey","non-dropping-particle":"","parse-names":false,"suffix":""}],"container-title":"Genome Research","id":"ITEM-1","issue":"11","issued":{"date-parts":[["2003"]]},"title":"Cytoscape: A software Environment for integrated models of biomolecular interaction networks","type":"article-journal","volume":"13"},"uris":["http://www.mendeley.com/documents/?uuid=482ccf1b-1f4d-32cd-99da-3bfa1f2b9a6f"]}],"mendeley":{"formattedCitation":"[8]","plainTextFormattedCitation":"[8]","previouslyFormattedCitation":"[8]"},"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[8]</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was considered to better represent the networks. The core regulators were chosen by using two different topological studies (Betweenness</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{"citationItems":[{"id":"ITEM-1","itemData":{"DOI":"10.2307/3033543","ISSN":"00380431","abstract":"A Family of new measures of point and graph centrality based on early intuitions of Bavelas (1948) is introduced. These measures define centrality in terms of the degree to which a point falls on the shortest path between others and therefore has a potential for control of communication. They may be used to index centrality in any large or small network of symmetrical relations, whether connected or unconnected.","author":[{"dropping-particle":"","family":"Freeman","given":"Linton C.","non-dropping-particle":"","parse-names":false,"suffix":""}],"container-title":"Sociometry","id":"ITEM-1","issue":"1","issued":{"date-parts":[["1977"]]},"title":"A Set of Measures of Centrality Based on Betweenness","type":"article-journal","volume":"40"},"uris":["http://www.mendeley.com/documents/?uuid=96b5a3fd-3c1f-4e58-83b6-f6f910078ae2"]}],"mendeley":{"formattedCitation":"[21]","plainTextFormattedCitation":"[21]","previouslyFormattedCitation":"[21]"},"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[21]</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and Degree</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{"citationItems":[{"id":"ITEM-1","itemData":{"DOI":"10.1038/35075138","ISSN":"00280836","abstract":"The most highly connected proteins in the cell are the most important for its survival.","author":[{"dropping-particle":"","family":"Jeong","given":"H.","non-dropping-particle":"","parse-names":false,"suffix":""},{"dropping-particle":"","family":"Mason","given":"S. P.","non-dropping-particle":"","parse-names":false,"suffix":""},{"dropping-particle":"","family":"Barabási","given":"A. L.","non-dropping-particle":"","parse-names":false,"suffix":""},{"dropping-particle":"","family":"Oltvai","given":"Z. N.","non-dropping-particle":"","parse-names":false,"suffix":""}],"container-title":"Nature","id":"ITEM-1","issue":"6833","issued":{"date-parts":[["2001"]]},"title":"Lethality and centrality in protein networks","type":"article-journal","volume":"411"},"uris":["http://www.mendeley.com/documents/?uuid=ff904351-1cd2-4a96-ae60-00e8f7a1f602"]}],"mendeley":{"formattedCitation":"[22]","plainTextFormattedCitation":"[22]","previouslyFormattedCitation":"[22]"},"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[22]</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  </w:t>
      </w:r>
    </w:p>
    <w:p w14:paraId="3EC6457A" w14:textId="7D9B11D8" w:rsidR="003C6347" w:rsidRPr="00C21B42" w:rsidRDefault="00447ECA" w:rsidP="003C6347">
      <w:pPr>
        <w:spacing w:after="0"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6</w:t>
      </w:r>
      <w:r w:rsidR="003C6347" w:rsidRPr="00C21B42">
        <w:rPr>
          <w:rFonts w:ascii="Times New Roman" w:hAnsi="Times New Roman" w:cs="Times New Roman"/>
          <w:b/>
        </w:rPr>
        <w:t xml:space="preserve">. Molecular Docking for exploring </w:t>
      </w:r>
      <w:r w:rsidR="00A91BCF">
        <w:rPr>
          <w:rFonts w:ascii="Times New Roman" w:hAnsi="Times New Roman" w:cs="Times New Roman"/>
          <w:b/>
        </w:rPr>
        <w:t>sKGBs</w:t>
      </w:r>
      <w:r w:rsidR="003C6347" w:rsidRPr="00C21B42">
        <w:rPr>
          <w:rFonts w:ascii="Times New Roman" w:hAnsi="Times New Roman" w:cs="Times New Roman"/>
          <w:b/>
        </w:rPr>
        <w:t>-guided drugs</w:t>
      </w:r>
    </w:p>
    <w:p w14:paraId="57642BAA" w14:textId="7E6D680A" w:rsidR="003C6347" w:rsidRPr="00C21B42" w:rsidRDefault="003C6347" w:rsidP="003C6347">
      <w:pPr>
        <w:pStyle w:val="MDPI31text"/>
        <w:spacing w:line="360" w:lineRule="auto"/>
        <w:ind w:left="0" w:firstLine="0"/>
        <w:rPr>
          <w:rFonts w:ascii="Times New Roman" w:hAnsi="Times New Roman"/>
          <w:bCs/>
          <w:color w:val="auto"/>
          <w:sz w:val="22"/>
        </w:rPr>
      </w:pPr>
      <w:bookmarkStart w:id="29" w:name="_Hlk138193593"/>
      <w:r w:rsidRPr="00C21B42">
        <w:rPr>
          <w:rFonts w:ascii="Times New Roman" w:hAnsi="Times New Roman"/>
          <w:bCs/>
          <w:color w:val="auto"/>
          <w:sz w:val="22"/>
        </w:rPr>
        <w:t xml:space="preserve">To discover FDA-approved repurposable drugs that could be repurposed for the treatment of both PC and T2D, we examined molecular docking analysis of target receptors and meta-drug-agents. In this case, the </w:t>
      </w:r>
      <w:r w:rsidR="00A91BCF">
        <w:rPr>
          <w:rFonts w:ascii="Times New Roman" w:hAnsi="Times New Roman"/>
          <w:bCs/>
          <w:color w:val="auto"/>
          <w:sz w:val="22"/>
        </w:rPr>
        <w:t>sKGBs</w:t>
      </w:r>
      <w:r w:rsidRPr="00C21B42">
        <w:rPr>
          <w:rFonts w:ascii="Times New Roman" w:hAnsi="Times New Roman"/>
          <w:bCs/>
          <w:color w:val="auto"/>
          <w:sz w:val="22"/>
        </w:rPr>
        <w:t xml:space="preserve">-mediated proteins and its regulatory TFs proteins were used as potential drug target receptors. The </w:t>
      </w:r>
      <w:r w:rsidRPr="00C21B42">
        <w:rPr>
          <w:rFonts w:ascii="Times New Roman" w:hAnsi="Times New Roman"/>
          <w:bCs/>
          <w:color w:val="auto"/>
          <w:sz w:val="22"/>
          <w:shd w:val="clear" w:color="auto" w:fill="FFFFFF"/>
        </w:rPr>
        <w:t xml:space="preserve">published literatures </w:t>
      </w:r>
      <w:r w:rsidRPr="00C21B42">
        <w:rPr>
          <w:rFonts w:ascii="Times New Roman" w:hAnsi="Times New Roman"/>
          <w:bCs/>
          <w:color w:val="auto"/>
          <w:sz w:val="22"/>
        </w:rPr>
        <w:t xml:space="preserve">were used to extract meta-drug-agents. The 3D structures of all receptor proteins were extracted from SWISS-MODEL </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{"citationItems":[{"id":"ITEM-1","itemData":{"DOI":"10.1093/nar/gky427","ISSN":"13624962","abstract":"Homology modelling has matured into an important technique in structural biology, significantly contributing to narrowing the gap between known protein sequences and experimentally determined structures. Fully automated workflows and servers simplify and streamline the homology modelling process, also allowing users without a specific computational expertise to generate reliable protein models and have easy access to modelling results, their visualization and interpretation. Here, we present an update to the SWISS-MODEL server, which pioneered the field of automated modelling 25 years ago and been continuously further developed. Recently, its functionality has been extended to the modelling of homo- and heteromeric complexes. Starting from the amino acid sequences of the interacting proteins, both the stoichiometry and the overall structure of the complex are inferred by homology modelling. Other major improvements include the implementation of a new modelling engine, ProMod3 and the introduction a new local model quality estimation method, QMEANDisCo. SWISS-MODEL is freely available at https://swissmodel.expasy.org.","author":[{"dropping-particle":"","family":"Waterhouse","given":"Andrew","non-dropping-particle":"","parse-names":false,"suffix":""},{"dropping-particle":"","family":"Bertoni","given":"Martino","non-dropping-particle":"","parse-names":false,"suffix":""},{"dropping-particle":"","family":"Bienert","given":"Stefan","non-dropping-particle":"","parse-names":false,"suffix":""},{"dropping-particle":"","family":"Studer","given":"Gabriel","non-dropping-particle":"","parse-names":false,"suffix":""},{"dropping-particle":"","family":"Tauriello","given":"Gerardo","non-dropping-particle":"","parse-names":false,"suffix":""},{"dropping-particle":"","family":"Gumienny","given":"Rafal","non-dropping-particle":"","parse-names":false,"suffix":""},{"dropping-particle":"","family":"Heer","given":"Florian T.","non-dropping-particle":"","parse-names":false,"suffix":""},{"dropping-particle":"","family":"Beer","given":"Tjaart A.P.","non-dropping-particle":"De","parse-names":false,"suffix":""},{"dropping-particle":"","family":"Rempfer","given":"Christine","non-dropping-particle":"","parse-names":false,"suffix":""},{"dropping-particle":"","family":"Bordoli","given":"Lorenza","non-dropping-particle":"","parse-names":false,"suffix":""},{"dropping-particle":"","family":"Lepore","given":"Rosalba","non-dropping-particle":"","parse-names":false,"suffix":""},{"dropping-particle":"","family":"Schwede","given":"Torsten","non-dropping-particle":"","parse-names":false,"suffix":""}],"container-title":"Nucleic Acids Research","id":"ITEM-1","issue":"W1","issued":{"date-parts":[["2018"]]},"title":"SWISS-MODEL: Homology modelling of protein structures and complexes","type":"article-journal","volume":"46"},"uris":["http://www.mendeley.com/documents/?uuid=f74eb9e9-fefa-42c5-a47a-c520d872b57b"]}],"mendeley":{"formattedCitation":"[23]","plainTextFormattedCitation":"[23]","previouslyFormattedCitation":"[23]"},"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[23]</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Protein Data Bank </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{"citationItems":[{"id":"ITEM-1","itemData":{"DOI":"10.1107/S0907444902003451","ISSN":"09074449","abstract":"The Protein Data Bank [PDB; Berman, Westbrook et al. (2000), Nucleic Acids Res. 28, 235-242; http://www.pdb.org/] is the single worldwide archive of primary structural data of biological macromolecules. Many secondary sources of information are derived from PDB data. It is the starting point for studies in structural bioinformatics. This article describes the goals of the PDB, the systems in place for data deposition and access, how to obtain further information and plans for the future development of the resource. The reader should come away with an understanding of the scope of the PDB and what is provided by the resource.","author":[{"dropping-particle":"","family":"Berman","given":"Helen M.","non-dropping-particle":"","parse-names":false,"suffix":""},{"dropping-particle":"","family":"Battistuz","given":"Tammy","non-dropping-particle":"","parse-names":false,"suffix":""},{"dropping-particle":"","family":"Bhat","given":"T. N.","non-dropping-particle":"","parse-names":false,"suffix":""},{"dropping-particle":"","family":"Bluhm","given":"Wolfgang F.","non-dropping-particle":"","parse-names":false,"suffix":""},{"dropping-particle":"","family":"Bourne","given":"Philip E.","non-dropping-particle":"","parse-names":false,"suffix":""},{"dropping-particle":"","family":"Burkhardt","given":"Kyle","non-dropping-particle":"","parse-names":false,"suffix":""},{"dropping-particle":"","family":"Feng","given":"Zukang","non-dropping-particle":"","parse-names":false,"suffix":""},{"dropping-particle":"","family":"Gilliland","given":"Gary L.","non-dropping-particle":"","parse-names":false,"suffix":""},{"dropping-particle":"","family":"Iype","given":"Lisa","non-dropping-particle":"","parse-names":false,"suffix":""},{"dropping-particle":"","family":"Jain","given":"Shri","non-dropping-particle":"","parse-names":false,"suffix":""},{"dropping-particle":"","family":"Fagan","given":"Phoebe","non-dropping-particle":"","parse-names":false,"suffix":""},{"dropping-particle":"","family":"Marvin","given":"Jessica","non-dropping-particle":"","parse-names":false,"suffix":""},{"dropping-particle":"","family":"Padilla","given":"David","non-dropping-particle":"","parse-names":false,"suffix":""},{"dropping-particle":"","family":"Ravichandran","given":"Veerasamy","non-dropping-particle":"","parse-names":false,"suffix":""},{"dropping-particle":"","family":"Schneider","given":"Bohdan","non-dropping-particle":"","parse-names":false,"suffix":""},{"dropping-particle":"","family":"Thanki","given":"Narmada","non-dropping-particle":"","parse-names":false,"suffix":""},{"dropping-particle":"","family":"Weissig","given":"Helge","non-dropping-particle":"","parse-names":false,"suffix":""},{"dropping-particle":"","family":"Westbrook","given":"John D.","non-dropping-particle":"","parse-names":false,"suffix":""},{"dropping-particle":"","family":"Zardecki","given":"Christine","non-dropping-particle":"","parse-names":false,"suffix":""}],"container-title":"Acta Crystallographica Section D: Biological Crystallography","id":"ITEM-1","issue":"6 I","issued":{"date-parts":[["2002"]]},"title":"The protein data bank","type":"article-journal","volume":"58"},"uris":["http://www.mendeley.com/documents/?uuid=22846a66-0013-4cd7-bcbe-66f28d54a37e"]}],"mendeley":{"formattedCitation":"[24]","plainTextFormattedCitation":"[24]","previouslyFormattedCitation":"[24]"},"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[24]</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and AlphaFold databases </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{"citationItems":[{"id":"ITEM-1","itemData":{"DOI":"10.1093/nar/gkab1061","ISSN":"13624962","abstract":"The AlphaFold Protein Structure Database (AlphaFold DB, https://alphafold.ebi.ac.uk) is an openly accessible, extensive database of high-accuracy protein-structure predictions. Powered by AlphaFold v2.0 of DeepMind, it has enabled an unprecedented expansion of the structural coverage of the known protein-sequence space. AlphaFold DB provides programmatic access to and interactive visualization of predicted atomic coordinates, per-residue and pairwise model-confidence estimates and predicted aligned errors. The initial release of AlphaFold DB contains over 360,000 predicted structures across 21 model-organism proteomes, which will soon be expanded to cover most of the (over 100 million) representative sequences from the UniRef90 data set.","author":[{"dropping-particle":"","family":"Varadi","given":"Mihaly","non-dropping-particle":"","parse-names":false,"suffix":""},{"dropping-particle":"","family":"Anyango","given":"Stephen","non-dropping-particle":"","parse-names":false,"suffix":""},{"dropping-particle":"","family":"Deshpande","given":"Mandar","non-dropping-particle":"","parse-names":false,"suffix":""},{"dropping-particle":"","family":"Nair","given":"Sreenath","non-dropping-particle":"","parse-names":false,"suffix":""},{"dropping-particle":"","family":"Natassia","given":"Cindy","non-dropping-particle":"","parse-names":false,"suffix":""},{"dropping-particle":"","family":"Yordanova","given":"Galabina","non-dropping-particle":"","parse-names":false,"suffix":""},{"dropping-particle":"","family":"Yuan","given":"David","non-dropping-particle":"","parse-names":false,"suffix":""},{"dropping-particle":"","family":"Stroe","given":"Oana","non-dropping-particle":"","parse-names":false,"suffix":""},{"dropping-particle":"","family":"Wood","given":"Gemma","non-dropping-particle":"","parse-names":false,"suffix":""},{"dropping-particle":"","family":"Laydon","given":"Agata","non-dropping-particle":"","parse-names":false,"suffix":""},{"dropping-particle":"","family":"Zídek","given":"Augustin","non-dropping-particle":"","parse-names":false,"suffix":""},{"dropping-particle":"","family":"Green","given":"Tim","non-dropping-particle":"","parse-names":false,"suffix":""},{"dropping-particle":"","family":"Tunyasuvunakool","given":"Kathryn","non-dropping-particle":"","parse-names":false,"suffix":""},{"dropping-particle":"","family":"Petersen","given":"Stig","non-dropping-particle":"","parse-names":false,"suffix":""},{"dropping-particle":"","family":"Jumper","given":"John","non-dropping-particle":"","parse-names":false,"suffix":""},{"dropping-particle":"","family":"Clancy","given":"Ellen","non-dropping-particle":"","parse-names":false,"suffix":""},{"dropping-particle":"","family":"Green","given":"Richard","non-dropping-particle":"","parse-names":false,"suffix":""},{"dropping-particle":"","family":"Vora","given":"Ankur","non-dropping-particle":"","parse-names":false,"suffix":""},{"dropping-particle":"","family":"Lutfi","given":"Mira","non-dropping-particle":"","parse-names":false,"suffix":""},{"dropping-particle":"","family":"Figurnov","given":"Michael","non-dropping-particle":"","parse-names":false,"suffix":""},{"dropping-particle":"","family":"Cowie","given":"Andrew","non-dropping-particle":"","parse-names":false,"suffix":""},{"dropping-particle":"","family":"Hobbs","given":"Nicole","non-dropping-particle":"","parse-names":false,"suffix":""},{"dropping-particle":"","family":"Kohli","given":"Pushmeet","non-dropping-particle":"","parse-names":false,"suffix":""},{"dropping-particle":"","family":"Kleywegt","given":"Gerard","non-dropping-particle":"","parse-names":false,"suffix":""},{"dropping-particle":"","family":"Birney","given":"Ewan","non-dropping-particle":"","parse-names":false,"suffix":""},{"dropping-particle":"","family":"Hassabis","given":"Demis","non-dropping-particle":"","parse-names":false,"suffix":""},{"dropping-particle":"","family":"Velankar","given":"Sameer","non-dropping-particle":"","parse-names":false,"suffix":""}],"container-title":"Nucleic Acids Research","id":"ITEM-1","issue":"D1","issued":{"date-parts":[["2022"]]},"title":"AlphaFold Protein Structure Database: Massively expanding the structural coverage of protein-sequence space with high-accuracy models","type":"article-journal","volume":"50"},"uris":["http://www.mendeley.com/documents/?uuid=a32744b7-ed73-3cae-a9c7-2e31b32200c2"]}],"mendeley":{"formattedCitation":"[25]","plainTextFormattedCitation":"[25]","previouslyFormattedCitation":"[25]"},"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[25]</w:t>
      </w:r>
      <w:r w:rsidRPr="00C21B42">
        <w:rPr>
          <w:rFonts w:ascii="Times New Roman" w:hAnsi="Times New Roman"/>
          <w:bCs/>
          <w:color w:val="auto"/>
          <w:sz w:val="22"/>
        </w:rPr>
        <w:fldChar w:fldCharType="end"/>
      </w:r>
      <w:r w:rsidRPr="00C21B42">
        <w:rPr>
          <w:rFonts w:ascii="Times New Roman" w:hAnsi="Times New Roman"/>
          <w:bCs/>
          <w:color w:val="auto"/>
          <w:sz w:val="22"/>
        </w:rPr>
        <w:t>. The 3D structures of all 102 PC and 225 T2D-related meta-drug molecules were curated from the PubChem database</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{"citationItems":[{"id":"ITEM-1","itemData":{"DOI":"10.1093/nar/gky1033","ISSN":"13624962","PMID":"30371825","abstract":"PubChem (https://pubchem.ncbi.nlm.nih.gov) is a key chemical information resource for the biomedical research community. Substantial improvements were made in the past few years. New data content was added, including spectral information, scientific articles mentioning chemicals, and information for food and agricultural chemicals. PubChem released new web interfaces, such as PubChem Target View page, Sources page, Bioactivity dyad pages and Patent View page. PubChem also released a major update to PubChem Widgets and introduced a new programmatic access interface, called PUG-View. This paper describes these new developments in PubChem.","author":[{"dropping-particle":"","family":"Kim","given":"Sunghwan","non-dropping-particle":"","parse-names":false,"suffix":""},{"dropping-particle":"","family":"Chen","given":"Jie","non-dropping-particle":"","parse-names":false,"suffix":""},{"dropping-particle":"","family":"Cheng","given":"Tiejun","non-dropping-particle":"","parse-names":false,"suffix":""},{"dropping-particle":"","family":"Gindulyte","given":"Asta","non-dropping-particle":"","parse-names":false,"suffix":""},{"dropping-particle":"","family":"He","given":"Jia","non-dropping-particle":"","parse-names":false,"suffix":""},{"dropping-particle":"","family":"He","given":"Siqian","non-dropping-particle":"","parse-names":false,"suffix":""},{"dropping-particle":"","family":"Li","given":"Qingliang","non-dropping-particle":"","parse-names":false,"suffix":""},{"dropping-particle":"","family":"Shoemaker","given":"Benjamin A.","non-dropping-particle":"","parse-names":false,"suffix":""},{"dropping-particle":"","family":"Thiessen","given":"Paul A.","non-dropping-particle":"","parse-names":false,"suffix":""},{"dropping-particle":"","family":"Yu","given":"Bo","non-dropping-particle":"","parse-names":false,"suffix":""},{"dropping-particle":"","family":"Zaslavsky","given":"Leonid","non-dropping-particle":"","parse-names":false,"suffix":""},{"dropping-particle":"","family":"Zhang","given":"Jian","non-dropping-particle":"","parse-names":false,"suffix":""},{"dropping-particle":"","family":"Bolton","given":"Evan E.","non-dropping-particle":"","parse-names":false,"suffix":""}],"container-title":"Nucleic Acids Research","id":"ITEM-1","issue":"D1","issued":{"date-parts":[["2019"]]},"page":"D1102-D1109","title":"PubChem 2019 update: Improved access to chemical data","type":"article-journal","volume":"47"},"uris":["http://www.mendeley.com/documents/?uuid=b1e5427d-b83b-39df-872d-fffa43d009a9"]}],"mendeley":{"formattedCitation":"[26]","plainTextFormattedCitation":"[26]","previouslyFormattedCitation":"[26]"},"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[26]</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The receptor proteins were prepared by minimizing energy and adding charges using Swiss PDB viewer </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{"citationItems":[{"id":"ITEM-1","itemData":{"DOI":"10.1007/978-1-4939-2269-7_19","ISSN":"10643745","abstract":"Virtual molecular screening is used to dock small-molecule libraries to a macromolecule in order to find lead compounds with desired biological function. This in silico method is well known for its application in computer-aided drug design. This chapter describes how to perform small-molecule virtual screening by docking with PyRx, which is open-source software with an intuitive user interface that runs on all major operating systems (Linux, Windows, and Mac OS). Specific steps for using PyRx, as well as considerations for data preparation, docking, and data analysis, are also described.","author":[{"dropping-particle":"","family":"Dallakyan","given":"Sargis","non-dropping-particle":"","parse-names":false,"suffix":""},{"dropping-particle":"","family":"Olson","given":"Arthur J.","non-dropping-particle":"","parse-names":false,"suffix":""}],"container-title":"Methods in Molecular Biology","id":"ITEM-1","issued":{"date-parts":[["2015"]]},"title":"Small-molecule library screening by docking with PyRx","type":"article-journal","volume":"1263"},"uris":["http://www.mendeley.com/documents/?uuid=c8aa456e-17cb-45c1-86f0-13fa9cefb78c"]}],"mendeley":{"formattedCitation":"[27]","plainTextFormattedCitation":"[27]","previouslyFormattedCitation":"[27]"},"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[27]</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and AutoDock Vina </w:t>
      </w:r>
      <w:r w:rsidRPr="00C21B42">
        <w:rPr>
          <w:rFonts w:ascii="Times New Roman" w:hAnsi="Times New Roman"/>
          <w:bCs/>
          <w:color w:val="auto"/>
          <w:sz w:val="22"/>
        </w:rPr>
        <w:fldChar w:fldCharType="begin" w:fldLock="1"/>
      </w:r>
      <w:r w:rsidR="00936BE4" w:rsidRPr="00C21B42">
        <w:rPr>
          <w:rFonts w:ascii="Times New Roman" w:hAnsi="Times New Roman"/>
          <w:bCs/>
          <w:color w:val="auto"/>
          <w:sz w:val="22"/>
        </w:rPr>
        <w:instrText>ADDIN CSL_CITATION {"citationItems":[{"id":"ITEM-1","itemData":{"DOI":"10.1002/jcc.21334","ISSN":"01928651","PMID":"19499576","abstract":"AutoDock Vina, a new program for molecular docking and virtual screening, is presented. AutoDock Vina achieves an approximately two orders of magnitude speed-up compared with the molecular docking software previously developed in our lab (AutoDock 4), while also significantly improving the accuracy of the binding mode predictions, judging by our tests on the training set used in AutoDock 4 development. Further speed-up is achieved from parallelism, by using multithreading on multicore machines. AutoDock Vina automatically calculates the grid maps and clusters the results in a way transparent to the user.","author":[{"dropping-particle":"","family":"Trott","given":"Oleg","non-dropping-particle":"","parse-names":false,"suffix":""},{"dropping-particle":"","family":"Olson","given":"Arthur J.","non-dropping-particle":"","parse-names":false,"suffix":""}],"container-title":"Journal of Computational Chemistry","id":"ITEM-1","issued":{"date-parts":[["2009"]]},"page":"NA-NA","title":"AutoDock Vina: Improving the speed and accuracy of docking with a new scoring function, efficient optimization, and multithreading","type":"article-journal"},"uris":["http://www.mendeley.com/documents/?uuid=40c63c0c-0551-3e41-a3f6-95ee9aa79c4f"]}],"mendeley":{"formattedCitation":"[28]","plainTextFormattedCitation":"[28]","previouslyFormattedCitation":"[28]"},"properties":{"noteIndex":0},"schema":"https://github.com/citation-style-language/schema/raw/master/csl-citation.json"}</w:instrText>
      </w:r>
      <w:r w:rsidRPr="00C21B42">
        <w:rPr>
          <w:rFonts w:ascii="Times New Roman" w:hAnsi="Times New Roman"/>
          <w:bCs/>
          <w:color w:val="auto"/>
          <w:sz w:val="22"/>
        </w:rPr>
        <w:fldChar w:fldCharType="separate"/>
      </w:r>
      <w:r w:rsidRPr="00C21B42">
        <w:rPr>
          <w:rFonts w:ascii="Times New Roman" w:hAnsi="Times New Roman"/>
          <w:bCs/>
          <w:noProof/>
          <w:color w:val="auto"/>
          <w:sz w:val="22"/>
        </w:rPr>
        <w:t>[28]</w:t>
      </w:r>
      <w:r w:rsidRPr="00C21B42">
        <w:rPr>
          <w:rFonts w:ascii="Times New Roman" w:hAnsi="Times New Roman"/>
          <w:bCs/>
          <w:color w:val="auto"/>
          <w:sz w:val="22"/>
        </w:rPr>
        <w:fldChar w:fldCharType="end"/>
      </w:r>
      <w:r w:rsidRPr="00C21B42">
        <w:rPr>
          <w:rFonts w:ascii="Times New Roman" w:hAnsi="Times New Roman"/>
          <w:bCs/>
          <w:color w:val="auto"/>
          <w:sz w:val="22"/>
        </w:rPr>
        <w:t xml:space="preserve">, respectively. The docking outputs were visualized and analyzed using BIOVIA Discovery studio 2021 </w:t>
      </w:r>
      <w:sdt>
        <w:sdtPr>
          <w:rPr>
            <w:rFonts w:ascii="Times New Roman" w:hAnsi="Times New Roman"/>
            <w:bCs/>
            <w:color w:val="auto"/>
            <w:sz w:val="22"/>
          </w:rPr>
          <w:tag w:val="MENDELEY_CITATION_v3_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"/>
          <w:id w:val="2072460270"/>
          <w:placeholder>
            <w:docPart w:val="EFCF5D3E3047482D90D7DF0F2B37E456"/>
          </w:placeholder>
        </w:sdtPr>
        <w:sdtContent>
          <w:r w:rsidRPr="00C21B42">
            <w:rPr>
              <w:rFonts w:ascii="Times New Roman" w:hAnsi="Times New Roman"/>
              <w:bCs/>
              <w:color w:val="auto"/>
              <w:sz w:val="22"/>
            </w:rPr>
            <w:t>[25]</w:t>
          </w:r>
        </w:sdtContent>
      </w:sdt>
      <w:bookmarkEnd w:id="29"/>
      <w:r w:rsidRPr="00C21B42">
        <w:rPr>
          <w:rFonts w:ascii="Times New Roman" w:hAnsi="Times New Roman"/>
          <w:bCs/>
          <w:color w:val="auto"/>
          <w:sz w:val="22"/>
        </w:rPr>
        <w:t>. Let B</w:t>
      </w:r>
      <w:r w:rsidRPr="00C21B42">
        <w:rPr>
          <w:rFonts w:ascii="Times New Roman" w:hAnsi="Times New Roman"/>
          <w:bCs/>
          <w:i/>
          <w:iCs/>
          <w:color w:val="auto"/>
          <w:sz w:val="22"/>
          <w:vertAlign w:val="subscript"/>
        </w:rPr>
        <w:t xml:space="preserve">ij </w:t>
      </w:r>
      <w:r w:rsidRPr="00C21B42">
        <w:rPr>
          <w:rFonts w:ascii="Times New Roman" w:hAnsi="Times New Roman"/>
          <w:bCs/>
          <w:color w:val="auto"/>
          <w:sz w:val="22"/>
        </w:rPr>
        <w:t xml:space="preserve">symbolizes the binding affinity between </w:t>
      </w:r>
      <w:r w:rsidRPr="00C21B42">
        <w:rPr>
          <w:rFonts w:ascii="Times New Roman" w:hAnsi="Times New Roman"/>
          <w:bCs/>
          <w:i/>
          <w:iCs/>
          <w:color w:val="auto"/>
          <w:sz w:val="22"/>
        </w:rPr>
        <w:t>i</w:t>
      </w:r>
      <w:r w:rsidRPr="00C21B42">
        <w:rPr>
          <w:rFonts w:ascii="Times New Roman" w:hAnsi="Times New Roman"/>
          <w:bCs/>
          <w:color w:val="auto"/>
          <w:sz w:val="22"/>
          <w:vertAlign w:val="superscript"/>
        </w:rPr>
        <w:t>th</w:t>
      </w:r>
      <w:r w:rsidRPr="00C21B42">
        <w:rPr>
          <w:rFonts w:ascii="Times New Roman" w:hAnsi="Times New Roman"/>
          <w:bCs/>
          <w:color w:val="auto"/>
          <w:sz w:val="22"/>
        </w:rPr>
        <w:t xml:space="preserve"> receptor protein (</w:t>
      </w:r>
      <w:r w:rsidRPr="00C21B42">
        <w:rPr>
          <w:rFonts w:ascii="Times New Roman" w:hAnsi="Times New Roman"/>
          <w:bCs/>
          <w:i/>
          <w:iCs/>
          <w:color w:val="auto"/>
          <w:sz w:val="22"/>
        </w:rPr>
        <w:t>i</w:t>
      </w:r>
      <w:r w:rsidRPr="00C21B42">
        <w:rPr>
          <w:rFonts w:ascii="Times New Roman" w:hAnsi="Times New Roman"/>
          <w:bCs/>
          <w:color w:val="auto"/>
          <w:sz w:val="22"/>
        </w:rPr>
        <w:t>=1, 2, …, p) and j</w:t>
      </w:r>
      <w:r w:rsidRPr="00C21B42">
        <w:rPr>
          <w:rFonts w:ascii="Times New Roman" w:hAnsi="Times New Roman"/>
          <w:bCs/>
          <w:color w:val="auto"/>
          <w:sz w:val="22"/>
          <w:vertAlign w:val="superscript"/>
        </w:rPr>
        <w:t>th</w:t>
      </w:r>
      <w:r w:rsidRPr="00C21B42">
        <w:rPr>
          <w:rFonts w:ascii="Times New Roman" w:hAnsi="Times New Roman"/>
          <w:bCs/>
          <w:color w:val="auto"/>
          <w:sz w:val="22"/>
        </w:rPr>
        <w:t xml:space="preserve"> drug agent (j=1, 2, ..., q).  The receptor proteins were sorted by the decreasing-order of row average  </w:t>
      </w:r>
      <m:oMath>
        <m:f>
          <m:fPr>
            <m:ctrlPr>
              <w:rPr>
                <w:rFonts w:ascii="Cambria Math" w:hAnsi="Cambria Math"/>
                <w:bCs/>
                <w:i/>
                <w:color w:val="auto"/>
                <w:szCs w:val="20"/>
              </w:rPr>
            </m:ctrlPr>
          </m:fPr>
          <m:num>
            <m:r>
              <w:rPr>
                <w:rFonts w:ascii="Cambria Math" w:hAnsi="Cambria Math"/>
                <w:color w:val="auto"/>
                <w:szCs w:val="20"/>
              </w:rPr>
              <m:t>1</m:t>
            </m:r>
          </m:num>
          <m:den>
            <m:r>
              <w:rPr>
                <w:rFonts w:ascii="Cambria Math" w:hAnsi="Cambria Math"/>
                <w:color w:val="auto"/>
                <w:szCs w:val="20"/>
              </w:rPr>
              <m:t>p</m:t>
            </m:r>
          </m:den>
        </m:f>
        <m:nary>
          <m:naryPr>
            <m:chr m:val="∑"/>
            <m:grow m:val="1"/>
            <m:ctrlPr>
              <w:rPr>
                <w:rFonts w:ascii="Cambria Math" w:hAnsi="Cambria Math"/>
                <w:bCs/>
                <w:color w:val="auto"/>
                <w:szCs w:val="20"/>
              </w:rPr>
            </m:ctrlPr>
          </m:naryPr>
          <m:sub>
            <m:r>
              <m:rPr>
                <m:sty m:val="p"/>
              </m:rPr>
              <w:rPr>
                <w:rFonts w:ascii="Cambria Math" w:hAnsi="Cambria Math"/>
                <w:color w:val="auto"/>
                <w:szCs w:val="20"/>
              </w:rPr>
              <m:t>j=1</m:t>
            </m:r>
          </m:sub>
          <m:sup>
            <m:r>
              <m:rPr>
                <m:sty m:val="p"/>
              </m:rPr>
              <w:rPr>
                <w:rFonts w:ascii="Cambria Math" w:hAnsi="Cambria Math"/>
                <w:color w:val="auto"/>
                <w:szCs w:val="20"/>
              </w:rPr>
              <m:t>q</m:t>
            </m:r>
          </m:sup>
          <m:e>
            <m:sSub>
              <m:sSubPr>
                <m:ctrlPr>
                  <w:rPr>
                    <w:rFonts w:ascii="Cambria Math" w:hAnsi="Cambria Math"/>
                    <w:bCs/>
                    <w:color w:val="auto"/>
                    <w:szCs w:val="20"/>
                  </w:rPr>
                </m:ctrlPr>
              </m:sSubPr>
              <m:e>
                <m:r>
                  <m:rPr>
                    <m:sty m:val="p"/>
                  </m:rPr>
                  <w:rPr>
                    <w:rFonts w:ascii="Cambria Math" w:hAnsi="Cambria Math"/>
                    <w:color w:val="auto"/>
                    <w:szCs w:val="20"/>
                  </w:rPr>
                  <m:t>B</m:t>
                </m:r>
              </m:e>
              <m:sub>
                <m:r>
                  <w:rPr>
                    <w:rFonts w:ascii="Cambria Math" w:hAnsi="Cambria Math"/>
                    <w:color w:val="auto"/>
                    <w:szCs w:val="20"/>
                  </w:rPr>
                  <m:t>ij</m:t>
                </m:r>
              </m:sub>
            </m:sSub>
          </m:e>
        </m:nary>
      </m:oMath>
      <w:r w:rsidRPr="00C21B42">
        <w:rPr>
          <w:rFonts w:ascii="Times New Roman" w:hAnsi="Times New Roman"/>
          <w:bCs/>
          <w:color w:val="auto"/>
          <w:sz w:val="22"/>
        </w:rPr>
        <w:t xml:space="preserve">, </w:t>
      </w:r>
      <w:r w:rsidRPr="00C21B42">
        <w:rPr>
          <w:rFonts w:ascii="Times New Roman" w:hAnsi="Times New Roman"/>
          <w:bCs/>
          <w:i/>
          <w:iCs/>
          <w:color w:val="auto"/>
          <w:sz w:val="22"/>
        </w:rPr>
        <w:t>j</w:t>
      </w:r>
      <w:r w:rsidRPr="00C21B42">
        <w:rPr>
          <w:rFonts w:ascii="Times New Roman" w:hAnsi="Times New Roman"/>
          <w:bCs/>
          <w:color w:val="auto"/>
          <w:sz w:val="22"/>
        </w:rPr>
        <w:t xml:space="preserve">=1, 2, …, p, and drug-agents are sorted by the decreasing-order of column average  </w:t>
      </w:r>
      <m:oMath>
        <m:f>
          <m:fPr>
            <m:ctrlPr>
              <w:rPr>
                <w:rFonts w:ascii="Cambria Math" w:hAnsi="Cambria Math"/>
                <w:bCs/>
                <w:i/>
                <w:color w:val="auto"/>
                <w:szCs w:val="20"/>
              </w:rPr>
            </m:ctrlPr>
          </m:fPr>
          <m:num>
            <m:r>
              <w:rPr>
                <w:rFonts w:ascii="Cambria Math" w:hAnsi="Cambria Math"/>
                <w:color w:val="auto"/>
                <w:szCs w:val="20"/>
              </w:rPr>
              <m:t>1</m:t>
            </m:r>
          </m:num>
          <m:den>
            <m:r>
              <w:rPr>
                <w:rFonts w:ascii="Cambria Math" w:hAnsi="Cambria Math"/>
                <w:color w:val="auto"/>
                <w:szCs w:val="20"/>
              </w:rPr>
              <m:t>q</m:t>
            </m:r>
          </m:den>
        </m:f>
        <m:nary>
          <m:naryPr>
            <m:chr m:val="∑"/>
            <m:grow m:val="1"/>
            <m:ctrlPr>
              <w:rPr>
                <w:rFonts w:ascii="Cambria Math" w:hAnsi="Cambria Math"/>
                <w:bCs/>
                <w:color w:val="auto"/>
                <w:szCs w:val="20"/>
              </w:rPr>
            </m:ctrlPr>
          </m:naryPr>
          <m:sub>
            <m:r>
              <m:rPr>
                <m:sty m:val="p"/>
              </m:rPr>
              <w:rPr>
                <w:rFonts w:ascii="Cambria Math" w:hAnsi="Cambria Math"/>
                <w:color w:val="auto"/>
                <w:szCs w:val="20"/>
              </w:rPr>
              <m:t>i=1</m:t>
            </m:r>
          </m:sub>
          <m:sup>
            <m:r>
              <m:rPr>
                <m:sty m:val="p"/>
              </m:rPr>
              <w:rPr>
                <w:rFonts w:ascii="Cambria Math" w:hAnsi="Cambria Math"/>
                <w:color w:val="auto"/>
                <w:szCs w:val="20"/>
              </w:rPr>
              <m:t>p</m:t>
            </m:r>
          </m:sup>
          <m:e>
            <m:sSub>
              <m:sSubPr>
                <m:ctrlPr>
                  <w:rPr>
                    <w:rFonts w:ascii="Cambria Math" w:hAnsi="Cambria Math"/>
                    <w:bCs/>
                    <w:color w:val="auto"/>
                    <w:szCs w:val="20"/>
                  </w:rPr>
                </m:ctrlPr>
              </m:sSubPr>
              <m:e>
                <m:r>
                  <m:rPr>
                    <m:sty m:val="p"/>
                  </m:rPr>
                  <w:rPr>
                    <w:rFonts w:ascii="Cambria Math" w:hAnsi="Cambria Math"/>
                    <w:color w:val="auto"/>
                    <w:szCs w:val="20"/>
                  </w:rPr>
                  <m:t>B</m:t>
                </m:r>
              </m:e>
              <m:sub>
                <m:r>
                  <w:rPr>
                    <w:rFonts w:ascii="Cambria Math" w:hAnsi="Cambria Math"/>
                    <w:color w:val="auto"/>
                    <w:szCs w:val="20"/>
                  </w:rPr>
                  <m:t>ij</m:t>
                </m:r>
              </m:sub>
            </m:sSub>
          </m:e>
        </m:nary>
      </m:oMath>
      <w:r w:rsidRPr="00C21B42">
        <w:rPr>
          <w:rFonts w:ascii="Times New Roman" w:hAnsi="Times New Roman"/>
          <w:bCs/>
          <w:color w:val="auto"/>
          <w:sz w:val="22"/>
        </w:rPr>
        <w:t xml:space="preserve">, </w:t>
      </w:r>
      <w:r w:rsidRPr="00C21B42">
        <w:rPr>
          <w:rFonts w:ascii="Times New Roman" w:hAnsi="Times New Roman"/>
          <w:bCs/>
          <w:i/>
          <w:iCs/>
          <w:color w:val="auto"/>
          <w:sz w:val="22"/>
        </w:rPr>
        <w:t xml:space="preserve"> j</w:t>
      </w:r>
      <w:r w:rsidRPr="00C21B42">
        <w:rPr>
          <w:rFonts w:ascii="Times New Roman" w:hAnsi="Times New Roman"/>
          <w:bCs/>
          <w:color w:val="auto"/>
          <w:sz w:val="22"/>
        </w:rPr>
        <w:t xml:space="preserve">=1,2, …, q, to select the top-ranked few drug-agents as the potential candidate-drugs. </w:t>
      </w:r>
    </w:p>
    <w:p w14:paraId="525BA000" w14:textId="0C1F2FED" w:rsidR="003C6347" w:rsidRPr="00C21B42" w:rsidRDefault="00447ECA" w:rsidP="003C6347">
      <w:pPr>
        <w:spacing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7</w:t>
      </w:r>
      <w:r w:rsidR="003C6347" w:rsidRPr="00C21B42">
        <w:rPr>
          <w:rFonts w:ascii="Times New Roman" w:hAnsi="Times New Roman" w:cs="Times New Roman"/>
          <w:b/>
        </w:rPr>
        <w:t xml:space="preserve">.  </w:t>
      </w:r>
      <w:r w:rsidR="003C6347" w:rsidRPr="00C21B42">
        <w:rPr>
          <w:rFonts w:ascii="Times New Roman" w:hAnsi="Times New Roman" w:cs="Times New Roman"/>
          <w:b/>
          <w:i/>
          <w:iCs/>
        </w:rPr>
        <w:t>In-silico</w:t>
      </w:r>
      <w:r w:rsidR="003C6347" w:rsidRPr="00C21B42">
        <w:rPr>
          <w:rFonts w:ascii="Times New Roman" w:hAnsi="Times New Roman" w:cs="Times New Roman"/>
          <w:b/>
        </w:rPr>
        <w:t xml:space="preserve"> validation of drugs for PC and T2D treatment</w:t>
      </w:r>
    </w:p>
    <w:p w14:paraId="0E910F6B" w14:textId="77777777" w:rsidR="00A1261F" w:rsidRPr="00A1261F" w:rsidRDefault="00A1261F" w:rsidP="00A1261F">
      <w:pPr>
        <w:spacing w:line="360" w:lineRule="auto"/>
        <w:jc w:val="both"/>
        <w:rPr>
          <w:rFonts w:ascii="Times New Roman" w:hAnsi="Times New Roman" w:cs="Times New Roman"/>
          <w:bCs/>
        </w:rPr>
      </w:pPr>
      <w:r w:rsidRPr="00A1261F">
        <w:rPr>
          <w:rFonts w:ascii="Times New Roman" w:hAnsi="Times New Roman" w:cs="Times New Roman"/>
          <w:bCs/>
        </w:rPr>
        <w:t xml:space="preserve">An attempt was made to validate the </w:t>
      </w:r>
      <w:r>
        <w:rPr>
          <w:rFonts w:ascii="Times New Roman" w:hAnsi="Times New Roman" w:cs="Times New Roman"/>
          <w:bCs/>
        </w:rPr>
        <w:t xml:space="preserve">top-ranked </w:t>
      </w:r>
      <w:r w:rsidRPr="00A1261F">
        <w:rPr>
          <w:rFonts w:ascii="Times New Roman" w:hAnsi="Times New Roman" w:cs="Times New Roman"/>
          <w:bCs/>
        </w:rPr>
        <w:t xml:space="preserve">drugs for PC and T2D treatment simultaneously, we </w:t>
      </w:r>
      <w:r>
        <w:rPr>
          <w:rFonts w:ascii="Times New Roman" w:hAnsi="Times New Roman" w:cs="Times New Roman"/>
          <w:bCs/>
        </w:rPr>
        <w:t>investigated</w:t>
      </w:r>
      <w:r w:rsidRPr="00A1261F">
        <w:rPr>
          <w:rFonts w:ascii="Times New Roman" w:hAnsi="Times New Roman" w:cs="Times New Roman"/>
          <w:bCs/>
        </w:rPr>
        <w:t xml:space="preserve"> the</w:t>
      </w:r>
      <w:r>
        <w:rPr>
          <w:rFonts w:ascii="Times New Roman" w:hAnsi="Times New Roman" w:cs="Times New Roman"/>
          <w:bCs/>
        </w:rPr>
        <w:t>ir</w:t>
      </w:r>
      <w:r w:rsidRPr="00A1261F">
        <w:rPr>
          <w:rFonts w:ascii="Times New Roman" w:hAnsi="Times New Roman" w:cs="Times New Roman"/>
          <w:bCs/>
        </w:rPr>
        <w:t xml:space="preserve"> structural, chemical, and electronic properties by drug</w:t>
      </w:r>
      <w:r>
        <w:rPr>
          <w:rFonts w:ascii="Times New Roman" w:hAnsi="Times New Roman" w:cs="Times New Roman"/>
          <w:bCs/>
        </w:rPr>
        <w:t>-</w:t>
      </w:r>
      <w:r w:rsidRPr="00A1261F">
        <w:rPr>
          <w:rFonts w:ascii="Times New Roman" w:hAnsi="Times New Roman" w:cs="Times New Roman"/>
          <w:bCs/>
        </w:rPr>
        <w:t>likeness, ADME/T, and DFT analysis</w:t>
      </w:r>
      <w:r>
        <w:rPr>
          <w:rFonts w:ascii="Times New Roman" w:hAnsi="Times New Roman" w:cs="Times New Roman"/>
          <w:bCs/>
        </w:rPr>
        <w:t xml:space="preserve"> as described below.</w:t>
      </w:r>
    </w:p>
    <w:p w14:paraId="04837146" w14:textId="3E72E169" w:rsidR="003C6347" w:rsidRPr="00C21B42" w:rsidRDefault="00447ECA" w:rsidP="003C6347">
      <w:pPr>
        <w:spacing w:after="0" w:line="360" w:lineRule="auto"/>
        <w:jc w:val="both"/>
        <w:rPr>
          <w:rFonts w:ascii="Times New Roman" w:hAnsi="Times New Roman" w:cs="Times New Roman"/>
          <w:b/>
        </w:rPr>
      </w:pPr>
      <w:r>
        <w:rPr>
          <w:rFonts w:ascii="Times New Roman" w:hAnsi="Times New Roman" w:cs="Times New Roman"/>
          <w:b/>
        </w:rPr>
        <w:lastRenderedPageBreak/>
        <w:t>S</w:t>
      </w:r>
      <w:r w:rsidR="00C46BFD">
        <w:rPr>
          <w:rFonts w:ascii="Times New Roman" w:hAnsi="Times New Roman" w:cs="Times New Roman"/>
          <w:b/>
        </w:rPr>
        <w:t>7</w:t>
      </w:r>
      <w:r w:rsidR="003C6347" w:rsidRPr="00C21B42">
        <w:rPr>
          <w:rFonts w:ascii="Times New Roman" w:hAnsi="Times New Roman" w:cs="Times New Roman"/>
          <w:b/>
        </w:rPr>
        <w:t>.1. Drug-Likeness and ADME/T analysis of top-ranked drugs</w:t>
      </w:r>
    </w:p>
    <w:p w14:paraId="419D4B51" w14:textId="363CA416" w:rsidR="003C6347" w:rsidRPr="00C21B42" w:rsidRDefault="003C6347" w:rsidP="003C6347">
      <w:pPr>
        <w:spacing w:line="360" w:lineRule="auto"/>
        <w:jc w:val="both"/>
        <w:rPr>
          <w:rFonts w:ascii="Times New Roman" w:hAnsi="Times New Roman" w:cs="Times New Roman"/>
          <w:bCs/>
        </w:rPr>
      </w:pPr>
      <w:bookmarkStart w:id="30" w:name="_Hlk138193632"/>
      <w:r w:rsidRPr="00C21B42">
        <w:rPr>
          <w:rFonts w:ascii="Times New Roman" w:hAnsi="Times New Roman" w:cs="Times New Roman"/>
          <w:bCs/>
        </w:rPr>
        <w:t>To know about the structural features and chemical descriptors of selected top-ranked 8 drug molecules we investigated their drug-like properties and ADME/T (absorption, distribution, metabolism, excretion and toxicity). We used SCFBio (</w:t>
      </w:r>
      <w:hyperlink r:id="rId7" w:history="1">
        <w:r w:rsidRPr="00C21B42">
          <w:rPr>
            <w:rStyle w:val="Hyperlink"/>
            <w:rFonts w:ascii="Times New Roman" w:hAnsi="Times New Roman" w:cs="Times New Roman"/>
          </w:rPr>
          <w:t>http://www.scfbio-iitd.res.in/software/drugdesign/lipinski.jsp</w:t>
        </w:r>
      </w:hyperlink>
      <w:r w:rsidRPr="00C21B42">
        <w:rPr>
          <w:rFonts w:ascii="Times New Roman" w:hAnsi="Times New Roman" w:cs="Times New Roman"/>
          <w:bCs/>
        </w:rPr>
        <w:t xml:space="preserve">) web tool for evaluating their Lipinski rule satisfaction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{"citationItems":[{"id":"ITEM-1","itemData":{"DOI":"10.1016/j.ddtec.2004.11.007","ISSN":"17406749","abstract":"Citations in CAS SciFinder to the rule-of-five (RO5) publication will exceed 1000 by year-end 2004. Trends in the RO5 literature explosion that can be discerned are the further definitions of drug-like. This topic is explored in terms of drug-like physicochemical features, drug-like structural features, a comparison of drug-like and non-drug-like in drug discovery and a discussion of how drug-like features relate to clinical success. Physicochemical features of CNS drugs and features related to CNS blood-brain transporter affinity are briefly reviewed. Recent literature on features of non-oral drugs is reviewed and how features of lead-like compounds differ from those of drug-like compounds is discussed. Most recently, partly driven by NIH roadmap initiatives, considerations have arisen as to what tool-like means in the search for chemical tools to probe biology space. All these topics frame the scope of this short review/perspective. © 2004 Elsevier Ltd. All rights reserved.","author":[{"dropping-particle":"","family":"Lipinski","given":"Christopher A.","non-dropping-particle":"","parse-names":false,"suffix":""}],"container-title":"Drug Discovery Today: Technologies","id":"ITEM-1","issue":"4","issued":{"date-parts":[["2004"]]},"page":"337-341","title":"Lead- and drug-like compounds: The rule-of-five revolution","type":"article-journal","volume":"1"},"uris":["http://www.mendeley.com/documents/?uuid=6aeb8375-6577-4d17-a396-85d7efea102f"]}],"mendeley":{"formattedCitation":"[29]","plainTextFormattedCitation":"[29]","previouslyFormattedCitation":"[29]"},"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[29]</w:t>
      </w:r>
      <w:r w:rsidRPr="00C21B42">
        <w:rPr>
          <w:rFonts w:ascii="Times New Roman" w:hAnsi="Times New Roman" w:cs="Times New Roman"/>
          <w:bCs/>
        </w:rPr>
        <w:fldChar w:fldCharType="end"/>
      </w:r>
      <w:r w:rsidRPr="00C21B42">
        <w:rPr>
          <w:rFonts w:ascii="Times New Roman" w:hAnsi="Times New Roman" w:cs="Times New Roman"/>
          <w:bCs/>
        </w:rPr>
        <w:t xml:space="preserve">. Then, ADME/T properties were computed by the online databases SwissADME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{"citationItems":[{"id":"ITEM-1","itemData":{"DOI":"10.1038/srep42717","ISSN":"20452322","PMID":"28256516","abstract":"To be effective as a drug, a potent molecule must reach its target in the body in sufficient concentration, and stay there in a bioactive form long enough for the expected biologic events to occur. Drug development involves assessment of absorption, distribution, metabolism and excretion (ADME) increasingly earlier in the discovery process, at a stage when considered compounds are numerous but access to the physical samples is limited. In that context, computer models constitute valid alternatives to experiments. Here, we present the new SwissADME web tool that gives free access to a pool of fast yet robust predictive models for physicochemical properties, pharmacokinetics, drug-likeness and medicinal chemistry friendliness, among which in-house proficient methods such as the BOILED-Egg, iLOGP and Bioavailability Radar. Easy efficient input and interpretation are ensured thanks to a user-friendly interface through the login-free website http://www.swissadme.ch. Specialists, but also nonexpert in cheminformatics or computational chemistry can predict rapidly key parameters for a collection of molecules to support their drug discovery endeavours.","author":[{"dropping-particle":"","family":"Daina","given":"Antoine","non-dropping-particle":"","parse-names":false,"suffix":""},{"dropping-particle":"","family":"Michielin","given":"Olivier","non-dropping-particle":"","parse-names":false,"suffix":""},{"dropping-particle":"","family":"Zoete","given":"Vincent","non-dropping-particle":"","parse-names":false,"suffix":""}],"container-title":"Scientific Reports","id":"ITEM-1","issued":{"date-parts":[["2017"]]},"title":"SwissADME: A free web tool to evaluate pharmacokinetics, drug-likeness and medicinal chemistry friendliness of small molecules","type":"article-journal","volume":"7"},"uris":["http://www.mendeley.com/documents/?uuid=e8fe6efd-34ff-47d0-ac77-9b6441e2b0ac"]}],"mendeley":{"formattedCitation":"[30]","plainTextFormattedCitation":"[30]","previouslyFormattedCitation":"[30]"},"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[30]</w:t>
      </w:r>
      <w:r w:rsidRPr="00C21B42">
        <w:rPr>
          <w:rFonts w:ascii="Times New Roman" w:hAnsi="Times New Roman" w:cs="Times New Roman"/>
          <w:bCs/>
        </w:rPr>
        <w:fldChar w:fldCharType="end"/>
      </w:r>
      <w:r w:rsidRPr="00C21B42">
        <w:rPr>
          <w:rFonts w:ascii="Times New Roman" w:hAnsi="Times New Roman" w:cs="Times New Roman"/>
          <w:bCs/>
        </w:rPr>
        <w:t xml:space="preserve"> and (</w:t>
      </w:r>
      <w:hyperlink r:id="rId8" w:history="1">
        <w:r w:rsidRPr="00C21B42">
          <w:rPr>
            <w:rStyle w:val="Hyperlink"/>
            <w:rFonts w:ascii="Times New Roman" w:hAnsi="Times New Roman" w:cs="Times New Roman"/>
          </w:rPr>
          <w:t>http://www.swissadme.ch</w:t>
        </w:r>
      </w:hyperlink>
      <w:r w:rsidRPr="00C21B42">
        <w:rPr>
          <w:rFonts w:ascii="Times New Roman" w:hAnsi="Times New Roman" w:cs="Times New Roman"/>
          <w:bCs/>
        </w:rPr>
        <w:t xml:space="preserve">), amdetSAR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{"citationItems":[{"id":"ITEM-1","itemData":{"DOI":"10.1021/ci300367a","ISSN":"1549960X","PMID":"23092397","abstract":"Absorption, distribution, metabolism, excretion, and toxicity (ADMET) properties play key roles in the discovery/development of drugs, pesticides, food additives, consumer products, and industrial chemicals. This information is especially useful when to conduct environmental and human hazard assessment. The most critical rate limiting step in the chemical safety assessment workflow is the availability of high quality data. This paper describes an ADMET structure-activity relationship database, abbreviated as admetSAR. It is an open source, text and structure searchable, and continually updated database that collects, curates, and manages available ADMET-associated properties data from the published literature. In admetSAR, over 210-000 ADMET annotated data points for more than 96-000 unique compounds with 45 kinds of ADMET-associated properties, proteins, species, or organisms have been carefully curated from a large number of diverse literatures. The database provides a user-friendly interface to query a specific chemical profile, using either CAS registry number, common name, or structure similarity. In addition, the database includes 22 qualitative classification and 5 quantitative regression models with highly predictive accuracy, allowing to estimate ecological/mammalian ADMET properties for novel chemicals. AdmetSAR is accessible free of charge at http://www.admetexp.org. © 2012 American Chemical Society.","author":[{"dropping-particle":"","family":"Cheng","given":"Feixiong","non-dropping-particle":"","parse-names":false,"suffix":""},{"dropping-particle":"","family":"Li","given":"Weihua","non-dropping-particle":"","parse-names":false,"suffix":""},{"dropping-particle":"","family":"Zhou","given":"Yadi","non-dropping-particle":"","parse-names":false,"suffix":""},{"dropping-particle":"","family":"Shen","given":"Jie","non-dropping-particle":"","parse-names":false,"suffix":""},{"dropping-particle":"","family":"Wu","given":"Zengrui","non-dropping-particle":"","parse-names":false,"suffix":""},{"dropping-particle":"","family":"Liu","given":"Guixia","non-dropping-particle":"","parse-names":false,"suffix":""},{"dropping-particle":"","family":"Lee","given":"Philip W.","non-dropping-particle":"","parse-names":false,"suffix":""},{"dropping-particle":"","family":"Tang","given":"Yun","non-dropping-particle":"","parse-names":false,"suffix":""}],"container-title":"Journal of Chemical Information and Modeling","id":"ITEM-1","issue":"11","issued":{"date-parts":[["2012"]]},"page":"3099-3105","title":"AdmetSAR: A comprehensive source and free tool for assessment of chemical ADMET properties","type":"article-journal","volume":"52"},"uris":["http://www.mendeley.com/documents/?uuid=b3127f84-6751-42d3-9bd8-eb3e1f88b52e"]}],"mendeley":{"formattedCitation":"[31]","plainTextFormattedCitation":"[31]","previouslyFormattedCitation":"[31]"},"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[31]</w:t>
      </w:r>
      <w:r w:rsidRPr="00C21B42">
        <w:rPr>
          <w:rFonts w:ascii="Times New Roman" w:hAnsi="Times New Roman" w:cs="Times New Roman"/>
          <w:bCs/>
        </w:rPr>
        <w:fldChar w:fldCharType="end"/>
      </w:r>
      <w:r w:rsidRPr="00C21B42">
        <w:rPr>
          <w:rFonts w:ascii="Times New Roman" w:hAnsi="Times New Roman" w:cs="Times New Roman"/>
          <w:bCs/>
        </w:rPr>
        <w:t xml:space="preserve"> (</w:t>
      </w:r>
      <w:hyperlink r:id="rId9" w:history="1">
        <w:r w:rsidRPr="00C21B42">
          <w:rPr>
            <w:rStyle w:val="Hyperlink"/>
            <w:rFonts w:ascii="Times New Roman" w:hAnsi="Times New Roman" w:cs="Times New Roman"/>
          </w:rPr>
          <w:t>http://biosig.unimelb.edu.au</w:t>
        </w:r>
      </w:hyperlink>
      <w:r w:rsidRPr="00C21B42">
        <w:rPr>
          <w:rFonts w:ascii="Times New Roman" w:hAnsi="Times New Roman" w:cs="Times New Roman"/>
          <w:bCs/>
        </w:rPr>
        <w:t xml:space="preserve">), and pkCSM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{"citationItems":[{"id":"ITEM-1","itemData":{"author":[{"dropping-particle":"","family":"Pires","given":"","non-dropping-particle":"","parse-names":false,"suffix":""},{"dropping-particle":"","family":"Blundell","given":"Tom L","non-dropping-particle":"","parse-names":false,"suffix":""},{"dropping-particle":"","family":"Ascher","given":"David B","non-dropping-particle":"","parse-names":false,"suffix":""}],"container-title":"pKCSM","id":"ITEM-1","issued":{"date-parts":[["2015"]]},"page":"5","title":"pkCSM : predicting small-molecule pharmacokinetic properties using graph-based signatures (Theory- How to Enterpret pkCSM Result)","type":"article-journal"},"uris":["http://www.mendeley.com/documents/?uuid=780d64dc-4286-41d4-9bd3-edcdf04bdde4"]}],"mendeley":{"formattedCitation":"[32]","plainTextFormattedCitation":"[32]","previouslyFormattedCitation":"[32]"},"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[32]</w:t>
      </w:r>
      <w:r w:rsidRPr="00C21B42">
        <w:rPr>
          <w:rFonts w:ascii="Times New Roman" w:hAnsi="Times New Roman" w:cs="Times New Roman"/>
          <w:bCs/>
        </w:rPr>
        <w:fldChar w:fldCharType="end"/>
      </w:r>
      <w:r w:rsidRPr="00C21B42">
        <w:rPr>
          <w:rFonts w:ascii="Times New Roman" w:hAnsi="Times New Roman" w:cs="Times New Roman"/>
          <w:bCs/>
        </w:rPr>
        <w:t xml:space="preserve"> (</w:t>
      </w:r>
      <w:hyperlink r:id="rId10" w:history="1">
        <w:r w:rsidRPr="00C21B42">
          <w:rPr>
            <w:rStyle w:val="Hyperlink"/>
            <w:rFonts w:ascii="Times New Roman" w:hAnsi="Times New Roman" w:cs="Times New Roman"/>
          </w:rPr>
          <w:t>https://biosig.lab.uq.edu.au/pkcsm/prediction</w:t>
        </w:r>
      </w:hyperlink>
      <w:r w:rsidRPr="00C21B42">
        <w:rPr>
          <w:rFonts w:ascii="Times New Roman" w:hAnsi="Times New Roman" w:cs="Times New Roman"/>
          <w:bCs/>
        </w:rPr>
        <w:t xml:space="preserve">) for predicting the MADE/T parameters. The optimized structures of drug molecules in SMILES formats were used for their ADME/T calculation. </w:t>
      </w:r>
    </w:p>
    <w:bookmarkEnd w:id="30"/>
    <w:p w14:paraId="4A5F47CE" w14:textId="6B752E89" w:rsidR="003C6347" w:rsidRPr="00C21B42" w:rsidRDefault="00447ECA" w:rsidP="003C6347">
      <w:pPr>
        <w:spacing w:line="360" w:lineRule="auto"/>
        <w:jc w:val="both"/>
        <w:rPr>
          <w:rFonts w:ascii="Times New Roman" w:hAnsi="Times New Roman" w:cs="Times New Roman"/>
          <w:b/>
        </w:rPr>
      </w:pPr>
      <w:r>
        <w:rPr>
          <w:rFonts w:ascii="Times New Roman" w:hAnsi="Times New Roman" w:cs="Times New Roman"/>
          <w:b/>
        </w:rPr>
        <w:t>S</w:t>
      </w:r>
      <w:r w:rsidR="00C46BFD">
        <w:rPr>
          <w:rFonts w:ascii="Times New Roman" w:hAnsi="Times New Roman" w:cs="Times New Roman"/>
          <w:b/>
        </w:rPr>
        <w:t>7</w:t>
      </w:r>
      <w:r w:rsidR="003C6347" w:rsidRPr="00C21B42">
        <w:rPr>
          <w:rFonts w:ascii="Times New Roman" w:hAnsi="Times New Roman" w:cs="Times New Roman"/>
          <w:b/>
        </w:rPr>
        <w:t>.2. Optimization and calculation of chemical reactivity and its characterization</w:t>
      </w:r>
    </w:p>
    <w:p w14:paraId="44527A75" w14:textId="7B396F49" w:rsidR="003C6347" w:rsidRDefault="003C6347" w:rsidP="003C6347">
      <w:pPr>
        <w:spacing w:line="360" w:lineRule="auto"/>
        <w:jc w:val="both"/>
        <w:rPr>
          <w:rFonts w:ascii="Times New Roman" w:hAnsi="Times New Roman" w:cs="Times New Roman"/>
          <w:bCs/>
        </w:rPr>
      </w:pPr>
      <w:bookmarkStart w:id="31" w:name="_Hlk138193640"/>
      <w:r w:rsidRPr="00C21B42">
        <w:rPr>
          <w:rFonts w:ascii="Times New Roman" w:hAnsi="Times New Roman" w:cs="Times New Roman"/>
          <w:bCs/>
        </w:rPr>
        <w:t xml:space="preserve">A quantum mechanical modeling technique named DFT (Density functional theory) </w:t>
      </w:r>
      <w:r w:rsidR="00ED05DD">
        <w:rPr>
          <w:rFonts w:ascii="Times New Roman" w:hAnsi="Times New Roman" w:cs="Times New Roman"/>
          <w:bCs/>
        </w:rPr>
        <w:t xml:space="preserve">is </w:t>
      </w:r>
      <w:r w:rsidRPr="00C21B42">
        <w:rPr>
          <w:rFonts w:ascii="Times New Roman" w:hAnsi="Times New Roman" w:cs="Times New Roman"/>
          <w:bCs/>
        </w:rPr>
        <w:t xml:space="preserve">used to explore the electrical properties as well as the interactions between ligands and receptors. The electronic and structural characteristics of the top-ordered six compounds were computed using the B3LYP technique with a 6–311G basis set with the help of </w:t>
      </w:r>
      <w:r w:rsidR="00ED05DD">
        <w:rPr>
          <w:rFonts w:ascii="Times New Roman" w:hAnsi="Times New Roman" w:cs="Times New Roman"/>
          <w:bCs/>
        </w:rPr>
        <w:t xml:space="preserve">the </w:t>
      </w:r>
      <w:r w:rsidRPr="00C21B42">
        <w:rPr>
          <w:rFonts w:ascii="Times New Roman" w:hAnsi="Times New Roman" w:cs="Times New Roman"/>
          <w:bCs/>
        </w:rPr>
        <w:t xml:space="preserve">Gaussian 09 plugin in GaussView 05 </w:t>
      </w:r>
      <w:r w:rsidRPr="00C21B42">
        <w:rPr>
          <w:rFonts w:ascii="Times New Roman" w:hAnsi="Times New Roman" w:cs="Times New Roman"/>
          <w:bCs/>
        </w:rPr>
        <w:fldChar w:fldCharType="begin" w:fldLock="1"/>
      </w:r>
      <w:r w:rsidR="00936BE4" w:rsidRPr="00C21B42">
        <w:rPr>
          <w:rFonts w:ascii="Times New Roman" w:hAnsi="Times New Roman" w:cs="Times New Roman"/>
          <w:bCs/>
        </w:rPr>
        <w:instrText>ADDIN CSL_CITATION {"citationItems":[{"id":"ITEM-1","itemData":{"author":[{"dropping-particle":"","family":"Axel D. Becke","given":"","non-dropping-particle":"","parse-names":false,"suffix":""}],"container-title":"The Journal of chemical physics","id":"ITEM-1","issue":"7","issued":{"date-parts":[["1993"]]},"page":"5648","title":"Density‐functional thermochemistry. III. The role of exact exchange","type":"article-journal","volume":"98"},"uris":["http://www.mendeley.com/documents/?uuid=dea06a85-d913-4219-9a06-ca1bcc26e0ad"]},{"id":"ITEM-2","itemData":{"author":[{"dropping-particle":"","family":"Nielsen","given":"A B","non-dropping-particle":"","parse-names":false,"suffix":""},{"dropping-particle":"","family":"Holder","given":"A J","non-dropping-particle":"","parse-names":false,"suffix":""}],"container-title":"GAUSSIAN Inc., Pittsburgh","id":"ITEM-2","issued":{"date-parts":[["2009"]]},"title":"Gauss view 5.0, user’s reference","type":"article-journal"},"uris":["http://www.mendeley.com/documents/?uuid=3c18006c-641b-4b62-90b6-5a63c9ff92d8"]}],"mendeley":{"formattedCitation":"[33,34]","plainTextFormattedCitation":"[33,34]","previouslyFormattedCitation":"[33,34]"},"properties":{"noteIndex":0},"schema":"https://github.com/citation-style-language/schema/raw/master/csl-citation.json"}</w:instrText>
      </w:r>
      <w:r w:rsidRPr="00C21B42">
        <w:rPr>
          <w:rFonts w:ascii="Times New Roman" w:hAnsi="Times New Roman" w:cs="Times New Roman"/>
          <w:bCs/>
        </w:rPr>
        <w:fldChar w:fldCharType="separate"/>
      </w:r>
      <w:r w:rsidRPr="00C21B42">
        <w:rPr>
          <w:rFonts w:ascii="Times New Roman" w:hAnsi="Times New Roman" w:cs="Times New Roman"/>
          <w:bCs/>
          <w:noProof/>
        </w:rPr>
        <w:t>[33,34]</w:t>
      </w:r>
      <w:r w:rsidRPr="00C21B42">
        <w:rPr>
          <w:rFonts w:ascii="Times New Roman" w:hAnsi="Times New Roman" w:cs="Times New Roman"/>
          <w:bCs/>
        </w:rPr>
        <w:fldChar w:fldCharType="end"/>
      </w:r>
      <w:r w:rsidRPr="00C21B42">
        <w:rPr>
          <w:rFonts w:ascii="Times New Roman" w:hAnsi="Times New Roman" w:cs="Times New Roman"/>
          <w:bCs/>
        </w:rPr>
        <w:t xml:space="preserve">. HOMO (highest occupied molecular orbital) and LUMO (lowest unoccupied molecular orbital) energies, electrophilicity index, and electron affinity are the computed parameters employed in this research. These characteristics play a crucial role in understanding the magnitude of ligand interaction in the binding pocket of </w:t>
      </w:r>
      <w:r w:rsidR="00ED05DD">
        <w:rPr>
          <w:rFonts w:ascii="Times New Roman" w:hAnsi="Times New Roman" w:cs="Times New Roman"/>
          <w:bCs/>
        </w:rPr>
        <w:t xml:space="preserve">the </w:t>
      </w:r>
      <w:r w:rsidRPr="00C21B42">
        <w:rPr>
          <w:rFonts w:ascii="Times New Roman" w:hAnsi="Times New Roman" w:cs="Times New Roman"/>
          <w:bCs/>
        </w:rPr>
        <w:t>receptor protein.</w:t>
      </w:r>
    </w:p>
    <w:p w14:paraId="7D201948" w14:textId="77777777" w:rsidR="00A42032" w:rsidRDefault="00A42032" w:rsidP="003C6347">
      <w:pPr>
        <w:spacing w:line="360" w:lineRule="auto"/>
        <w:jc w:val="both"/>
        <w:rPr>
          <w:rFonts w:ascii="Times New Roman" w:hAnsi="Times New Roman" w:cs="Times New Roman"/>
          <w:bCs/>
        </w:rPr>
      </w:pPr>
    </w:p>
    <w:p w14:paraId="383DAEB0" w14:textId="77777777" w:rsidR="00E11FB4" w:rsidRDefault="00E11FB4" w:rsidP="003C6347">
      <w:pPr>
        <w:spacing w:line="360" w:lineRule="auto"/>
        <w:jc w:val="both"/>
        <w:rPr>
          <w:rFonts w:ascii="Times New Roman" w:hAnsi="Times New Roman" w:cs="Times New Roman"/>
          <w:bCs/>
        </w:rPr>
      </w:pPr>
    </w:p>
    <w:p w14:paraId="05EC9064" w14:textId="77777777" w:rsidR="00E11FB4" w:rsidRDefault="00E11FB4" w:rsidP="003C6347">
      <w:pPr>
        <w:spacing w:line="360" w:lineRule="auto"/>
        <w:jc w:val="both"/>
        <w:rPr>
          <w:rFonts w:ascii="Times New Roman" w:hAnsi="Times New Roman" w:cs="Times New Roman"/>
          <w:bCs/>
        </w:rPr>
      </w:pPr>
    </w:p>
    <w:p w14:paraId="1B724840" w14:textId="77777777" w:rsidR="00E11FB4" w:rsidRDefault="00E11FB4" w:rsidP="003C6347">
      <w:pPr>
        <w:spacing w:line="360" w:lineRule="auto"/>
        <w:jc w:val="both"/>
        <w:rPr>
          <w:rFonts w:ascii="Times New Roman" w:hAnsi="Times New Roman" w:cs="Times New Roman"/>
          <w:bCs/>
        </w:rPr>
      </w:pPr>
    </w:p>
    <w:p w14:paraId="143D7475" w14:textId="77777777" w:rsidR="00CA6131" w:rsidRDefault="00CA6131" w:rsidP="003C6347">
      <w:pPr>
        <w:spacing w:line="360" w:lineRule="auto"/>
        <w:jc w:val="both"/>
        <w:rPr>
          <w:rFonts w:ascii="Times New Roman" w:hAnsi="Times New Roman" w:cs="Times New Roman"/>
          <w:bCs/>
        </w:rPr>
      </w:pPr>
    </w:p>
    <w:bookmarkEnd w:id="2"/>
    <w:bookmarkEnd w:id="31"/>
    <w:p w14:paraId="134107A5" w14:textId="77777777" w:rsidR="00A91BCF" w:rsidRDefault="00A91BCF" w:rsidP="00447ECA">
      <w:pPr>
        <w:pStyle w:val="Heading1"/>
        <w:jc w:val="center"/>
        <w:rPr>
          <w:rFonts w:ascii="Times New Roman" w:hAnsi="Times New Roman" w:cs="Times New Roman"/>
          <w:b/>
          <w:color w:val="auto"/>
          <w:sz w:val="40"/>
          <w:szCs w:val="40"/>
        </w:rPr>
      </w:pPr>
      <w:r>
        <w:rPr>
          <w:rFonts w:ascii="Times New Roman" w:hAnsi="Times New Roman" w:cs="Times New Roman"/>
          <w:b/>
          <w:color w:val="auto"/>
          <w:sz w:val="40"/>
          <w:szCs w:val="40"/>
        </w:rPr>
        <w:br w:type="page"/>
      </w:r>
    </w:p>
    <w:p w14:paraId="3B054F60" w14:textId="3F5DF9B2" w:rsidR="001E5F8F" w:rsidRPr="00C21B42" w:rsidRDefault="00A91BCF" w:rsidP="00447ECA">
      <w:pPr>
        <w:pStyle w:val="Heading1"/>
        <w:jc w:val="center"/>
        <w:rPr>
          <w:rFonts w:ascii="Times New Roman" w:hAnsi="Times New Roman" w:cs="Times New Roman"/>
          <w:b/>
          <w:color w:val="auto"/>
          <w:sz w:val="40"/>
          <w:szCs w:val="40"/>
        </w:rPr>
      </w:pPr>
      <w:r>
        <w:rPr>
          <w:rFonts w:ascii="Times New Roman" w:hAnsi="Times New Roman" w:cs="Times New Roman"/>
          <w:b/>
          <w:color w:val="auto"/>
          <w:sz w:val="40"/>
          <w:szCs w:val="40"/>
        </w:rPr>
        <w:lastRenderedPageBreak/>
        <w:t>Supplementary</w:t>
      </w:r>
      <w:r w:rsidR="001E5F8F" w:rsidRPr="00C21B42">
        <w:rPr>
          <w:rFonts w:ascii="Times New Roman" w:hAnsi="Times New Roman" w:cs="Times New Roman"/>
          <w:b/>
          <w:color w:val="auto"/>
          <w:sz w:val="40"/>
          <w:szCs w:val="40"/>
        </w:rPr>
        <w:t xml:space="preserve"> </w:t>
      </w:r>
      <w:r w:rsidR="00447ECA">
        <w:rPr>
          <w:rFonts w:ascii="Times New Roman" w:hAnsi="Times New Roman" w:cs="Times New Roman"/>
          <w:b/>
          <w:color w:val="auto"/>
          <w:sz w:val="40"/>
          <w:szCs w:val="40"/>
        </w:rPr>
        <w:t>F</w:t>
      </w:r>
      <w:r w:rsidR="00E05EC7" w:rsidRPr="00C21B42">
        <w:rPr>
          <w:rFonts w:ascii="Times New Roman" w:hAnsi="Times New Roman" w:cs="Times New Roman"/>
          <w:b/>
          <w:color w:val="auto"/>
          <w:sz w:val="40"/>
          <w:szCs w:val="40"/>
        </w:rPr>
        <w:t>igures</w:t>
      </w:r>
    </w:p>
    <w:p w14:paraId="06BF426F" w14:textId="77777777" w:rsidR="00455D07" w:rsidRPr="00C21B42" w:rsidRDefault="00455D07" w:rsidP="00455D07">
      <w:pPr>
        <w:rPr>
          <w:rFonts w:ascii="Times New Roman" w:hAnsi="Times New Roman" w:cs="Times New Roman"/>
        </w:rPr>
      </w:pPr>
    </w:p>
    <w:p w14:paraId="3229A167" w14:textId="7997A29D" w:rsidR="00C078A2" w:rsidRPr="00C21B42" w:rsidRDefault="00CA68C3" w:rsidP="00C078A2">
      <w:pPr>
        <w:rPr>
          <w:rFonts w:ascii="Times New Roman" w:hAnsi="Times New Roman" w:cs="Times New Roman"/>
        </w:rPr>
      </w:pPr>
      <w:r w:rsidRPr="00C21B42">
        <w:rPr>
          <w:rFonts w:ascii="Times New Roman" w:hAnsi="Times New Roman" w:cs="Times New Roman"/>
          <w:noProof/>
        </w:rPr>
        <w:drawing>
          <wp:inline distT="0" distB="0" distL="0" distR="0" wp14:anchorId="49465985" wp14:editId="452F5A96">
            <wp:extent cx="5427023" cy="2934999"/>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35857" cy="2939776"/>
                    </a:xfrm>
                    <a:prstGeom prst="rect">
                      <a:avLst/>
                    </a:prstGeom>
                  </pic:spPr>
                </pic:pic>
              </a:graphicData>
            </a:graphic>
          </wp:inline>
        </w:drawing>
      </w:r>
    </w:p>
    <w:p w14:paraId="7F144D22" w14:textId="5583B702" w:rsidR="00B35CD0" w:rsidRPr="00C21B42" w:rsidRDefault="0007748E" w:rsidP="00200F32">
      <w:pPr>
        <w:jc w:val="center"/>
        <w:rPr>
          <w:rFonts w:ascii="Times New Roman" w:hAnsi="Times New Roman" w:cs="Times New Roman"/>
        </w:rPr>
      </w:pPr>
      <w:r>
        <w:rPr>
          <w:rFonts w:ascii="Times New Roman" w:hAnsi="Times New Roman" w:cs="Times New Roman"/>
          <w:b/>
          <w:bCs/>
        </w:rPr>
        <w:t>Figure</w:t>
      </w:r>
      <w:r w:rsidR="0003253B" w:rsidRPr="00C21B42">
        <w:rPr>
          <w:rFonts w:ascii="Times New Roman" w:hAnsi="Times New Roman" w:cs="Times New Roman"/>
          <w:b/>
          <w:bCs/>
        </w:rPr>
        <w:t xml:space="preserve"> S1. </w:t>
      </w:r>
      <w:r w:rsidR="0003253B" w:rsidRPr="00C21B42">
        <w:rPr>
          <w:rFonts w:ascii="Times New Roman" w:hAnsi="Times New Roman" w:cs="Times New Roman"/>
        </w:rPr>
        <w:t>The Venn diagrams to show common differentially expressed genes</w:t>
      </w:r>
      <w:r w:rsidR="00200F32" w:rsidRPr="00C21B42">
        <w:rPr>
          <w:rFonts w:ascii="Times New Roman" w:hAnsi="Times New Roman" w:cs="Times New Roman"/>
        </w:rPr>
        <w:t xml:space="preserve"> (cDEGs)</w:t>
      </w:r>
      <w:r w:rsidR="0003253B" w:rsidRPr="00C21B42">
        <w:rPr>
          <w:rFonts w:ascii="Times New Roman" w:hAnsi="Times New Roman" w:cs="Times New Roman"/>
        </w:rPr>
        <w:t xml:space="preserve"> </w:t>
      </w:r>
      <w:r w:rsidR="00200F32" w:rsidRPr="00C21B42">
        <w:rPr>
          <w:rFonts w:ascii="Times New Roman" w:hAnsi="Times New Roman" w:cs="Times New Roman"/>
        </w:rPr>
        <w:t xml:space="preserve">of pancreatic cancer (PC) </w:t>
      </w:r>
      <w:r w:rsidR="0003253B" w:rsidRPr="00C21B42">
        <w:rPr>
          <w:rFonts w:ascii="Times New Roman" w:hAnsi="Times New Roman" w:cs="Times New Roman"/>
        </w:rPr>
        <w:t xml:space="preserve">(A) Downregulated </w:t>
      </w:r>
      <w:r w:rsidR="008C694F" w:rsidRPr="00C21B42">
        <w:rPr>
          <w:rFonts w:ascii="Times New Roman" w:hAnsi="Times New Roman" w:cs="Times New Roman"/>
        </w:rPr>
        <w:t>c</w:t>
      </w:r>
      <w:r w:rsidR="0003253B" w:rsidRPr="00C21B42">
        <w:rPr>
          <w:rFonts w:ascii="Times New Roman" w:hAnsi="Times New Roman" w:cs="Times New Roman"/>
        </w:rPr>
        <w:t xml:space="preserve">DEGs and (B) Upregulated </w:t>
      </w:r>
      <w:r w:rsidR="008C694F" w:rsidRPr="00C21B42">
        <w:rPr>
          <w:rFonts w:ascii="Times New Roman" w:hAnsi="Times New Roman" w:cs="Times New Roman"/>
        </w:rPr>
        <w:t>c</w:t>
      </w:r>
      <w:r w:rsidR="0003253B" w:rsidRPr="00C21B42">
        <w:rPr>
          <w:rFonts w:ascii="Times New Roman" w:hAnsi="Times New Roman" w:cs="Times New Roman"/>
        </w:rPr>
        <w:t>DEGs</w:t>
      </w:r>
    </w:p>
    <w:p w14:paraId="6F86B110" w14:textId="77777777" w:rsidR="00CA68C3" w:rsidRPr="00C21B42" w:rsidRDefault="00CA68C3" w:rsidP="00200F32">
      <w:pPr>
        <w:jc w:val="center"/>
        <w:rPr>
          <w:rFonts w:ascii="Times New Roman" w:hAnsi="Times New Roman" w:cs="Times New Roman"/>
        </w:rPr>
      </w:pPr>
    </w:p>
    <w:p w14:paraId="492DEE9C" w14:textId="1A5E4DD4" w:rsidR="00CA68C3" w:rsidRPr="00C21B42" w:rsidRDefault="00CA68C3" w:rsidP="00200F32">
      <w:pPr>
        <w:jc w:val="center"/>
        <w:rPr>
          <w:rFonts w:ascii="Times New Roman" w:hAnsi="Times New Roman" w:cs="Times New Roman"/>
        </w:rPr>
      </w:pPr>
      <w:r w:rsidRPr="00C21B42">
        <w:rPr>
          <w:rFonts w:ascii="Times New Roman" w:hAnsi="Times New Roman" w:cs="Times New Roman"/>
          <w:noProof/>
        </w:rPr>
        <w:drawing>
          <wp:inline distT="0" distB="0" distL="0" distR="0" wp14:anchorId="2EDC7F94" wp14:editId="5581B395">
            <wp:extent cx="5759532" cy="30495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5518" cy="3052767"/>
                    </a:xfrm>
                    <a:prstGeom prst="rect">
                      <a:avLst/>
                    </a:prstGeom>
                  </pic:spPr>
                </pic:pic>
              </a:graphicData>
            </a:graphic>
          </wp:inline>
        </w:drawing>
      </w:r>
    </w:p>
    <w:p w14:paraId="26467F95" w14:textId="736EB8FC" w:rsidR="00200F32" w:rsidRPr="00C21B42" w:rsidRDefault="0007748E" w:rsidP="00200F32">
      <w:pPr>
        <w:jc w:val="center"/>
        <w:rPr>
          <w:rFonts w:ascii="Times New Roman" w:hAnsi="Times New Roman" w:cs="Times New Roman"/>
        </w:rPr>
      </w:pPr>
      <w:r>
        <w:rPr>
          <w:rFonts w:ascii="Times New Roman" w:hAnsi="Times New Roman" w:cs="Times New Roman"/>
          <w:b/>
          <w:bCs/>
        </w:rPr>
        <w:t>Figure</w:t>
      </w:r>
      <w:r w:rsidR="00200F32" w:rsidRPr="00C21B42">
        <w:rPr>
          <w:rFonts w:ascii="Times New Roman" w:hAnsi="Times New Roman" w:cs="Times New Roman"/>
          <w:b/>
          <w:bCs/>
        </w:rPr>
        <w:t xml:space="preserve"> S</w:t>
      </w:r>
      <w:r w:rsidR="00CA68C3" w:rsidRPr="00C21B42">
        <w:rPr>
          <w:rFonts w:ascii="Times New Roman" w:hAnsi="Times New Roman" w:cs="Times New Roman"/>
          <w:b/>
          <w:bCs/>
        </w:rPr>
        <w:t>2</w:t>
      </w:r>
      <w:r w:rsidR="00200F32" w:rsidRPr="00C21B42">
        <w:rPr>
          <w:rFonts w:ascii="Times New Roman" w:hAnsi="Times New Roman" w:cs="Times New Roman"/>
          <w:b/>
          <w:bCs/>
        </w:rPr>
        <w:t xml:space="preserve">. </w:t>
      </w:r>
      <w:r w:rsidR="00200F32" w:rsidRPr="00C21B42">
        <w:rPr>
          <w:rFonts w:ascii="Times New Roman" w:hAnsi="Times New Roman" w:cs="Times New Roman"/>
        </w:rPr>
        <w:t>The Venn diagrams to show common differentially expressed genes (cDEGs) of type-2 diabetes (T2D) (A) Downregulated DEGs and (B) Upregulated DEGs</w:t>
      </w:r>
    </w:p>
    <w:p w14:paraId="39BE4B75" w14:textId="491B7547" w:rsidR="006628CF" w:rsidRDefault="006628CF" w:rsidP="00200F32">
      <w:pPr>
        <w:rPr>
          <w:rFonts w:ascii="Times New Roman" w:hAnsi="Times New Roman" w:cs="Times New Roman"/>
        </w:rPr>
      </w:pPr>
    </w:p>
    <w:p w14:paraId="3D6EF6B1" w14:textId="7FAE3BA8" w:rsidR="00460718" w:rsidRPr="00C21B42" w:rsidRDefault="00460718" w:rsidP="00200F32">
      <w:pPr>
        <w:rPr>
          <w:rFonts w:ascii="Times New Roman" w:hAnsi="Times New Roman" w:cs="Times New Roman"/>
        </w:rPr>
      </w:pPr>
      <w:r>
        <w:rPr>
          <w:rFonts w:ascii="Times New Roman" w:hAnsi="Times New Roman" w:cs="Times New Roman"/>
          <w:noProof/>
        </w:rPr>
        <w:lastRenderedPageBreak/>
        <w:drawing>
          <wp:inline distT="0" distB="0" distL="0" distR="0" wp14:anchorId="5A338F45" wp14:editId="59BA1553">
            <wp:extent cx="5943600" cy="65474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5.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6547485"/>
                    </a:xfrm>
                    <a:prstGeom prst="rect">
                      <a:avLst/>
                    </a:prstGeom>
                  </pic:spPr>
                </pic:pic>
              </a:graphicData>
            </a:graphic>
          </wp:inline>
        </w:drawing>
      </w:r>
    </w:p>
    <w:p w14:paraId="45D4867D" w14:textId="367270C6" w:rsidR="00460718" w:rsidRDefault="0007748E" w:rsidP="00460718">
      <w:pPr>
        <w:spacing w:line="360" w:lineRule="auto"/>
        <w:jc w:val="center"/>
        <w:rPr>
          <w:rFonts w:ascii="Times New Roman" w:hAnsi="Times New Roman" w:cs="Times New Roman"/>
          <w:shd w:val="clear" w:color="auto" w:fill="FFFFFF"/>
        </w:rPr>
      </w:pPr>
      <w:r>
        <w:rPr>
          <w:rFonts w:ascii="Times New Roman" w:hAnsi="Times New Roman" w:cs="Times New Roman"/>
          <w:b/>
          <w:bCs/>
        </w:rPr>
        <w:t>Figure</w:t>
      </w:r>
      <w:r w:rsidR="00460718">
        <w:rPr>
          <w:rFonts w:ascii="Times New Roman" w:hAnsi="Times New Roman" w:cs="Times New Roman"/>
          <w:b/>
          <w:bCs/>
        </w:rPr>
        <w:t xml:space="preserve"> S3.</w:t>
      </w:r>
      <w:r w:rsidR="00460718">
        <w:rPr>
          <w:rFonts w:ascii="Times New Roman" w:hAnsi="Times New Roman" w:cs="Times New Roman"/>
        </w:rPr>
        <w:t xml:space="preserve"> Differential expression pattern analysis of </w:t>
      </w:r>
      <w:r w:rsidR="00A91BCF">
        <w:rPr>
          <w:rFonts w:ascii="Times New Roman" w:hAnsi="Times New Roman" w:cs="Times New Roman"/>
        </w:rPr>
        <w:t>sKGBs</w:t>
      </w:r>
      <w:r w:rsidR="00460718">
        <w:rPr>
          <w:rFonts w:ascii="Times New Roman" w:hAnsi="Times New Roman" w:cs="Times New Roman"/>
        </w:rPr>
        <w:t xml:space="preserve"> with </w:t>
      </w:r>
      <w:r w:rsidR="00460718">
        <w:rPr>
          <w:rFonts w:ascii="Times New Roman" w:hAnsi="Times New Roman" w:cs="Times New Roman"/>
          <w:shd w:val="clear" w:color="auto" w:fill="FFFFFF"/>
        </w:rPr>
        <w:t>Boxplots</w:t>
      </w:r>
    </w:p>
    <w:p w14:paraId="307F13BD" w14:textId="77777777" w:rsidR="006628CF" w:rsidRPr="00C21B42" w:rsidRDefault="006628CF" w:rsidP="00200F32">
      <w:pPr>
        <w:rPr>
          <w:rFonts w:ascii="Times New Roman" w:hAnsi="Times New Roman" w:cs="Times New Roman"/>
        </w:rPr>
      </w:pPr>
    </w:p>
    <w:p w14:paraId="23ACB23D" w14:textId="77777777" w:rsidR="006628CF" w:rsidRPr="00C21B42" w:rsidRDefault="006628CF" w:rsidP="00200F32">
      <w:pPr>
        <w:rPr>
          <w:rFonts w:ascii="Times New Roman" w:hAnsi="Times New Roman" w:cs="Times New Roman"/>
        </w:rPr>
      </w:pPr>
    </w:p>
    <w:p w14:paraId="045E4995" w14:textId="318577C5" w:rsidR="006628CF" w:rsidRDefault="006628CF" w:rsidP="00200F32">
      <w:pPr>
        <w:rPr>
          <w:rFonts w:ascii="Times New Roman" w:hAnsi="Times New Roman" w:cs="Times New Roman"/>
        </w:rPr>
      </w:pPr>
    </w:p>
    <w:p w14:paraId="7693E136" w14:textId="77777777" w:rsidR="00460718" w:rsidRPr="00C21B42" w:rsidRDefault="00460718" w:rsidP="00460718">
      <w:pPr>
        <w:jc w:val="center"/>
        <w:rPr>
          <w:rFonts w:ascii="Times New Roman" w:hAnsi="Times New Roman" w:cs="Times New Roman"/>
        </w:rPr>
      </w:pPr>
    </w:p>
    <w:p w14:paraId="2233BF18" w14:textId="77777777" w:rsidR="00460718" w:rsidRPr="00C21B42" w:rsidRDefault="00460718" w:rsidP="00460718">
      <w:pPr>
        <w:jc w:val="center"/>
        <w:rPr>
          <w:rFonts w:ascii="Times New Roman" w:hAnsi="Times New Roman" w:cs="Times New Roman"/>
        </w:rPr>
      </w:pPr>
      <w:r w:rsidRPr="00C21B42">
        <w:rPr>
          <w:rFonts w:ascii="Times New Roman" w:hAnsi="Times New Roman" w:cs="Times New Roman"/>
          <w:noProof/>
        </w:rPr>
        <w:lastRenderedPageBreak/>
        <w:drawing>
          <wp:inline distT="0" distB="0" distL="0" distR="0" wp14:anchorId="6B929B55" wp14:editId="725E02CA">
            <wp:extent cx="4895850" cy="331620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3.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902754" cy="3320882"/>
                    </a:xfrm>
                    <a:prstGeom prst="rect">
                      <a:avLst/>
                    </a:prstGeom>
                  </pic:spPr>
                </pic:pic>
              </a:graphicData>
            </a:graphic>
          </wp:inline>
        </w:drawing>
      </w:r>
    </w:p>
    <w:p w14:paraId="3636B38B" w14:textId="725BB7A7" w:rsidR="00460718" w:rsidRPr="00C21B42" w:rsidRDefault="0007748E" w:rsidP="00460718">
      <w:pPr>
        <w:spacing w:line="276" w:lineRule="auto"/>
        <w:jc w:val="both"/>
        <w:rPr>
          <w:rFonts w:ascii="Times New Roman" w:hAnsi="Times New Roman" w:cs="Times New Roman"/>
        </w:rPr>
      </w:pPr>
      <w:r>
        <w:rPr>
          <w:rFonts w:ascii="Times New Roman" w:hAnsi="Times New Roman" w:cs="Times New Roman"/>
          <w:b/>
          <w:bCs/>
        </w:rPr>
        <w:t>Figure</w:t>
      </w:r>
      <w:r w:rsidR="00460718" w:rsidRPr="00C21B42">
        <w:rPr>
          <w:rFonts w:ascii="Times New Roman" w:hAnsi="Times New Roman" w:cs="Times New Roman"/>
          <w:b/>
          <w:bCs/>
        </w:rPr>
        <w:t xml:space="preserve"> S</w:t>
      </w:r>
      <w:r w:rsidR="00460718">
        <w:rPr>
          <w:rFonts w:ascii="Times New Roman" w:hAnsi="Times New Roman" w:cs="Times New Roman"/>
          <w:b/>
          <w:bCs/>
        </w:rPr>
        <w:t>4</w:t>
      </w:r>
      <w:r w:rsidR="00460718" w:rsidRPr="00C21B42">
        <w:rPr>
          <w:rFonts w:ascii="Times New Roman" w:hAnsi="Times New Roman" w:cs="Times New Roman"/>
          <w:b/>
          <w:bCs/>
        </w:rPr>
        <w:t xml:space="preserve">. </w:t>
      </w:r>
      <w:r w:rsidR="00A91BCF">
        <w:rPr>
          <w:rFonts w:ascii="Times New Roman" w:hAnsi="Times New Roman" w:cs="Times New Roman"/>
        </w:rPr>
        <w:t>sKGBs</w:t>
      </w:r>
      <w:r w:rsidR="00460718" w:rsidRPr="00C21B42">
        <w:rPr>
          <w:rFonts w:ascii="Times New Roman" w:hAnsi="Times New Roman" w:cs="Times New Roman"/>
        </w:rPr>
        <w:t xml:space="preserve">-TF-miRNA coregulatory networks. Here </w:t>
      </w:r>
      <w:r w:rsidR="00A91BCF">
        <w:rPr>
          <w:rFonts w:ascii="Times New Roman" w:hAnsi="Times New Roman" w:cs="Times New Roman"/>
        </w:rPr>
        <w:t>sKGBs</w:t>
      </w:r>
      <w:r w:rsidR="00460718" w:rsidRPr="00C21B42">
        <w:rPr>
          <w:rFonts w:ascii="Times New Roman" w:hAnsi="Times New Roman" w:cs="Times New Roman"/>
        </w:rPr>
        <w:t xml:space="preserve"> were indicated as red color with octagon shapes, TFs were represented as blue with ellipse and the miRNAs were represented as green with diamond shape. Key TF and miRNAs are </w:t>
      </w:r>
      <w:r w:rsidR="00ED05DD">
        <w:rPr>
          <w:rFonts w:ascii="Times New Roman" w:hAnsi="Times New Roman" w:cs="Times New Roman"/>
        </w:rPr>
        <w:t>o</w:t>
      </w:r>
      <w:r w:rsidR="00460718" w:rsidRPr="00C21B42">
        <w:rPr>
          <w:rFonts w:ascii="Times New Roman" w:hAnsi="Times New Roman" w:cs="Times New Roman"/>
        </w:rPr>
        <w:t>n the right-hand side of this Figure.</w:t>
      </w:r>
    </w:p>
    <w:p w14:paraId="685095E8" w14:textId="77777777" w:rsidR="00460718" w:rsidRPr="00C21B42" w:rsidRDefault="00460718" w:rsidP="00200F32">
      <w:pPr>
        <w:rPr>
          <w:rFonts w:ascii="Times New Roman" w:hAnsi="Times New Roman" w:cs="Times New Roman"/>
        </w:rPr>
      </w:pPr>
    </w:p>
    <w:p w14:paraId="5D052CCD" w14:textId="77777777" w:rsidR="006A5A3A" w:rsidRPr="00C21B42" w:rsidRDefault="006A5A3A" w:rsidP="00200F32">
      <w:pPr>
        <w:rPr>
          <w:rFonts w:ascii="Times New Roman" w:hAnsi="Times New Roman" w:cs="Times New Roman"/>
        </w:rPr>
      </w:pPr>
    </w:p>
    <w:p w14:paraId="26FCC609" w14:textId="77777777" w:rsidR="006A5A3A" w:rsidRPr="00C21B42" w:rsidRDefault="006A5A3A" w:rsidP="00950172">
      <w:pPr>
        <w:jc w:val="center"/>
        <w:rPr>
          <w:rFonts w:ascii="Times New Roman" w:hAnsi="Times New Roman" w:cs="Times New Roman"/>
        </w:rPr>
      </w:pPr>
    </w:p>
    <w:p w14:paraId="05DEAF31" w14:textId="521550A1" w:rsidR="00950172" w:rsidRDefault="00950172" w:rsidP="00950172">
      <w:pPr>
        <w:jc w:val="center"/>
        <w:rPr>
          <w:rFonts w:ascii="Times New Roman" w:hAnsi="Times New Roman" w:cs="Times New Roman"/>
        </w:rPr>
      </w:pPr>
    </w:p>
    <w:p w14:paraId="16C3072F" w14:textId="10C4E6BA" w:rsidR="00460718" w:rsidRDefault="00460718" w:rsidP="00950172">
      <w:pPr>
        <w:jc w:val="center"/>
        <w:rPr>
          <w:rFonts w:ascii="Times New Roman" w:hAnsi="Times New Roman" w:cs="Times New Roman"/>
        </w:rPr>
      </w:pPr>
    </w:p>
    <w:p w14:paraId="6CD433ED" w14:textId="23D8FA71" w:rsidR="00460718" w:rsidRDefault="00460718" w:rsidP="00950172">
      <w:pPr>
        <w:jc w:val="center"/>
        <w:rPr>
          <w:rFonts w:ascii="Times New Roman" w:hAnsi="Times New Roman" w:cs="Times New Roman"/>
        </w:rPr>
      </w:pPr>
    </w:p>
    <w:p w14:paraId="560C97E4" w14:textId="3C2BF3AC" w:rsidR="00460718" w:rsidRDefault="00460718" w:rsidP="00950172">
      <w:pPr>
        <w:jc w:val="center"/>
        <w:rPr>
          <w:rFonts w:ascii="Times New Roman" w:hAnsi="Times New Roman" w:cs="Times New Roman"/>
        </w:rPr>
      </w:pPr>
    </w:p>
    <w:p w14:paraId="7D2FF242" w14:textId="336DD9F2" w:rsidR="00460718" w:rsidRDefault="00460718" w:rsidP="00950172">
      <w:pPr>
        <w:jc w:val="center"/>
        <w:rPr>
          <w:rFonts w:ascii="Times New Roman" w:hAnsi="Times New Roman" w:cs="Times New Roman"/>
        </w:rPr>
      </w:pPr>
    </w:p>
    <w:p w14:paraId="184ED815" w14:textId="23C455D4" w:rsidR="00460718" w:rsidRDefault="00460718" w:rsidP="00950172">
      <w:pPr>
        <w:jc w:val="center"/>
        <w:rPr>
          <w:rFonts w:ascii="Times New Roman" w:hAnsi="Times New Roman" w:cs="Times New Roman"/>
        </w:rPr>
      </w:pPr>
    </w:p>
    <w:p w14:paraId="3E1D6255" w14:textId="08523930" w:rsidR="00460718" w:rsidRDefault="00460718" w:rsidP="00950172">
      <w:pPr>
        <w:jc w:val="center"/>
        <w:rPr>
          <w:rFonts w:ascii="Times New Roman" w:hAnsi="Times New Roman" w:cs="Times New Roman"/>
        </w:rPr>
      </w:pPr>
    </w:p>
    <w:p w14:paraId="5568A5E7" w14:textId="2AB162FD" w:rsidR="00460718" w:rsidRDefault="00460718" w:rsidP="00950172">
      <w:pPr>
        <w:jc w:val="center"/>
        <w:rPr>
          <w:rFonts w:ascii="Times New Roman" w:hAnsi="Times New Roman" w:cs="Times New Roman"/>
        </w:rPr>
      </w:pPr>
    </w:p>
    <w:p w14:paraId="722F561B" w14:textId="77777777" w:rsidR="00460718" w:rsidRPr="00C21B42" w:rsidRDefault="00460718" w:rsidP="00950172">
      <w:pPr>
        <w:jc w:val="center"/>
        <w:rPr>
          <w:rFonts w:ascii="Times New Roman" w:hAnsi="Times New Roman" w:cs="Times New Roman"/>
        </w:rPr>
      </w:pPr>
    </w:p>
    <w:p w14:paraId="7C73D956" w14:textId="11AF836F" w:rsidR="00950172" w:rsidRDefault="00950172" w:rsidP="00950172">
      <w:pPr>
        <w:jc w:val="center"/>
        <w:rPr>
          <w:rFonts w:ascii="Times New Roman" w:hAnsi="Times New Roman" w:cs="Times New Roman"/>
        </w:rPr>
      </w:pPr>
    </w:p>
    <w:p w14:paraId="2050A851" w14:textId="77777777" w:rsidR="00F9788C" w:rsidRDefault="00F9788C" w:rsidP="00950172">
      <w:pPr>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367E7800" wp14:editId="181A77E1">
            <wp:extent cx="5390984" cy="7593726"/>
            <wp:effectExtent l="0" t="0" r="635"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7.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98761" cy="7604680"/>
                    </a:xfrm>
                    <a:prstGeom prst="rect">
                      <a:avLst/>
                    </a:prstGeom>
                  </pic:spPr>
                </pic:pic>
              </a:graphicData>
            </a:graphic>
          </wp:inline>
        </w:drawing>
      </w:r>
    </w:p>
    <w:p w14:paraId="155201EF" w14:textId="745953D7" w:rsidR="00F9788C" w:rsidRPr="00C21B42" w:rsidRDefault="00F9788C" w:rsidP="00950172">
      <w:pPr>
        <w:jc w:val="center"/>
        <w:rPr>
          <w:rFonts w:ascii="Times New Roman" w:hAnsi="Times New Roman" w:cs="Times New Roman"/>
        </w:rPr>
      </w:pPr>
      <w:r>
        <w:rPr>
          <w:rFonts w:ascii="Times New Roman" w:hAnsi="Times New Roman" w:cs="Times New Roman"/>
          <w:b/>
          <w:bCs/>
        </w:rPr>
        <w:t>Figure</w:t>
      </w:r>
      <w:r w:rsidRPr="00AC131E">
        <w:rPr>
          <w:rFonts w:ascii="Times New Roman" w:hAnsi="Times New Roman" w:cs="Times New Roman"/>
          <w:b/>
          <w:bCs/>
        </w:rPr>
        <w:t xml:space="preserve"> </w:t>
      </w:r>
      <w:r w:rsidR="00E11FB4">
        <w:rPr>
          <w:rFonts w:ascii="Times New Roman" w:hAnsi="Times New Roman" w:cs="Times New Roman"/>
          <w:b/>
          <w:bCs/>
        </w:rPr>
        <w:t>S5</w:t>
      </w:r>
      <w:r w:rsidRPr="00AC131E">
        <w:rPr>
          <w:rFonts w:ascii="Times New Roman" w:hAnsi="Times New Roman" w:cs="Times New Roman"/>
          <w:b/>
          <w:bCs/>
        </w:rPr>
        <w:t>.</w:t>
      </w:r>
      <w:r w:rsidRPr="00AC131E">
        <w:rPr>
          <w:rFonts w:ascii="Times New Roman" w:hAnsi="Times New Roman" w:cs="Times New Roman"/>
        </w:rPr>
        <w:t xml:space="preserve"> The pattern of HOMO and LUMO frontier molecular orbital surfaces of (A) NVP.BHG712, (B) Irinotecan, (C) Olaparib, (D) Gliquidone, (E) Herbacetin, (F) Linsitinib</w:t>
      </w:r>
    </w:p>
    <w:p w14:paraId="55F3CD18" w14:textId="09F37871" w:rsidR="003B4581" w:rsidRDefault="00A91BCF" w:rsidP="00447ECA">
      <w:pPr>
        <w:pStyle w:val="Heading1"/>
        <w:spacing w:before="120" w:after="120"/>
        <w:jc w:val="center"/>
        <w:rPr>
          <w:rFonts w:ascii="Times New Roman" w:hAnsi="Times New Roman" w:cs="Times New Roman"/>
          <w:b/>
          <w:color w:val="auto"/>
          <w:sz w:val="36"/>
          <w:szCs w:val="36"/>
        </w:rPr>
      </w:pPr>
      <w:r>
        <w:rPr>
          <w:rFonts w:ascii="Times New Roman" w:hAnsi="Times New Roman" w:cs="Times New Roman"/>
          <w:b/>
          <w:color w:val="auto"/>
          <w:sz w:val="36"/>
          <w:szCs w:val="36"/>
        </w:rPr>
        <w:lastRenderedPageBreak/>
        <w:t>Supplementary</w:t>
      </w:r>
      <w:r w:rsidR="00447ECA">
        <w:rPr>
          <w:rFonts w:ascii="Times New Roman" w:hAnsi="Times New Roman" w:cs="Times New Roman"/>
          <w:b/>
          <w:color w:val="auto"/>
          <w:sz w:val="36"/>
          <w:szCs w:val="36"/>
        </w:rPr>
        <w:t xml:space="preserve"> T</w:t>
      </w:r>
      <w:r w:rsidR="003B4581" w:rsidRPr="00C21B42">
        <w:rPr>
          <w:rFonts w:ascii="Times New Roman" w:hAnsi="Times New Roman" w:cs="Times New Roman"/>
          <w:b/>
          <w:color w:val="auto"/>
          <w:sz w:val="36"/>
          <w:szCs w:val="36"/>
        </w:rPr>
        <w:t>ables</w:t>
      </w:r>
    </w:p>
    <w:p w14:paraId="1AE85FCB" w14:textId="77777777" w:rsidR="00566A42" w:rsidRPr="00566A42" w:rsidRDefault="00566A42" w:rsidP="00566A42"/>
    <w:tbl>
      <w:tblPr>
        <w:tblStyle w:val="GridTable1Light-Accent31"/>
        <w:tblW w:w="9576" w:type="dxa"/>
        <w:tblLook w:val="04A0" w:firstRow="1" w:lastRow="0" w:firstColumn="1" w:lastColumn="0" w:noHBand="0" w:noVBand="1"/>
      </w:tblPr>
      <w:tblGrid>
        <w:gridCol w:w="3618"/>
        <w:gridCol w:w="1746"/>
        <w:gridCol w:w="2454"/>
        <w:gridCol w:w="1758"/>
      </w:tblGrid>
      <w:tr w:rsidR="004755F6" w:rsidRPr="00C21B42" w14:paraId="1C0BB594" w14:textId="77777777" w:rsidTr="0049547F">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9576" w:type="dxa"/>
            <w:gridSpan w:val="4"/>
            <w:noWrap/>
            <w:hideMark/>
          </w:tcPr>
          <w:p w14:paraId="51FAC2B0" w14:textId="23A194F9" w:rsidR="004755F6" w:rsidRPr="00C21B42" w:rsidRDefault="004755F6" w:rsidP="0049547F">
            <w:pPr>
              <w:spacing w:line="360" w:lineRule="auto"/>
              <w:rPr>
                <w:rFonts w:ascii="Times New Roman" w:hAnsi="Times New Roman"/>
                <w:b w:val="0"/>
                <w:sz w:val="24"/>
              </w:rPr>
            </w:pPr>
            <w:r w:rsidRPr="00C21B42">
              <w:rPr>
                <w:rFonts w:ascii="Times New Roman" w:hAnsi="Times New Roman"/>
                <w:sz w:val="24"/>
              </w:rPr>
              <w:t>Table S</w:t>
            </w:r>
            <w:r>
              <w:rPr>
                <w:rFonts w:ascii="Times New Roman" w:hAnsi="Times New Roman"/>
                <w:sz w:val="24"/>
              </w:rPr>
              <w:t>1</w:t>
            </w:r>
            <w:r w:rsidRPr="00C21B42">
              <w:rPr>
                <w:rFonts w:ascii="Times New Roman" w:hAnsi="Times New Roman"/>
                <w:sz w:val="24"/>
              </w:rPr>
              <w:t>.</w:t>
            </w:r>
            <w:r w:rsidRPr="00C21B42">
              <w:rPr>
                <w:rFonts w:ascii="Times New Roman" w:hAnsi="Times New Roman"/>
                <w:b w:val="0"/>
                <w:sz w:val="24"/>
              </w:rPr>
              <w:t xml:space="preserve"> Two-way contingency table for </w:t>
            </w:r>
            <w:r w:rsidR="00A91BCF">
              <w:rPr>
                <w:rFonts w:ascii="Times New Roman" w:hAnsi="Times New Roman"/>
                <w:b w:val="0"/>
                <w:sz w:val="24"/>
              </w:rPr>
              <w:t>sKGBs</w:t>
            </w:r>
            <w:r w:rsidRPr="00C21B42">
              <w:rPr>
                <w:rFonts w:ascii="Times New Roman" w:hAnsi="Times New Roman"/>
                <w:b w:val="0"/>
                <w:sz w:val="24"/>
              </w:rPr>
              <w:t>-set enrichment analysis. </w:t>
            </w:r>
          </w:p>
        </w:tc>
      </w:tr>
      <w:tr w:rsidR="004755F6" w:rsidRPr="00C21B42" w14:paraId="0F588BF6" w14:textId="77777777" w:rsidTr="0049547F">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0841A7DD" w14:textId="77777777" w:rsidR="004755F6" w:rsidRPr="00C21B42" w:rsidRDefault="004755F6" w:rsidP="0049547F">
            <w:pPr>
              <w:spacing w:line="360" w:lineRule="auto"/>
              <w:jc w:val="center"/>
              <w:rPr>
                <w:rFonts w:ascii="Times New Roman" w:hAnsi="Times New Roman"/>
                <w:b w:val="0"/>
                <w:sz w:val="24"/>
              </w:rPr>
            </w:pPr>
            <w:r w:rsidRPr="00C21B42">
              <w:rPr>
                <w:rFonts w:ascii="Times New Roman" w:hAnsi="Times New Roman"/>
                <w:b w:val="0"/>
                <w:sz w:val="24"/>
              </w:rPr>
              <w:t>Enriched-gene-sets</w:t>
            </w:r>
          </w:p>
        </w:tc>
        <w:tc>
          <w:tcPr>
            <w:tcW w:w="1746" w:type="dxa"/>
            <w:noWrap/>
            <w:hideMark/>
          </w:tcPr>
          <w:p w14:paraId="59D18C7F" w14:textId="1CB1E22D" w:rsidR="004755F6" w:rsidRPr="00C21B42" w:rsidRDefault="00A91BCF"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Pr>
                <w:rFonts w:ascii="Times New Roman" w:hAnsi="Times New Roman"/>
                <w:bCs/>
                <w:sz w:val="24"/>
              </w:rPr>
              <w:t>sKGBs</w:t>
            </w:r>
          </w:p>
          <w:p w14:paraId="5707BB5A"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(proposed)</w:t>
            </w:r>
          </w:p>
        </w:tc>
        <w:tc>
          <w:tcPr>
            <w:tcW w:w="2454" w:type="dxa"/>
            <w:noWrap/>
            <w:hideMark/>
          </w:tcPr>
          <w:p w14:paraId="5EAB5604" w14:textId="4D89CF32"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 xml:space="preserve">Not </w:t>
            </w:r>
            <w:r w:rsidR="00A91BCF">
              <w:rPr>
                <w:rFonts w:ascii="Times New Roman" w:hAnsi="Times New Roman"/>
                <w:bCs/>
                <w:sz w:val="24"/>
              </w:rPr>
              <w:t>sKGBs</w:t>
            </w:r>
          </w:p>
          <w:p w14:paraId="6E0FCDFD"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(proposed)</w:t>
            </w:r>
          </w:p>
        </w:tc>
        <w:tc>
          <w:tcPr>
            <w:tcW w:w="1758" w:type="dxa"/>
            <w:noWrap/>
            <w:hideMark/>
          </w:tcPr>
          <w:p w14:paraId="6F5E4A62"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rPr>
            </w:pPr>
            <w:r w:rsidRPr="00C21B42">
              <w:rPr>
                <w:rFonts w:ascii="Times New Roman" w:hAnsi="Times New Roman"/>
                <w:bCs/>
                <w:sz w:val="24"/>
              </w:rPr>
              <w:t>Marginal total</w:t>
            </w:r>
          </w:p>
        </w:tc>
      </w:tr>
      <w:tr w:rsidR="004755F6" w:rsidRPr="00C21B42" w14:paraId="7CED8D40" w14:textId="77777777" w:rsidTr="0049547F">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52FE27AB" w14:textId="77777777" w:rsidR="004755F6" w:rsidRPr="00C21B42" w:rsidRDefault="004755F6" w:rsidP="0049547F">
            <w:pPr>
              <w:spacing w:line="360" w:lineRule="auto"/>
              <w:jc w:val="center"/>
              <w:rPr>
                <w:rFonts w:ascii="Times New Roman" w:hAnsi="Times New Roman"/>
                <w:b w:val="0"/>
                <w:sz w:val="24"/>
              </w:rPr>
            </w:pPr>
            <w:r w:rsidRPr="00C21B42">
              <w:rPr>
                <w:rFonts w:ascii="Times New Roman" w:hAnsi="Times New Roman"/>
                <w:b w:val="0"/>
                <w:i/>
                <w:iCs/>
                <w:sz w:val="24"/>
              </w:rPr>
              <w:t>i</w:t>
            </w:r>
            <w:r w:rsidRPr="00C21B42">
              <w:rPr>
                <w:rFonts w:ascii="Times New Roman" w:hAnsi="Times New Roman"/>
                <w:b w:val="0"/>
                <w:sz w:val="24"/>
                <w:vertAlign w:val="superscript"/>
              </w:rPr>
              <w:t>th</w:t>
            </w:r>
            <w:r w:rsidRPr="00C21B42">
              <w:rPr>
                <w:rFonts w:ascii="Times New Roman" w:hAnsi="Times New Roman"/>
                <w:b w:val="0"/>
                <w:sz w:val="24"/>
              </w:rPr>
              <w:t xml:space="preserve"> GO-term/KEGG pathway (A</w:t>
            </w:r>
            <w:r w:rsidRPr="00C21B42">
              <w:rPr>
                <w:rFonts w:ascii="Times New Roman" w:hAnsi="Times New Roman"/>
                <w:b w:val="0"/>
                <w:i/>
                <w:iCs/>
                <w:sz w:val="24"/>
                <w:vertAlign w:val="subscript"/>
              </w:rPr>
              <w:t>i</w:t>
            </w:r>
            <w:r w:rsidRPr="00C21B42">
              <w:rPr>
                <w:rFonts w:ascii="Times New Roman" w:hAnsi="Times New Roman"/>
                <w:b w:val="0"/>
                <w:sz w:val="24"/>
              </w:rPr>
              <w:t>)</w:t>
            </w:r>
          </w:p>
        </w:tc>
        <w:tc>
          <w:tcPr>
            <w:tcW w:w="1746" w:type="dxa"/>
            <w:noWrap/>
            <w:hideMark/>
          </w:tcPr>
          <w:p w14:paraId="7B44BA03" w14:textId="77777777" w:rsidR="004755F6" w:rsidRPr="00C21B42" w:rsidRDefault="00000000"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m:oMathPara>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m:oMathPara>
          </w:p>
        </w:tc>
        <w:tc>
          <w:tcPr>
            <w:tcW w:w="2454" w:type="dxa"/>
            <w:noWrap/>
            <w:hideMark/>
          </w:tcPr>
          <w:p w14:paraId="16A0FEB4" w14:textId="77777777" w:rsidR="004755F6" w:rsidRPr="00C21B42" w:rsidRDefault="00000000"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r w:rsidR="004755F6" w:rsidRPr="00C21B42">
              <w:rPr>
                <w:rFonts w:ascii="Times New Roman" w:hAnsi="Times New Roman"/>
                <w:sz w:val="24"/>
              </w:rPr>
              <w:t xml:space="preserve">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c>
          <w:tcPr>
            <w:tcW w:w="1758" w:type="dxa"/>
            <w:noWrap/>
            <w:hideMark/>
          </w:tcPr>
          <w:p w14:paraId="3957EB60" w14:textId="77777777" w:rsidR="004755F6" w:rsidRPr="00C21B42" w:rsidRDefault="00000000"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m:oMathPara>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m:oMathPara>
          </w:p>
        </w:tc>
      </w:tr>
      <w:tr w:rsidR="004755F6" w:rsidRPr="00C21B42" w14:paraId="3F4560AF" w14:textId="77777777" w:rsidTr="0049547F">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4050C61D" w14:textId="77777777" w:rsidR="004755F6" w:rsidRPr="00C21B42" w:rsidRDefault="004755F6" w:rsidP="0049547F">
            <w:pPr>
              <w:spacing w:line="360" w:lineRule="auto"/>
              <w:jc w:val="center"/>
              <w:rPr>
                <w:rFonts w:ascii="Times New Roman" w:hAnsi="Times New Roman"/>
                <w:b w:val="0"/>
                <w:sz w:val="24"/>
              </w:rPr>
            </w:pPr>
            <w:r w:rsidRPr="00C21B42">
              <w:rPr>
                <w:rFonts w:ascii="Times New Roman" w:hAnsi="Times New Roman"/>
                <w:b w:val="0"/>
                <w:sz w:val="24"/>
              </w:rPr>
              <w:t>Complement of A</w:t>
            </w:r>
            <w:r w:rsidRPr="00C21B42">
              <w:rPr>
                <w:rFonts w:ascii="Times New Roman" w:hAnsi="Times New Roman"/>
                <w:b w:val="0"/>
                <w:i/>
                <w:iCs/>
                <w:sz w:val="24"/>
                <w:vertAlign w:val="subscript"/>
              </w:rPr>
              <w:t>i</w:t>
            </w:r>
            <w:r w:rsidRPr="00C21B42">
              <w:rPr>
                <w:rFonts w:ascii="Times New Roman" w:hAnsi="Times New Roman"/>
                <w:b w:val="0"/>
                <w:sz w:val="24"/>
              </w:rPr>
              <w:t xml:space="preserve"> (</w:t>
            </w:r>
            <m:oMath>
              <m:sSubSup>
                <m:sSubSupPr>
                  <m:ctrlPr>
                    <w:rPr>
                      <w:rFonts w:ascii="Cambria Math" w:hAnsi="Cambria Math"/>
                      <w:b w:val="0"/>
                      <w:i/>
                      <w:sz w:val="24"/>
                    </w:rPr>
                  </m:ctrlPr>
                </m:sSubSupPr>
                <m:e>
                  <m:r>
                    <m:rPr>
                      <m:sty m:val="bi"/>
                    </m:rPr>
                    <w:rPr>
                      <w:rFonts w:ascii="Cambria Math" w:hAnsi="Cambria Math"/>
                      <w:sz w:val="24"/>
                    </w:rPr>
                    <m:t>A</m:t>
                  </m:r>
                </m:e>
                <m:sub>
                  <m:r>
                    <m:rPr>
                      <m:sty m:val="bi"/>
                    </m:rPr>
                    <w:rPr>
                      <w:rFonts w:ascii="Cambria Math" w:hAnsi="Cambria Math"/>
                      <w:sz w:val="24"/>
                    </w:rPr>
                    <m:t>i</m:t>
                  </m:r>
                </m:sub>
                <m:sup>
                  <m:r>
                    <m:rPr>
                      <m:sty m:val="bi"/>
                    </m:rPr>
                    <w:rPr>
                      <w:rFonts w:ascii="Cambria Math" w:hAnsi="Cambria Math"/>
                      <w:sz w:val="24"/>
                    </w:rPr>
                    <m:t>c</m:t>
                  </m:r>
                </m:sup>
              </m:sSubSup>
              <m:r>
                <m:rPr>
                  <m:sty m:val="bi"/>
                </m:rPr>
                <w:rPr>
                  <w:rFonts w:ascii="Cambria Math" w:hAnsi="Cambria Math"/>
                  <w:sz w:val="24"/>
                </w:rPr>
                <m:t>)</m:t>
              </m:r>
            </m:oMath>
          </w:p>
        </w:tc>
        <w:tc>
          <w:tcPr>
            <w:tcW w:w="1746" w:type="dxa"/>
            <w:noWrap/>
            <w:hideMark/>
          </w:tcPr>
          <w:p w14:paraId="75CD15BB"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 xml:space="preserve">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c>
          <w:tcPr>
            <w:tcW w:w="2454" w:type="dxa"/>
            <w:noWrap/>
            <w:hideMark/>
          </w:tcPr>
          <w:p w14:paraId="57C7A6E9"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 xml:space="preserve">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r w:rsidRPr="00C21B42">
              <w:rPr>
                <w:rFonts w:ascii="Times New Roman" w:hAnsi="Times New Roman"/>
                <w:sz w:val="24"/>
              </w:rPr>
              <w:t xml:space="preserve"> – 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c>
          <w:tcPr>
            <w:tcW w:w="1758" w:type="dxa"/>
            <w:noWrap/>
            <w:hideMark/>
          </w:tcPr>
          <w:p w14:paraId="215B1BC7"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 xml:space="preserve">G - </w:t>
            </w:r>
            <m:oMath>
              <m:sSub>
                <m:sSubPr>
                  <m:ctrlPr>
                    <w:rPr>
                      <w:rFonts w:ascii="Cambria Math" w:hAnsi="Cambria Math"/>
                      <w:i/>
                      <w:sz w:val="24"/>
                    </w:rPr>
                  </m:ctrlPr>
                </m:sSubPr>
                <m:e>
                  <m:r>
                    <w:rPr>
                      <w:rFonts w:ascii="Cambria Math" w:hAnsi="Cambria Math"/>
                      <w:sz w:val="24"/>
                    </w:rPr>
                    <m:t>M</m:t>
                  </m:r>
                </m:e>
                <m:sub>
                  <m:r>
                    <w:rPr>
                      <w:rFonts w:ascii="Cambria Math" w:hAnsi="Cambria Math"/>
                      <w:sz w:val="24"/>
                    </w:rPr>
                    <m:t>i</m:t>
                  </m:r>
                </m:sub>
              </m:sSub>
            </m:oMath>
          </w:p>
        </w:tc>
      </w:tr>
      <w:tr w:rsidR="004755F6" w:rsidRPr="00C21B42" w14:paraId="7535A981" w14:textId="77777777" w:rsidTr="0049547F">
        <w:trPr>
          <w:trHeight w:val="323"/>
        </w:trPr>
        <w:tc>
          <w:tcPr>
            <w:cnfStyle w:val="001000000000" w:firstRow="0" w:lastRow="0" w:firstColumn="1" w:lastColumn="0" w:oddVBand="0" w:evenVBand="0" w:oddHBand="0" w:evenHBand="0" w:firstRowFirstColumn="0" w:firstRowLastColumn="0" w:lastRowFirstColumn="0" w:lastRowLastColumn="0"/>
            <w:tcW w:w="3618" w:type="dxa"/>
            <w:noWrap/>
            <w:hideMark/>
          </w:tcPr>
          <w:p w14:paraId="639AE6AC" w14:textId="77777777" w:rsidR="004755F6" w:rsidRPr="00C21B42" w:rsidRDefault="004755F6" w:rsidP="0049547F">
            <w:pPr>
              <w:spacing w:line="360" w:lineRule="auto"/>
              <w:jc w:val="center"/>
              <w:rPr>
                <w:rFonts w:ascii="Times New Roman" w:hAnsi="Times New Roman"/>
                <w:b w:val="0"/>
                <w:sz w:val="24"/>
              </w:rPr>
            </w:pPr>
            <w:r w:rsidRPr="00C21B42">
              <w:rPr>
                <w:rFonts w:ascii="Times New Roman" w:hAnsi="Times New Roman"/>
                <w:b w:val="0"/>
                <w:sz w:val="24"/>
              </w:rPr>
              <w:t>Marginal total</w:t>
            </w:r>
          </w:p>
        </w:tc>
        <w:tc>
          <w:tcPr>
            <w:tcW w:w="1746" w:type="dxa"/>
            <w:noWrap/>
            <w:hideMark/>
          </w:tcPr>
          <w:p w14:paraId="4890512A"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g</w:t>
            </w:r>
          </w:p>
        </w:tc>
        <w:tc>
          <w:tcPr>
            <w:tcW w:w="2454" w:type="dxa"/>
            <w:noWrap/>
            <w:hideMark/>
          </w:tcPr>
          <w:p w14:paraId="63869BB0"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G - g</w:t>
            </w:r>
          </w:p>
        </w:tc>
        <w:tc>
          <w:tcPr>
            <w:tcW w:w="1758" w:type="dxa"/>
            <w:noWrap/>
            <w:hideMark/>
          </w:tcPr>
          <w:p w14:paraId="3E0F8A33" w14:textId="77777777" w:rsidR="004755F6" w:rsidRPr="00C21B42" w:rsidRDefault="004755F6" w:rsidP="0049547F">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C21B42">
              <w:rPr>
                <w:rFonts w:ascii="Times New Roman" w:hAnsi="Times New Roman"/>
                <w:sz w:val="24"/>
              </w:rPr>
              <w:t>G (Grand total)</w:t>
            </w:r>
          </w:p>
        </w:tc>
      </w:tr>
    </w:tbl>
    <w:p w14:paraId="23F871D2" w14:textId="77777777" w:rsidR="00920A42" w:rsidRDefault="00920A42" w:rsidP="00920A42">
      <w:pPr>
        <w:spacing w:after="120" w:line="360" w:lineRule="auto"/>
        <w:jc w:val="both"/>
        <w:rPr>
          <w:rFonts w:ascii="Times New Roman" w:hAnsi="Times New Roman" w:cs="Times New Roman"/>
          <w:shd w:val="clear" w:color="auto" w:fill="FFFFFF"/>
        </w:rPr>
      </w:pPr>
    </w:p>
    <w:p w14:paraId="70902F22" w14:textId="77777777" w:rsidR="00566A42" w:rsidRDefault="00566A42" w:rsidP="00920A42">
      <w:pPr>
        <w:spacing w:after="120" w:line="360" w:lineRule="auto"/>
        <w:jc w:val="both"/>
        <w:rPr>
          <w:rFonts w:ascii="Times New Roman" w:hAnsi="Times New Roman" w:cs="Times New Roman"/>
          <w:shd w:val="clear" w:color="auto" w:fill="FFFFFF"/>
        </w:rPr>
      </w:pPr>
    </w:p>
    <w:tbl>
      <w:tblPr>
        <w:tblStyle w:val="GridTable1Light-Accent61"/>
        <w:tblW w:w="9566" w:type="dxa"/>
        <w:tblLayout w:type="fixed"/>
        <w:tblLook w:val="04A0" w:firstRow="1" w:lastRow="0" w:firstColumn="1" w:lastColumn="0" w:noHBand="0" w:noVBand="1"/>
      </w:tblPr>
      <w:tblGrid>
        <w:gridCol w:w="2628"/>
        <w:gridCol w:w="6938"/>
      </w:tblGrid>
      <w:tr w:rsidR="00920A42" w:rsidRPr="00C21B42" w14:paraId="05B5D399" w14:textId="77777777" w:rsidTr="00AE051C">
        <w:trPr>
          <w:cnfStyle w:val="100000000000" w:firstRow="1" w:lastRow="0" w:firstColumn="0" w:lastColumn="0" w:oddVBand="0" w:evenVBand="0" w:oddHBand="0"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9566" w:type="dxa"/>
            <w:gridSpan w:val="2"/>
          </w:tcPr>
          <w:p w14:paraId="0D3357A4" w14:textId="77777777" w:rsidR="00920A42" w:rsidRPr="00C21B42" w:rsidRDefault="00920A42" w:rsidP="00F07D54">
            <w:pPr>
              <w:jc w:val="both"/>
              <w:rPr>
                <w:rFonts w:ascii="Times New Roman" w:hAnsi="Times New Roman" w:cs="Times New Roman"/>
                <w:b w:val="0"/>
                <w:sz w:val="20"/>
                <w:szCs w:val="20"/>
              </w:rPr>
            </w:pPr>
            <w:r w:rsidRPr="00C21B42">
              <w:rPr>
                <w:rFonts w:ascii="Times New Roman" w:hAnsi="Times New Roman" w:cs="Times New Roman"/>
                <w:szCs w:val="20"/>
              </w:rPr>
              <w:t>Table S</w:t>
            </w:r>
            <w:r>
              <w:rPr>
                <w:rFonts w:ascii="Times New Roman" w:hAnsi="Times New Roman" w:cs="Times New Roman"/>
                <w:szCs w:val="20"/>
              </w:rPr>
              <w:t>2</w:t>
            </w:r>
            <w:r w:rsidRPr="00C21B42">
              <w:rPr>
                <w:rFonts w:ascii="Times New Roman" w:hAnsi="Times New Roman" w:cs="Times New Roman"/>
                <w:szCs w:val="20"/>
              </w:rPr>
              <w:t>.</w:t>
            </w:r>
            <w:r w:rsidRPr="00C21B42">
              <w:rPr>
                <w:rFonts w:ascii="Times New Roman" w:hAnsi="Times New Roman" w:cs="Times New Roman"/>
                <w:b w:val="0"/>
                <w:szCs w:val="20"/>
              </w:rPr>
              <w:t xml:space="preserve"> Collection of pancreatic cancer (PC) related candidate drug agents from </w:t>
            </w:r>
            <w:r w:rsidRPr="00C21B42">
              <w:rPr>
                <w:rFonts w:ascii="Times New Roman" w:hAnsi="Times New Roman" w:cs="Times New Roman"/>
                <w:b w:val="0"/>
                <w:bCs w:val="0"/>
              </w:rPr>
              <w:t xml:space="preserve">published </w:t>
            </w:r>
            <w:r w:rsidRPr="00C21B42">
              <w:rPr>
                <w:rFonts w:ascii="Times New Roman" w:hAnsi="Times New Roman" w:cs="Times New Roman"/>
                <w:b w:val="0"/>
                <w:bCs w:val="0"/>
                <w:szCs w:val="20"/>
              </w:rPr>
              <w:t>articles</w:t>
            </w:r>
          </w:p>
        </w:tc>
      </w:tr>
      <w:tr w:rsidR="00920A42" w:rsidRPr="00C21B42" w14:paraId="08571EBE" w14:textId="77777777" w:rsidTr="00AE051C">
        <w:trPr>
          <w:trHeight w:val="363"/>
        </w:trPr>
        <w:tc>
          <w:tcPr>
            <w:cnfStyle w:val="001000000000" w:firstRow="0" w:lastRow="0" w:firstColumn="1" w:lastColumn="0" w:oddVBand="0" w:evenVBand="0" w:oddHBand="0" w:evenHBand="0" w:firstRowFirstColumn="0" w:firstRowLastColumn="0" w:lastRowFirstColumn="0" w:lastRowLastColumn="0"/>
            <w:tcW w:w="2628" w:type="dxa"/>
          </w:tcPr>
          <w:p w14:paraId="2B833DB8" w14:textId="77777777" w:rsidR="00920A42" w:rsidRPr="00C21B42" w:rsidRDefault="00920A42" w:rsidP="00F07D54">
            <w:pPr>
              <w:jc w:val="both"/>
              <w:rPr>
                <w:rFonts w:ascii="Times New Roman" w:hAnsi="Times New Roman" w:cs="Times New Roman"/>
              </w:rPr>
            </w:pPr>
            <w:r w:rsidRPr="00C21B42">
              <w:rPr>
                <w:rFonts w:ascii="Times New Roman" w:hAnsi="Times New Roman" w:cs="Times New Roman"/>
              </w:rPr>
              <w:t>Articles</w:t>
            </w:r>
          </w:p>
        </w:tc>
        <w:tc>
          <w:tcPr>
            <w:tcW w:w="6938" w:type="dxa"/>
          </w:tcPr>
          <w:p w14:paraId="64E38AF7"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C21B42">
              <w:rPr>
                <w:rFonts w:ascii="Times New Roman" w:hAnsi="Times New Roman" w:cs="Times New Roman"/>
                <w:b/>
              </w:rPr>
              <w:t>Drug agents</w:t>
            </w:r>
          </w:p>
        </w:tc>
      </w:tr>
      <w:tr w:rsidR="00920A42" w:rsidRPr="00C21B42" w14:paraId="50E29DCD" w14:textId="77777777" w:rsidTr="00AE051C">
        <w:trPr>
          <w:trHeight w:val="363"/>
        </w:trPr>
        <w:tc>
          <w:tcPr>
            <w:cnfStyle w:val="001000000000" w:firstRow="0" w:lastRow="0" w:firstColumn="1" w:lastColumn="0" w:oddVBand="0" w:evenVBand="0" w:oddHBand="0" w:evenHBand="0" w:firstRowFirstColumn="0" w:firstRowLastColumn="0" w:lastRowFirstColumn="0" w:lastRowLastColumn="0"/>
            <w:tcW w:w="2628" w:type="dxa"/>
          </w:tcPr>
          <w:p w14:paraId="11431FEA" w14:textId="286B66A0"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Bayazid et al. 2022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{"citationItems":[{"id":"ITEM-1","itemData":{"DOI":"10.1016/j.compbiomed.2022.106411","ISSN":"18790534","PMID":"36502691","abstract":"Pancreatic cancer (PC) is one of the leading causes of cancer-related death globally. So, identification of potential molecular signatures is required for diagnosis, prognosis, and therapies of PC. In this study, we detected 71 common differentially expressed genes (cDEGs) between PC and control samples from four microarray gene-expression datasets (GSE15471, GSE16515, GSE71989, and GSE22780) by using robust statistical and machine learning approaches, since microarray gene-expression datasets are often contaminated by outliers due to several steps involved in the data generating processes. Then we detected 8 cDEGs (ADAM10, COL1A2, FN1, P4HB, ITGB1, ITGB5, ANXA2, and MYOF) as the PC-causing key genes (KGs) by the protein-protein interaction (PPI) network analysis. We validated the expression patterns of KGs between case and control samples by box plot analysis with the TCGA and GTEx databases. The proposed KGs showed high prognostic power with the random forest (RF) based prediction model and Kaplan-Meier-based survival probability curve. The KGs regulatory network analysis detected few transcriptional and post-transcriptional regulators for KGs. The cDEGs-set enrichment analysis revealed some crucial PC-causing molecular functions, biological processes, cellular components, and pathways that are associated with KGs. Finally, we suggested KGs-guided five repurposable drug molecules (Linsitinib, CX5461, Irinotecan, Timosaponin AIII, and Olaparib) and a new molecule (NVP-BHG712) against PC by molecular docking. The stability of the top three protein-ligand complexes was confirmed by molecular dynamic (MD) simulation studies. The cross-validation and some literature reviews also supported our findings. Therefore, the finding of this study might be useful resources to the researchers and medical doctors for diagnosis, prognosis and therapies of PC by the wet-lab validation.","author":[{"dropping-particle":"","family":"Hossen","given":"Md Bayazid","non-dropping-particle":"","parse-names":false,"suffix":""},{"dropping-particle":"","family":"Islam","given":"Md Ariful","non-dropping-particle":"","parse-names":false,"suffix":""},{"dropping-particle":"","family":"Reza","given":"Md Selim","non-dropping-particle":"","parse-names":false,"suffix":""},{"dropping-particle":"","family":"Kibria","given":"Md Kaderi","non-dropping-particle":"","parse-names":false,"suffix":""},{"dropping-particle":"","family":"Horaira","given":"Md Abu","non-dropping-particle":"","parse-names":false,"suffix":""},{"dropping-particle":"","family":"Tuly","given":"Khanis Farhana","non-dropping-particle":"","parse-names":false,"suffix":""},{"dropping-particle":"","family":"Faruqe","given":"Md Omar","non-dropping-particle":"","parse-names":false,"suffix":""},{"dropping-particle":"","family":"Kabir","given":"Firoz","non-dropping-particle":"","parse-names":false,"suffix":""},{"dropping-particle":"","family":"Mollah","given":"Md Nurul Haque","non-dropping-particle":"","parse-names":false,"suffix":""}],"container-title":"Computers in Biology and Medicine","id":"ITEM-1","issue":"106411","issued":{"date-parts":[["2023"]]},"page":"106411","title":"Robust identification of common genomic biomarkers from multiple gene expression profiles for the prognosis, diagnosis, and therapies of pancreatic cancer","type":"article-journal","volume":"152"},"uris":["http://www.mendeley.com/documents/?uuid=1ce164a1-8f57-440c-a4ea-9f6b55875248"]}],"mendeley":{"formattedCitation":"[35]","plainTextFormattedCitation":"[35]","previouslyFormattedCitation":"[35]"},"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[35]</w:t>
            </w:r>
            <w:r w:rsidRPr="00C21B42">
              <w:rPr>
                <w:rFonts w:ascii="Times New Roman" w:hAnsi="Times New Roman" w:cs="Times New Roman"/>
              </w:rPr>
              <w:fldChar w:fldCharType="end"/>
            </w:r>
          </w:p>
        </w:tc>
        <w:tc>
          <w:tcPr>
            <w:tcW w:w="6938" w:type="dxa"/>
          </w:tcPr>
          <w:p w14:paraId="572C1305"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rPr>
            </w:pPr>
            <w:r w:rsidRPr="00C21B42">
              <w:rPr>
                <w:rFonts w:ascii="Times New Roman" w:hAnsi="Times New Roman" w:cs="Times New Roman"/>
                <w:bCs/>
              </w:rPr>
              <w:t>NVP-BHG712, Linsitinib, CX5461, Irinotecan, Timosaponin AIII, and Olaparib</w:t>
            </w:r>
          </w:p>
        </w:tc>
      </w:tr>
      <w:tr w:rsidR="00920A42" w:rsidRPr="00C21B42" w14:paraId="066A3266"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20CCAC66" w14:textId="02073131"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Gao et al. 2021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{"citationItems":[{"id":"ITEM-1","itemData":{"DOI":"10.1002/ptr.6847","ISSN":"10991573","PMID":"32965773","abstract":"Pancreatic cancer is a disease with a high mortality rate. Although survival rates for different types of cancers have improved in recent years, the five-year survival rate of pancreatic cancer stands at 8%. Moreover, the current first-line therapy, gemcitabine, results in low remission rates and is associated with drug resistance problems. Alternative treatments for pancreatic cancer such as surgery, chemotherapy and radiation therapy provide marginal remission and survival rates. This calls for the search of more effective drugs or treatments. Traditional Chinese medicine contains numerous bioactive ingredients some of which show activity against pancreatic cancer. In this review, we summarize the mechanisms of five types of traditional Chinese medicine monomers. In so-doing, we provide new potential drug candidates for the treatment of pancreatic cancer.","author":[{"dropping-particle":"","family":"Gao","given":"Yue","non-dropping-particle":"","parse-names":false,"suffix":""},{"dropping-particle":"","family":"Chen","given":"Shiyu","non-dropping-particle":"","parse-names":false,"suffix":""},{"dropping-particle":"","family":"Sun","given":"Jiayi","non-dropping-particle":"","parse-names":false,"suffix":""},{"dropping-particle":"","family":"Su","given":"Siyu","non-dropping-particle":"","parse-names":false,"suffix":""},{"dropping-particle":"","family":"Yang","given":"Dong","non-dropping-particle":"","parse-names":false,"suffix":""},{"dropping-particle":"","family":"Xiang","given":"Li","non-dropping-particle":"","parse-names":false,"suffix":""},{"dropping-particle":"","family":"Meng","given":"Xianli","non-dropping-particle":"","parse-names":false,"suffix":""}],"container-title":"Phytotherapy Research","id":"ITEM-1","issue":"2","issued":{"date-parts":[["2021"]]},"page":"603-628","title":"Traditional Chinese medicine may be further explored as candidate drugs for pancreatic cancer: A review","type":"article-journal","volume":"35"},"uris":["http://www.mendeley.com/documents/?uuid=66eb955a-5707-4cc3-ba0c-4962c5556187"]}],"mendeley":{"formattedCitation":"[36]","plainTextFormattedCitation":"[36]","previouslyFormattedCitation":"[36]"},"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[36]</w:t>
            </w:r>
            <w:r w:rsidRPr="00C21B42">
              <w:rPr>
                <w:rFonts w:ascii="Times New Roman" w:hAnsi="Times New Roman" w:cs="Times New Roman"/>
              </w:rPr>
              <w:fldChar w:fldCharType="end"/>
            </w:r>
          </w:p>
          <w:p w14:paraId="66FE803F" w14:textId="77777777" w:rsidR="00920A42" w:rsidRPr="00C21B42" w:rsidRDefault="00920A42" w:rsidP="00F07D54">
            <w:pPr>
              <w:jc w:val="both"/>
              <w:rPr>
                <w:rFonts w:ascii="Times New Roman" w:hAnsi="Times New Roman" w:cs="Times New Roman"/>
              </w:rPr>
            </w:pPr>
          </w:p>
        </w:tc>
        <w:tc>
          <w:tcPr>
            <w:tcW w:w="6938" w:type="dxa"/>
          </w:tcPr>
          <w:p w14:paraId="4C8ADDC2"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Quercetin, Xanthohumol, Baicalein, Luteolin, Silibinin, Apigenin, Wogonin, Aglycones, Hyperoside, Kaempferol, Isoquercitrin, Isorhamnetin, Berberine, Matrine, Dihydrosanguinarine, Palmatine, Tetrandrine, Sophoridine, Phellodendrine Chloride, Rhazya Stricta, Cordycepin, Cantharidin, Alantolactone, Triptolide, Paeoniflorin, Britanni, Eriocalyxin B, Nimbolide, Toosendanin, Artesunate, Maslinic Acid, Ginkgolide B, Resveratrol, Curcumin, Ferulic Acid, Rosmarinic Acid, Ellagic Acid, Pterostilbene, P. Suffruticosa Aqueous Extracts, Emodin, Tanshinone Iia, Plumbagin, Shikonin, Sennoside A, Osthole, Licocoumarone, Bufalin, Withaferin A, Ginsenoside Rg3, Timosaponin-Aiii, Astragalus Polysaccharide.</w:t>
            </w:r>
          </w:p>
        </w:tc>
      </w:tr>
      <w:tr w:rsidR="00920A42" w:rsidRPr="00C21B42" w14:paraId="2D0A5647" w14:textId="77777777" w:rsidTr="00AE051C">
        <w:trPr>
          <w:trHeight w:val="250"/>
        </w:trPr>
        <w:tc>
          <w:tcPr>
            <w:cnfStyle w:val="001000000000" w:firstRow="0" w:lastRow="0" w:firstColumn="1" w:lastColumn="0" w:oddVBand="0" w:evenVBand="0" w:oddHBand="0" w:evenHBand="0" w:firstRowFirstColumn="0" w:firstRowLastColumn="0" w:lastRowFirstColumn="0" w:lastRowLastColumn="0"/>
            <w:tcW w:w="2628" w:type="dxa"/>
          </w:tcPr>
          <w:p w14:paraId="331C1B24" w14:textId="7F34826C"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Ilmer et al. 2019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10.1097/PPO.0000000000000372","ISSN":"1540336X","PMID":"30896536","author":[{"dropping-particle":"","family":"Ilmer","given":"Matthias","non-dropping-particle":"","parse-names":false,"suffix":""},{"dropping-particle":"","family":"Westphalen","given":"C. Benedikt","non-dropping-particle":"","parse-names":false,"suffix":""},{"dropping-particle":"","family":"Niess","given":"Hanno","non-dropping-particle":"","parse-names":false,"suffix":""},{"dropping-particle":"","family":"D'Haese","given":"Jan G.","non-dropping-particle":"","parse-names":false,"suffix":""},{"dropping-particle":"","family":"Angele","given":"Martin K.","non-dropping-particle":"","parse-names":false,"suffix":""},{"dropping-particle":"","family":"Werner","given":"Jens","non-dropping-particle":"","parse-names":false,"suffix":""},{"dropping-particle":"","family":"Renz","given":"Bernhard W.","non-dropping-particle":"","parse-names":false,"suffix":""}],"container-title":"Cancer Journal (United States)","id":"ITEM-1","issue":"2","issued":{"date-parts":[["2019"]]},"page":"134-138","title":"Repurposed Drugs in Pancreatic Ductal Adenocarcinoma: An Update","type":"article-journal","volume":"25"},"uris":["http://www.mendeley.com/documents/?uuid=bf7e5e5d-3c14-45ac-8265-528c39e23187"]}],"mendeley":{"formattedCitation":"[37]","plainTextFormattedCitation":"[37]","previouslyFormattedCitation":"[37]"},"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[37]</w:t>
            </w:r>
            <w:r w:rsidRPr="00C21B42">
              <w:rPr>
                <w:rFonts w:ascii="Times New Roman" w:hAnsi="Times New Roman" w:cs="Times New Roman"/>
              </w:rPr>
              <w:fldChar w:fldCharType="end"/>
            </w:r>
          </w:p>
        </w:tc>
        <w:tc>
          <w:tcPr>
            <w:tcW w:w="6938" w:type="dxa"/>
          </w:tcPr>
          <w:p w14:paraId="584A14BC"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Itraconazole, Losartan, Disulfiram, Plerixafor, Chloroquine, Hydroxychloroquine, Vitamin D, Haloperidol, Pirfenidone.</w:t>
            </w:r>
          </w:p>
        </w:tc>
      </w:tr>
      <w:tr w:rsidR="00920A42" w:rsidRPr="00C21B42" w14:paraId="166FC723"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009C9D71" w14:textId="4C9F292F"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Sugarman et al. 2019a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{"citationItems":[{"id":"ITEM-1","itemData":{"DOI":"10.1080/17425255.2019.1637417","ISSN":"17447607","abstract":"Introduction: Pancreatic cancer (PC) remains a disease with a dismal prognosis. Despite accounting for only 3% of cancer diagnosis, 7% of all cancer deaths in the United States are from PC. This is explained by many being diagnosed with late-stage disease and the cancer’s resistance to chemotherapy. Since 1996 there have only been two upfront regimens found to be superior to gemcitabine, FOLFIRINOX (5-fluorouracil/leucovorin and oxaliplatin) and gemcitabine plus nab-paclitaxel. Areas covered: Clinical pharmacology of newer agents that are either approved or being investigated in the management of PC. Knowledge of their pharmacokinetics, pharmacodynamics, and pharmacogenetics can be used to predict outcomes for specific patient populations. Drugs discussed include nanoliposomal irinotecan, pegvorhyaluronidase alfa, poly (ADP-ribose) polymerase enzyme inhibitors, larotrectinib, and napabucasin. Expert opinion: PC is a heterogeneous disease and outcomes are likely to improve as better predictive models of an individual’s response to different therapies are developed. This may be best accomplished through phase 0 studies and the use of tumor organoid models grown from initial biopsies or resected tissue. The genetic and physical makeup of the tumor as well as the functional characterization in patient-derived organoids (PDOs), can help guide which agents may be most efficacious or toxic.","author":[{"dropping-particle":"","family":"Sugarman","given":"Ryan","non-dropping-particle":"","parse-names":false,"suffix":""},{"dropping-particle":"","family":"Patel","given":"Rajvi","non-dropping-particle":"","parse-names":false,"suffix":""},{"dropping-particle":"","family":"Sharma","given":"Sandhya","non-dropping-particle":"","parse-names":false,"suffix":""},{"dropping-particle":"","family":"Plenker","given":"Dennis","non-dropping-particle":"","parse-names":false,"suffix":""},{"dropping-particle":"","family":"Tuveson","given":"David","non-dropping-particle":"","parse-names":false,"suffix":""},{"dropping-particle":"","family":"Saif","given":"Muhammad Wasif","non-dropping-particle":"","parse-names":false,"suffix":""}],"container-title":"Expert Opinion on Drug Metabolism and Toxicology","id":"ITEM-1","issue":"7","issued":{"date-parts":[["2019"]]},"title":"Pharmacokinetics and pharmacodynamics of new drugs for pancreatic cancer","type":"article","volume":"15"},"uris":["http://www.mendeley.com/documents/?uuid=219c6ad4-b55a-3605-ae68-2cdcc74c1f90"]}],"mendeley":{"formattedCitation":"[38]","plainTextFormattedCitation":"[38]","previouslyFormattedCitation":"[38]"},"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[38]</w:t>
            </w:r>
            <w:r w:rsidRPr="00C21B42">
              <w:rPr>
                <w:rFonts w:ascii="Times New Roman" w:hAnsi="Times New Roman" w:cs="Times New Roman"/>
              </w:rPr>
              <w:fldChar w:fldCharType="end"/>
            </w:r>
          </w:p>
        </w:tc>
        <w:tc>
          <w:tcPr>
            <w:tcW w:w="6938" w:type="dxa"/>
          </w:tcPr>
          <w:p w14:paraId="13509BA5"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Gemcitabine, 5-Fluorouracil, Leucovorin, Oxaliplatin, Irinotecan, Rucaparib, Olaparib, Larotrectinib, Napabucasin, Nab-Paclitaxel, Paclitaxel, Cisplatin.</w:t>
            </w:r>
          </w:p>
        </w:tc>
      </w:tr>
      <w:tr w:rsidR="00920A42" w:rsidRPr="00C21B42" w14:paraId="5899CCDD"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59373F8D" w14:textId="3CDA52F7"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G. Gao et al. 2019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{"citationItems":[{"id":"ITEM-1","itemData":{"DOI":"10.1080/1061186X.2018.1564924","ISSN":"10292330","PMID":"30596288","abstract":"Pancreatic cancer (PC) is highly malignant with a low 5-year survival rate. PC currently does not have good early diagnostic markers and responses poorly to chemotherapeutic drugs. The search for better biomarkers and developing more effective chemotherapy are important ways to improve the healthcare of PC patients. Aptamers are single-stranded nucleic acids with high binding affinity and specificity to target molecules. Many aptamers against different forms of cancer including PC have been selected for both diagnostic and therapeutic use. Aptamers can work as ligands to distinguish tumour cells from normal cells. Using cells as selection targets, the obtained aptamers have been used to discover new cancer biomarkers after identification of the binding target. Aptamers have been shown to have antagonists effect on cancer cell proliferation, apoptosis, and metastasis. In addition, aptamers have been used as carriers to deliver therapeutic agents to selectively kill PC cells. This review summarises the potential use of aptamers in the diagnosis and treatment of PC.","author":[{"dropping-particle":"","family":"Gao","given":"Ge","non-dropping-particle":"","parse-names":false,"suffix":""},{"dropping-particle":"","family":"Liu","given":"Can","non-dropping-particle":"","parse-names":false,"suffix":""},{"dropping-particle":"","family":"Jain","given":"Sona","non-dropping-particle":"","parse-names":false,"suffix":""},{"dropping-particle":"","family":"Li","given":"Dai","non-dropping-particle":"","parse-names":false,"suffix":""},{"dropping-particle":"","family":"Wang","given":"Hai","non-dropping-particle":"","parse-names":false,"suffix":""},{"dropping-particle":"","family":"Zhao","given":"Yongxin","non-dropping-particle":"","parse-names":false,"suffix":""},{"dropping-particle":"","family":"Liu","given":"Juewen","non-dropping-particle":"","parse-names":false,"suffix":""}],"container-title":"Journal of Drug Targeting","id":"ITEM-1","issue":"8","issued":{"date-parts":[["2019"]]},"page":"853-865","publisher":"Taylor &amp; Francis","title":"Potential use of aptamers for diagnosis and treatment of pancreatic cancer","type":"article-journal","volume":"27"},"uris":["http://www.mendeley.com/documents/?uuid=b3ce4876-cecf-4a90-a273-854e35a0c8da"]}],"mendeley":{"formattedCitation":"[39]","plainTextFormattedCitation":"[39]","previouslyFormattedCitation":"[39]"},"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[39]</w:t>
            </w:r>
            <w:r w:rsidRPr="00C21B42">
              <w:rPr>
                <w:rFonts w:ascii="Times New Roman" w:hAnsi="Times New Roman" w:cs="Times New Roman"/>
              </w:rPr>
              <w:fldChar w:fldCharType="end"/>
            </w:r>
          </w:p>
        </w:tc>
        <w:tc>
          <w:tcPr>
            <w:tcW w:w="6938" w:type="dxa"/>
          </w:tcPr>
          <w:p w14:paraId="378DDE66"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Doxorubicin, Gemcitabine , 5-Fluorouracil, Triptolide.</w:t>
            </w:r>
          </w:p>
        </w:tc>
      </w:tr>
      <w:tr w:rsidR="00920A42" w:rsidRPr="00C21B42" w14:paraId="35ACAAD2"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1F552403" w14:textId="76A50B23"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Ma et al. 2016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{"citationItems":[{"id":"ITEM-1","itemData":{"DOI":"10.1371/journal.pone.0149896","ISSN":"19326203","PMID":"26910401","abstract":"Pancreatic cancer is the leading cause of death from solid malignancies worldwide. Currently, gemcitabine is the only drug approved for treating pancreatic cancer. Developing new therapeutic drugs for this disease is, therefore, an urgent need. The C-Map project has provided a wealth of gene expression data that can be mined for repositioning drugs, a promising approach to new drug discovery. Typically, a drug is considered potentially useful for treating a disease if the drug-induced differential gene expression profile is negatively correlated with the differentially expressed genes in the target disease. However, many of the potentially useful drugs (PUDs) identified by gene expression profile correlation are likely false positives because, in C-Map, the cultured cell lines to which the drug is applied are not derived from diseased tissues. To solve this problem, we developed a combined approach for predicting candidate drugs for treating pancreatic cancer. We first identified PUDs for pancreatic cancer by using C-Map-based gene expression correlation analyses. We then applied an algorithm (Met-express) to predict key pancreatic cancer (KPC) enzymes involved in pancreatic cancer metabolism. Finally, we selected candidates from the PUDs by requiring that their targets be KPC enzymes or the substrates/products of KPC enzymes. Using this combined approach, we predicted seven candidate drugs for treating pancreatic cancer, three of which are supported by literature evidence, and three were experimentally validated to be inhibitory to pancreatic cancer celllines.","author":[{"dropping-particle":"","family":"Ma","given":"Yanfen","non-dropping-particle":"","parse-names":false,"suffix":""},{"dropping-particle":"","family":"Hu","given":"Jian","non-dropping-particle":"","parse-names":false,"suffix":""},{"dropping-particle":"","family":"Zhang","given":"Ning","non-dropping-particle":"","parse-names":false,"suffix":""},{"dropping-particle":"","family":"Dong","given":"Xinran","non-dropping-particle":"","parse-names":false,"suffix":""},{"dropping-particle":"","family":"Li","given":"Ying","non-dropping-particle":"","parse-names":false,"suffix":""},{"dropping-particle":"","family":"Yang","given":"Bo","non-dropping-particle":"","parse-names":false,"suffix":""},{"dropping-particle":"","family":"Tian","given":"Weidong","non-dropping-particle":"","parse-names":false,"suffix":""},{"dropping-particle":"","family":"Wang","given":"Xiaoqin","non-dropping-particle":"","parse-names":false,"suffix":""}],"container-title":"PLoS ONE","id":"ITEM-1","issue":"2","issued":{"date-parts":[["2016"]]},"page":"1-13","title":"Prediction of candidate drugs for treating pancreatic cancer by using a combined approach","type":"article-journal","volume":"11"},"uris":["http://www.mendeley.com/documents/?uuid=721f3a45-83f9-4cb7-9040-1ffe382dfeeb"]}],"mendeley":{"formattedCitation":"[40]","plainTextFormattedCitation":"[40]","previouslyFormattedCitation":"[40]"},"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[40]</w:t>
            </w:r>
            <w:r w:rsidRPr="00C21B42">
              <w:rPr>
                <w:rFonts w:ascii="Times New Roman" w:hAnsi="Times New Roman" w:cs="Times New Roman"/>
              </w:rPr>
              <w:fldChar w:fldCharType="end"/>
            </w:r>
          </w:p>
        </w:tc>
        <w:tc>
          <w:tcPr>
            <w:tcW w:w="6938" w:type="dxa"/>
          </w:tcPr>
          <w:p w14:paraId="205345E2"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Nocodazole, Tretinoin, Arachidonicacid, Biotin, Finasteride, Progesterone, Cyclizine.</w:t>
            </w:r>
          </w:p>
        </w:tc>
      </w:tr>
      <w:tr w:rsidR="00920A42" w:rsidRPr="00C21B42" w14:paraId="1C567ECC"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3C220B36" w14:textId="66E9465A"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Assaf et al. 2011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{"citationItems":[{"id":"ITEM-1","itemData":{"DOI":"10.1159/000329803","ISSN":"00302414","PMID":"21778770","abstract":"Background: To evaluate the efficacy and toxicity of irinotecan and oxaliplatin plus 5-fluorouracil (FU) and leucovorin (FOLFIRINOX) as second-line therapy in metastatic pancreatic adenocarcinoma (MPA). Patients and Methods: We retrospectively analyzed the medical records of 27 patients with MPA treated with FOLFIRINOX as second-line therapy between January 2003 and November 2009 in our hospital. The recommended schedule was oxaliplatin 85 mg/m2 on day 1 + irinotecan 180 mg/m2 on day 1 + leucovorin 400 mg/m 2 on day 1 followed by FU 400 mg/m2 as a bolus on day 1 and 2,400 mg/m2 as 46-hour continuous infusion biweekly. Results: The median age of the 27 patients (13 males and 14 females) was 63 years (45-83). All patients had progressive disease after first-line chemotherapy by gemcitabine. A total of 167 cycles were administered, with a median number of 6 cycles (1-29) per patient. One toxic death occurred (sepsis). Tolerance of treatment was acceptable, and the relative dose density delivered per patient was 92.8% for oxaliplatin, 89.1% for irinotecan and 96.4% for FU. Grade 3-4 neutropenia occurred in 55.6% of the patients, including 1 febrile neutropenia. The other toxicities were manageable. Regarding efficacy, 22 of the 27 patients were evaluable (WHO and RECIST criteria). Five patients had partial responses and 12 stable disease, resulting in an overall disease control rate of 63%. Median time to progression was 5.4 months (0.7-25.48), and median event-free survival was 3 months (0.5-24.9). Median overall survival was 8.5 months (0-26). A clinical benefit was reported for 55% of the patients. Conclusions: These results confirmed the good safety profile and the efficacy of the FOLFIRINOX regimen as second-line treatment of MPA. Copyright © 2011 S. Karger AG, Basel.","author":[{"dropping-particle":"","family":"Assaf","given":"Elias","non-dropping-particle":"","parse-names":false,"suffix":""},{"dropping-particle":"","family":"Verlinde-Carvalho","given":"Muriel","non-dropping-particle":"","parse-names":false,"suffix":""},{"dropping-particle":"","family":"Delbaldo","given":"Catherine","non-dropping-particle":"","parse-names":false,"suffix":""},{"dropping-particle":"","family":"Grenier","given":"Julien","non-dropping-particle":"","parse-names":false,"suffix":""},{"dropping-particle":"","family":"Sellam","given":"Zineb","non-dropping-particle":"","parse-names":false,"suffix":""},{"dropping-particle":"","family":"Pouessel","given":"Damien","non-dropping-particle":"","parse-names":false,"suffix":""},{"dropping-particle":"","family":"Bouaita","given":"Linda","non-dropping-particle":"","parse-names":false,"suffix":""},{"dropping-particle":"","family":"Baumgaertner","given":"Isabelle","non-dropping-particle":"","parse-names":false,"suffix":""},{"dropping-particle":"","family":"Sobhani","given":"Iradj","non-dropping-particle":"","parse-names":false,"suffix":""},{"dropping-particle":"","family":"Tayar","given":"Claude","non-dropping-particle":"","parse-names":false,"suffix":""},{"dropping-particle":"","family":"Paul","given":"Muriel","non-dropping-particle":"","parse-names":false,"suffix":""},{"dropping-particle":"","family":"Culine","given":"Stéphane","non-dropping-particle":"","parse-names":false,"suffix":""}],"container-title":"Oncology","id":"ITEM-1","issue":"5-6","issued":{"date-parts":[["2011"]]},"page":"301-306","title":"5-Fluorouracil/leucovorin combined with irinotecan and oxaliplatin (FOLFIRINOX) as second-line chemotherapy in patients with metastatic pancreatic adenocarcinoma","type":"article-journal","volume":"80"},"uris":["http://www.mendeley.com/documents/?uuid=90a938c9-b29c-43f6-bcc2-92846c406536"]}],"mendeley":{"formattedCitation":"[41]","plainTextFormattedCitation":"[41]","previouslyFormattedCitation":"[41]"},"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[41]</w:t>
            </w:r>
            <w:r w:rsidRPr="00C21B42">
              <w:rPr>
                <w:rFonts w:ascii="Times New Roman" w:hAnsi="Times New Roman" w:cs="Times New Roman"/>
              </w:rPr>
              <w:fldChar w:fldCharType="end"/>
            </w:r>
          </w:p>
        </w:tc>
        <w:tc>
          <w:tcPr>
            <w:tcW w:w="6938" w:type="dxa"/>
          </w:tcPr>
          <w:p w14:paraId="0114F70E"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5-Fluorouracil, Leucovorin, Irinotecan, Oxaliplatin.</w:t>
            </w:r>
          </w:p>
        </w:tc>
      </w:tr>
      <w:tr w:rsidR="00920A42" w:rsidRPr="00C21B42" w14:paraId="794EF5CC"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3D4B201E" w14:textId="4A941470"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Khare et al. 2014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{"citationItems":[{"id":"ITEM-1","itemData":{"DOI":"10.1166/jbn.2014.2036","ISSN":"15507041","PMID":"26000366","abstract":"Pancreatic cancer is usually diagnosed at the advanced stages, responds poorly to the available chemotherapeutics and constitutes the major factor for high mortality rate. Selective delivery of therapeutics to their cellular targets, without side effects is the foremost objective of the current investigations for effective treatment of pancreatic cancer. The development of the drugs which can selectively target pancreatic cancer along with carriers that can deliver drugs specifically to the rapidly dividing cells is considered as magic bullet for the efficient treatment of this fatal disease. This review describes various factors hampering the efficacy of drug targeting to pancreatic cancer including stromal fortress, hypocascularity, hyaluronan and interstitial fluid pressure, and exploration of various cellular targets for the site specific drug delivery. An account of burgeoning applications of novel drug delivery systems including nanoparticles, liposomes, quantum dots, micelles and drug conjugates in the management of pancreatic cancer is also provided. Additionally, potential of target based therapeutic agents and nanomedicines in clinical trials for the pancreatic cancer therapy are highlighted.","author":[{"dropping-particle":"","family":"Khare","given":"Vaibhav","non-dropping-particle":"","parse-names":false,"suffix":""},{"dropping-particle":"","family":"Alam","given":"Noor","non-dropping-particle":"","parse-names":false,"suffix":""},{"dropping-particle":"","family":"Saneja","given":"Ankit","non-dropping-particle":"","parse-names":false,"suffix":""},{"dropping-particle":"","family":"Dubey","given":"Ravindra Dhar","non-dropping-particle":"","parse-names":false,"suffix":""},{"dropping-particle":"","family":"Gupta","given":"Prem N.","non-dropping-particle":"","parse-names":false,"suffix":""}],"container-title":"Journal of Biomedical Nanotechnology","id":"ITEM-1","issue":"12","issued":{"date-parts":[["2014"]]},"page":"3462-3482","title":"Targeted drug delivery systems for pancreatic cancer","type":"article-journal","volume":"10"},"uris":["http://www.mendeley.com/documents/?uuid=adcec3c5-16f9-4901-869b-5539310ff20b"]}],"mendeley":{"formattedCitation":"[42]","plainTextFormattedCitation":"[42]","previouslyFormattedCitation":"[42]"},"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[42]</w:t>
            </w:r>
            <w:r w:rsidRPr="00C21B42">
              <w:rPr>
                <w:rFonts w:ascii="Times New Roman" w:hAnsi="Times New Roman" w:cs="Times New Roman"/>
              </w:rPr>
              <w:fldChar w:fldCharType="end"/>
            </w:r>
          </w:p>
        </w:tc>
        <w:tc>
          <w:tcPr>
            <w:tcW w:w="6938" w:type="dxa"/>
          </w:tcPr>
          <w:p w14:paraId="061BF33C"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Linsitinib, BMS-754807, Cetuximab, Erlotinib, Gefitinib, Bevacizumab, Sorafenib, Sunitinib, CI-1040, AZD6244, Vismodegib, IPI-926(Saridegib), Lde-225(Sonidegib), Temsirolimus, Everolimus, Deforolimus, XL-765, BKM-120(Buparlisib), MK-2206, Mapatumumab.</w:t>
            </w:r>
          </w:p>
        </w:tc>
      </w:tr>
      <w:tr w:rsidR="00920A42" w:rsidRPr="00C21B42" w14:paraId="638D4E25"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65388B5E" w14:textId="1C0B95B3"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Luo et al. 2021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{"citationItems":[{"id":"ITEM-1","itemData":{"DOI":"10.1016/j.critrevonc.2021.103236","ISSN":"18790461","PMID":"33482351","abstract":"Dissemination of cancer cells is an intricate multistep process that represents the most deadly aspect of cancer. Cancer cells form F-actin-rich protrusions known as invadopodia to invade surrounding tissues, blood vessels and lymphatics. A number of studies have demonstrated the significant roles of invadopodia in cancer. Therefore, the specific cells and molecules involved in invadopodia activity can provide as therapeutic targets. In this review, we included a thorough overview of studies in invadopodia and discussed their functions in cancer metastasis. We then presented the specific cells and molecules involved in invadopodia activity in pancreatic cancer and analyzed their suitability to be effective therapeutic targets. Currently, drugs targeting invadopodia and relevant clinical trials are negligible. Here, we highlighted the significance of potential drugs and discussed future obstacles in implementing clinical trials. This review presents a new perspective on invadopodia-induced pancreatic cancer metastasis and may prosper the development of targeted therapeutics against pancreatic cancer.","author":[{"dropping-particle":"","family":"Luo","given":"Yan","non-dropping-particle":"","parse-names":false,"suffix":""},{"dropping-particle":"","family":"Hu","given":"Jisheng","non-dropping-particle":"","parse-names":false,"suffix":""},{"dropping-particle":"","family":"Liu","given":"Yong","non-dropping-particle":"","parse-names":false,"suffix":""},{"dropping-particle":"","family":"Li","given":"Le","non-dropping-particle":"","parse-names":false,"suffix":""},{"dropping-particle":"","family":"Li","given":"Yilong","non-dropping-particle":"","parse-names":false,"suffix":""},{"dropping-particle":"","family":"Sun","given":"Bei","non-dropping-particle":"","parse-names":false,"suffix":""},{"dropping-particle":"","family":"Kong","given":"Rui","non-dropping-particle":"","parse-names":false,"suffix":""}],"container-title":"Critical Reviews in Oncology/Hematology","id":"ITEM-1","issue":"January","issued":{"date-parts":[["2021"]]},"title":"Invadopodia: A potential target for pancreatic cancer therapy","type":"article-journal","volume":"159"},"uris":["http://www.mendeley.com/documents/?uuid=39f473ca-a807-4132-81a0-e1581c85bdf9"]}],"mendeley":{"formattedCitation":"[43]","plainTextFormattedCitation":"[43]","previouslyFormattedCitation":"[43]"},"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[43]</w:t>
            </w:r>
            <w:r w:rsidRPr="00C21B42">
              <w:rPr>
                <w:rFonts w:ascii="Times New Roman" w:hAnsi="Times New Roman" w:cs="Times New Roman"/>
              </w:rPr>
              <w:fldChar w:fldCharType="end"/>
            </w:r>
          </w:p>
        </w:tc>
        <w:tc>
          <w:tcPr>
            <w:tcW w:w="6938" w:type="dxa"/>
          </w:tcPr>
          <w:p w14:paraId="45478385"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Aflibercept, Bevacizumab, Cabozantinib, Cetuximab,Dasatinib, Erlotinib, Everolimus, Nimotuzumab, Propranolol, Sirolimus, Sorafenib, Sunitinib, Talabostat, Tocilizumab.</w:t>
            </w:r>
          </w:p>
        </w:tc>
      </w:tr>
      <w:tr w:rsidR="00920A42" w:rsidRPr="00C21B42" w14:paraId="1B94395B"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3EFBD08F" w14:textId="17487DB5" w:rsidR="00920A42" w:rsidRPr="00C21B42" w:rsidRDefault="00920A42" w:rsidP="00F07D54">
            <w:pPr>
              <w:jc w:val="both"/>
              <w:rPr>
                <w:rFonts w:ascii="Times New Roman" w:hAnsi="Times New Roman" w:cs="Times New Roman"/>
              </w:rPr>
            </w:pPr>
            <w:r w:rsidRPr="00C21B42">
              <w:rPr>
                <w:rFonts w:ascii="Times New Roman" w:hAnsi="Times New Roman" w:cs="Times New Roman"/>
              </w:rPr>
              <w:lastRenderedPageBreak/>
              <w:t xml:space="preserve">Yarchoan et al. 2017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{"citationItems":[{"id":"ITEM-1","itemData":{"DOI":"10.18632/oncotarget.17237","ISSN":"19492553","abstract":"Background: Olaparib is an oral inhibitor of polyadenosine 5'-diphosphoribose polymerization (PARP) that has previously shown signs of activity in patients with BRCA mutations and pancreatic ductal adenocarcinoma (PDAC). Patients and Methods: In this phase 1 dose-escalation trial in patients with unresectable PDAC, we determined the maximum tolerated dose (MTD) of olaparib (tablet formulation) in combination with irinotecan 70 mg/m2 on days 1 and 8 and cisplatin 25 mg/m2 on days 1 and 8 of a 28-day cycle (olaparib plus IC). We then studied the safety and tolerability of adding mitomycin C 5 mg/m2 on day 1 to this regimen (olaparib plus ICM). Results: 18 patients with unresectable PDAC were enrolled. The MTD of olaparib plus IC was olaparib 100 mg twice-daily on days 1 and 8. The addition of mitomycin C to this dose level was not tolerated. Grade ≥ 3 drug-related adverse events (AEs) were encountered in 16 patients (89%). The most common grade ≥ 3 drug-related toxicities included neutropenia (89%), lymphopenia (72%), and anemia (22%). Two patients (11%), both of whom had remained on study for more than 12 cycles, developed drug-related myelodysplastic syndrome (MDS). The objective response rate (ORR) for all evaluable patients was 23%. One patient who carried a deleterious germline BRCA2 mutation had a durable clinical response lasting more than four years, but died from complications of treatment-related MDS. Conclusions: Olaparib had substantial toxicity when combined with IC or ICM in patients with PDAC, and this treatment combination did not have an acceptable risk/ benefit profile for further study. However, durable clinical responses were observed in a subset of patients and further clinical investigation of PARP inhibitors in PDAC is warranted.","author":[{"dropping-particle":"","family":"Yarchoan","given":"Mark","non-dropping-particle":"","parse-names":false,"suffix":""},{"dropping-particle":"","family":"Myzak","given":"Melinda C.","non-dropping-particle":"","parse-names":false,"suffix":""},{"dropping-particle":"","family":"Johnson","given":"Burles A.","non-dropping-particle":"","parse-names":false,"suffix":""},{"dropping-particle":"","family":"Jesus-Acosta","given":"Ana D.","non-dropping-particle":"De","parse-names":false,"suffix":""},{"dropping-particle":"","family":"Le","given":"Dung T.","non-dropping-particle":"","parse-names":false,"suffix":""},{"dropping-particle":"","family":"Jaffee","given":"Elizabeth M.","non-dropping-particle":"","parse-names":false,"suffix":""},{"dropping-particle":"","family":"Azad","given":"Nilofer S.","non-dropping-particle":"","parse-names":false,"suffix":""},{"dropping-particle":"","family":"Donehower","given":"Ross C.","non-dropping-particle":"","parse-names":false,"suffix":""},{"dropping-particle":"","family":"Zheng","given":"Lei","non-dropping-particle":"","parse-names":false,"suffix":""},{"dropping-particle":"","family":"Oberstein","given":"Paul E.","non-dropping-particle":"","parse-names":false,"suffix":""},{"dropping-particle":"","family":"Fine","given":"Robert L.","non-dropping-particle":"","parse-names":false,"suffix":""},{"dropping-particle":"","family":"Laheru","given":"Daniel A.","non-dropping-particle":"","parse-names":false,"suffix":""},{"dropping-particle":"","family":"Goggins","given":"Michael","non-dropping-particle":"","parse-names":false,"suffix":""}],"container-title":"Oncotarget","id":"ITEM-1","issue":"27","issued":{"date-parts":[["2017"]]},"title":"Olaparib in combination with irinotecan, cisplatin, and mitomycin c in patients with advanced pancreatic cancer","type":"article-journal","volume":"8"},"uris":["http://www.mendeley.com/documents/?uuid=fbe8173e-ba14-3b47-8250-35d800ca6a87"]}],"mendeley":{"formattedCitation":"[44]","plainTextFormattedCitation":"[44]","previouslyFormattedCitation":"[44]"},"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[44]</w:t>
            </w:r>
            <w:r w:rsidRPr="00C21B42">
              <w:rPr>
                <w:rFonts w:ascii="Times New Roman" w:hAnsi="Times New Roman" w:cs="Times New Roman"/>
              </w:rPr>
              <w:fldChar w:fldCharType="end"/>
            </w:r>
          </w:p>
        </w:tc>
        <w:tc>
          <w:tcPr>
            <w:tcW w:w="6938" w:type="dxa"/>
          </w:tcPr>
          <w:p w14:paraId="5D7CE619"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Olaparib.</w:t>
            </w:r>
          </w:p>
        </w:tc>
      </w:tr>
      <w:tr w:rsidR="00920A42" w:rsidRPr="00C21B42" w14:paraId="6E537016"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20691D98" w14:textId="3F4A904C" w:rsidR="00920A42" w:rsidRPr="00C21B42" w:rsidRDefault="00920A42" w:rsidP="00F07D54">
            <w:pPr>
              <w:jc w:val="both"/>
              <w:rPr>
                <w:rFonts w:ascii="Times New Roman" w:hAnsi="Times New Roman" w:cs="Times New Roman"/>
              </w:rPr>
            </w:pPr>
            <w:r w:rsidRPr="00C21B42">
              <w:rPr>
                <w:rFonts w:ascii="Times New Roman" w:hAnsi="Times New Roman" w:cs="Times New Roman"/>
                <w:noProof/>
              </w:rPr>
              <w:t xml:space="preserve">Vaishampayan et al. 2021 </w:t>
            </w:r>
            <w:r w:rsidRPr="00C21B42">
              <w:rPr>
                <w:rFonts w:ascii="Times New Roman" w:hAnsi="Times New Roman" w:cs="Times New Roman"/>
                <w:noProof/>
              </w:rPr>
              <w:fldChar w:fldCharType="begin" w:fldLock="1"/>
            </w:r>
            <w:r w:rsidR="00CA6131">
              <w:rPr>
                <w:rFonts w:ascii="Times New Roman" w:hAnsi="Times New Roman" w:cs="Times New Roman"/>
                <w:noProof/>
              </w:rPr>
              <w:instrText>ADDIN CSL_CITATION {"citationItems":[{"id":"ITEM-1","itemData":{"DOI":"10.1080/14656566.2020.1837113","ISSN":"17447666","abstract":"Introduction: Advanced pancreatic cancer remains a lethal, incurable malignancy. Chemotherapy is the mainstay of systemic therapy consideration in metastatic pancreas cancer. Homologous recombinant DNA repair mutations are reported in about 7% of pancreas cancer cases and have rapidly emerged as actionable mutations. Areas covered: A review was conducted of publications of PARP inhibitors in pancreatic malignancies with a focus on clinical trials with olaparib. This included a review of the phase II and phase III clinical trials of olaparib in pancreatic cancer. Expert opinion: Olaparib was compared to placebo in a randomized double blind trial in cases with advanced pancreatic cancer and germline BRCA1/2 mutations, with a clinical response or stable disease after at least 16 weeks of platinum based chemotherapy. Olaparib significantly improved progression free survival, [HR = −.53, p = 0.0035] but did not improve overall survival. No differences in quality of life were noted between the two arms. Adverse events from olaparib were noted in 40% of treated patients. Objective response rate was 20% in olaparib arm and 10% in placebo treated arm. A careful consideration of the risks and benefits of this personalized therapy is advisable, prior to clinical application in germline BRCA1/2 mutated advanced pancreatic cancer.","author":[{"dropping-particle":"","family":"Vaishampayan","given":"Ulka N.","non-dropping-particle":"","parse-names":false,"suffix":""}],"container-title":"Expert Opinion on Pharmacotherapy","id":"ITEM-1","issue":"4","issued":{"date-parts":[["2021"]]},"title":"An evaluation of olaparib for the treatment of pancreatic cancer","type":"article","volume":"22"},"uris":["http://www.mendeley.com/documents/?uuid=c2b790d7-1e96-34f4-bf36-bf629fe9435c"]}],"mendeley":{"formattedCitation":"[45]","plainTextFormattedCitation":"[45]","previouslyFormattedCitation":"[45]"},"properties":{"noteIndex":0},"schema":"https://github.com/citation-style-language/schema/raw/master/csl-citation.json"}</w:instrText>
            </w:r>
            <w:r w:rsidRPr="00C21B42">
              <w:rPr>
                <w:rFonts w:ascii="Times New Roman" w:hAnsi="Times New Roman" w:cs="Times New Roman"/>
                <w:noProof/>
              </w:rPr>
              <w:fldChar w:fldCharType="separate"/>
            </w:r>
            <w:r w:rsidRPr="00C21B42">
              <w:rPr>
                <w:rFonts w:ascii="Times New Roman" w:hAnsi="Times New Roman" w:cs="Times New Roman"/>
                <w:b w:val="0"/>
                <w:noProof/>
              </w:rPr>
              <w:t>[45]</w:t>
            </w:r>
            <w:r w:rsidRPr="00C21B42">
              <w:rPr>
                <w:rFonts w:ascii="Times New Roman" w:hAnsi="Times New Roman" w:cs="Times New Roman"/>
                <w:noProof/>
              </w:rPr>
              <w:fldChar w:fldCharType="end"/>
            </w:r>
          </w:p>
        </w:tc>
        <w:tc>
          <w:tcPr>
            <w:tcW w:w="6938" w:type="dxa"/>
          </w:tcPr>
          <w:p w14:paraId="7BA11945"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Olaparib.</w:t>
            </w:r>
          </w:p>
        </w:tc>
      </w:tr>
      <w:tr w:rsidR="00920A42" w:rsidRPr="00C21B42" w14:paraId="2D096825"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11FFFE4C" w14:textId="49C4ACD7" w:rsidR="00920A42" w:rsidRPr="00C21B42" w:rsidRDefault="00920A42" w:rsidP="00F07D54">
            <w:pPr>
              <w:jc w:val="both"/>
              <w:rPr>
                <w:rFonts w:ascii="Times New Roman" w:hAnsi="Times New Roman" w:cs="Times New Roman"/>
              </w:rPr>
            </w:pPr>
            <w:r w:rsidRPr="00C21B42">
              <w:rPr>
                <w:rFonts w:ascii="Times New Roman" w:hAnsi="Times New Roman" w:cs="Times New Roman"/>
              </w:rPr>
              <w:t xml:space="preserve">Zheng et al. 2020 </w:t>
            </w:r>
            <w:r w:rsidRPr="00C21B42">
              <w:rPr>
                <w:rFonts w:ascii="Times New Roman" w:hAnsi="Times New Roman" w:cs="Times New Roman"/>
              </w:rPr>
              <w:fldChar w:fldCharType="begin" w:fldLock="1"/>
            </w:r>
            <w:r w:rsidR="00CA6131">
              <w:rPr>
                <w:rFonts w:ascii="Times New Roman" w:hAnsi="Times New Roman" w:cs="Times New Roman"/>
              </w:rPr>
              <w:instrText>ADDIN CSL_CITATION {"citationItems":[{"id":"ITEM-1","itemData":{"DOI":"10.1038/s41392-020-0146-6","ISSN":"20593635","abstract":"Enolase 2 (ENO2) is a key glycolytic enzyme in the metabolic process of glycolysis, but its potential function in pancreatic ductal adenocarcinoma (PDAC) is unclear. In this study, we observed a significant overexpression of ENO2 in PDAC tissues, and its expression was correlated with metastasis and poor prognosis in PDAC patients. K394 was identified as a major acetylation site in ENO2 that regulates its enzymatic activity, cell metabolism and PDAC progression. Knockdown of ENO2 suppressed tumor growth and liver metastasis in PDAC. Re-expression of wild-type (WT) ENO2, but not the K394 acetylation mimetic mutant, could reverse the decreased tumor malignancy. We further characterized histone deacetylase 3 (HDAC3) and P300/CBP-associated factor (PCAF) as the potential deacetylase and acetyltransferase for ENO2, respectively. HDAC3-mediated deacetylation was shown to lead to ENO2 activation and enhancement of glycolysis. Importantly, insulin-like growth factor-1 (IGF-1) was found to decrease K394 acetylation and stimulate ENO2 activity in a dose- and time-dependent manner. The PI3K/AKT/mTOR pathway facilitated the phosphorylation of HDAC3 on S424, which promoted K394 deacetylation and activation of ENO2. Linsitinib, an oral small-molecule inhibitor of IGF-1R, could inhibit IGF-1-induced ENO2 deacetylation by HDAC3 and the PI3K/AKT/mTOR pathway. Furthermore, linsitinib showed a different effect on the growth and metastasis of PDAC depending on the overexpression of WT versus K394-mutant ENO2. Our results reveal a novel mechanism by which acetylation negatively regulates ENO2 activity in the metastasis of PDAC by modulating glycolysis. Blockade of IGF-1-induced ENO2 deacetylation represents a promising strategy to prevent the development of PDAC.","author":[{"dropping-particle":"","family":"Zheng","given":"Yan","non-dropping-particle":"","parse-names":false,"suffix":""},{"dropping-particle":"","family":"Wu","given":"Chao","non-dropping-particle":"","parse-names":false,"suffix":""},{"dropping-particle":"","family":"Yang","given":"Jimeng","non-dropping-particle":"","parse-names":false,"suffix":""},{"dropping-particle":"","family":"Zhao","given":"Yue","non-dropping-particle":"","parse-names":false,"suffix":""},{"dropping-particle":"","family":"Jia","given":"Huliang","non-dropping-particle":"","parse-names":false,"suffix":""},{"dropping-particle":"","family":"Xue","given":"Min","non-dropping-particle":"","parse-names":false,"suffix":""},{"dropping-particle":"","family":"Xu","given":"Da","non-dropping-particle":"","parse-names":false,"suffix":""},{"dropping-particle":"","family":"Yang","given":"Feng","non-dropping-particle":"","parse-names":false,"suffix":""},{"dropping-particle":"","family":"Fu","given":"Deliang","non-dropping-particle":"","parse-names":false,"suffix":""},{"dropping-particle":"","family":"Wang","given":"Chaoqun","non-dropping-particle":"","parse-names":false,"suffix":""},{"dropping-particle":"","family":"Hu","given":"Beiyuan","non-dropping-particle":"","parse-names":false,"suffix":""},{"dropping-particle":"","family":"Zhang","given":"Ze","non-dropping-particle":"","parse-names":false,"suffix":""},{"dropping-particle":"","family":"Li","given":"Tianen","non-dropping-particle":"","parse-names":false,"suffix":""},{"dropping-particle":"","family":"Yan","given":"Shican","non-dropping-particle":"","parse-names":false,"suffix":""},{"dropping-particle":"","family":"Wang","given":"Xuan","non-dropping-particle":"","parse-names":false,"suffix":""},{"dropping-particle":"","family":"Nelson","given":"Peter J.","non-dropping-particle":"","parse-names":false,"suffix":""},{"dropping-particle":"","family":"Bruns","given":"Christiane","non-dropping-particle":"","parse-names":false,"suffix":""},{"dropping-particle":"","family":"Qin","given":"Lunxiu","non-dropping-particle":"","parse-names":false,"suffix":""},{"dropping-particle":"","family":"Dong","given":"Qiongzhu","non-dropping-particle":"","parse-names":false,"suffix":""}],"container-title":"Signal Transduction and Targeted Therapy","id":"ITEM-1","issue":"1","issued":{"date-parts":[["2020"]]},"title":"Insulin-like growth factor 1-induced enolase 2 deacetylation by HDAC3 promotes metastasis of pancreatic cancer","type":"article-journal","volume":"5"},"uris":["http://www.mendeley.com/documents/?uuid=3a62b6ae-54c4-3c62-8e76-5f13768dabed"]}],"mendeley":{"formattedCitation":"[46]","plainTextFormattedCitation":"[46]","previouslyFormattedCitation":"[46]"},"properties":{"noteIndex":0},"schema":"https://github.com/citation-style-language/schema/raw/master/csl-citation.json"}</w:instrText>
            </w:r>
            <w:r w:rsidRPr="00C21B42">
              <w:rPr>
                <w:rFonts w:ascii="Times New Roman" w:hAnsi="Times New Roman" w:cs="Times New Roman"/>
              </w:rPr>
              <w:fldChar w:fldCharType="separate"/>
            </w:r>
            <w:r w:rsidRPr="00C21B42">
              <w:rPr>
                <w:rFonts w:ascii="Times New Roman" w:hAnsi="Times New Roman" w:cs="Times New Roman"/>
                <w:b w:val="0"/>
                <w:noProof/>
              </w:rPr>
              <w:t>[46]</w:t>
            </w:r>
            <w:r w:rsidRPr="00C21B42">
              <w:rPr>
                <w:rFonts w:ascii="Times New Roman" w:hAnsi="Times New Roman" w:cs="Times New Roman"/>
              </w:rPr>
              <w:fldChar w:fldCharType="end"/>
            </w:r>
          </w:p>
          <w:p w14:paraId="24CB584B" w14:textId="77777777" w:rsidR="00920A42" w:rsidRPr="00C21B42" w:rsidRDefault="00920A42" w:rsidP="00F07D54">
            <w:pPr>
              <w:jc w:val="both"/>
              <w:rPr>
                <w:rFonts w:ascii="Times New Roman" w:hAnsi="Times New Roman" w:cs="Times New Roman"/>
              </w:rPr>
            </w:pPr>
          </w:p>
        </w:tc>
        <w:tc>
          <w:tcPr>
            <w:tcW w:w="6938" w:type="dxa"/>
          </w:tcPr>
          <w:p w14:paraId="2806EEF1"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Linsitinib.</w:t>
            </w:r>
          </w:p>
        </w:tc>
      </w:tr>
      <w:tr w:rsidR="00920A42" w:rsidRPr="00C21B42" w14:paraId="1E8EF583" w14:textId="77777777" w:rsidTr="00AE051C">
        <w:trPr>
          <w:trHeight w:val="440"/>
        </w:trPr>
        <w:tc>
          <w:tcPr>
            <w:cnfStyle w:val="001000000000" w:firstRow="0" w:lastRow="0" w:firstColumn="1" w:lastColumn="0" w:oddVBand="0" w:evenVBand="0" w:oddHBand="0" w:evenHBand="0" w:firstRowFirstColumn="0" w:firstRowLastColumn="0" w:lastRowFirstColumn="0" w:lastRowLastColumn="0"/>
            <w:tcW w:w="2628" w:type="dxa"/>
          </w:tcPr>
          <w:p w14:paraId="5CED300D" w14:textId="7B0A54C1" w:rsidR="00920A42" w:rsidRPr="00C21B42" w:rsidRDefault="00920A42" w:rsidP="00F07D54">
            <w:pPr>
              <w:jc w:val="both"/>
              <w:rPr>
                <w:rFonts w:ascii="Times New Roman" w:hAnsi="Times New Roman" w:cs="Times New Roman"/>
              </w:rPr>
            </w:pPr>
            <w:r w:rsidRPr="00C21B42">
              <w:rPr>
                <w:rFonts w:ascii="Times New Roman" w:hAnsi="Times New Roman" w:cs="Times New Roman"/>
                <w:shd w:val="clear" w:color="auto" w:fill="FFFFFF"/>
              </w:rPr>
              <w:t xml:space="preserve">El Hassouni et al. 2019 </w:t>
            </w:r>
            <w:r w:rsidRPr="00C21B42">
              <w:rPr>
                <w:rFonts w:ascii="Times New Roman" w:hAnsi="Times New Roman" w:cs="Times New Roman"/>
                <w:shd w:val="clear" w:color="auto" w:fill="FFFFFF"/>
              </w:rPr>
              <w:fldChar w:fldCharType="begin" w:fldLock="1"/>
            </w:r>
            <w:r w:rsidR="00CA6131">
              <w:rPr>
                <w:rFonts w:ascii="Times New Roman" w:hAnsi="Times New Roman" w:cs="Times New Roman"/>
                <w:shd w:val="clear" w:color="auto" w:fill="FFFFFF"/>
              </w:rPr>
              <w:instrText>ADDIN CSL_CITATION {"citationItems":[{"id":"ITEM-1","itemData":{"DOI":"10.3390/molecules24244445","ISSN":"14203049","abstract":"Background: Inhibition of ribosome biogenesis has recently emerged as a promising strategy for the treatment of metastatic tumors. The RNA polymerase I inhibitor CX-5461 has shown efficacy in a panel of cancer types and is currently being tested in clinical trials. However, further preclinical studies to unravel molecular mechanisms underlying the activity of this drug are warranted. Methods: In this study, we have investigated the effects of CX-5461 on cell growth and migration of pancreatic cancer cells by the sulforhodamine-B and wound healing assay, respectively. Furthermore, we assessed the expression of epithelial-to-mesenchymal transition (EMT) genes by qRT-PCR, while protein expression of DNA damage marker phospho-H2A.X was studied by Western blot and immunofluorescence. Results: CX-5461 inhibits pancreatic cancer cell growth in the nanomolar range and inhibits the migratory capability of the cells. Additionally, CX-5461 induced expression of EMT factor SNAI1 and caused DNA double-strand breaks as measured by increased expression of phospho-H2A.X. Conclusion: This study demonstrated that CX-5461 is active against pancreatic cancer cells and modulation of EMT factors, as well as increased expression of phospho-H2A.X, support further pre-/clinical investigations, including the analyses of these markers.","author":[{"dropping-particle":"","family":"Hassouni","given":"Btissame","non-dropping-particle":"El","parse-names":false,"suffix":""},{"dropping-particle":"","family":"Mantini","given":"Giulia","non-dropping-particle":"","parse-names":false,"suffix":""},{"dropping-particle":"","family":"Immordino","given":"Benoît","non-dropping-particle":"","parse-names":false,"suffix":""},{"dropping-particle":"","family":"Peters","given":"Godefridus J.","non-dropping-particle":"","parse-names":false,"suffix":""},{"dropping-particle":"","family":"Giovannetti","given":"Elisa","non-dropping-particle":"","parse-names":false,"suffix":""}],"container-title":"Molecules","id":"ITEM-1","issue":"24","issued":{"date-parts":[["2019"]]},"title":"CX-5461 inhibits pancreatic ductal adenocarcinoma cell growth, migration and induces DNA damage","type":"article-journal","volume":"24"},"uris":["http://www.mendeley.com/documents/?uuid=6d70bc3b-3eab-3875-b375-876951a549b0"]}],"mendeley":{"formattedCitation":"[47]","plainTextFormattedCitation":"[47]","previouslyFormattedCitation":"[47]"},"properties":{"noteIndex":0},"schema":"https://github.com/citation-style-language/schema/raw/master/csl-citation.json"}</w:instrText>
            </w:r>
            <w:r w:rsidRPr="00C21B42">
              <w:rPr>
                <w:rFonts w:ascii="Times New Roman" w:hAnsi="Times New Roman" w:cs="Times New Roman"/>
                <w:shd w:val="clear" w:color="auto" w:fill="FFFFFF"/>
              </w:rPr>
              <w:fldChar w:fldCharType="separate"/>
            </w:r>
            <w:r w:rsidRPr="00C21B42">
              <w:rPr>
                <w:rFonts w:ascii="Times New Roman" w:hAnsi="Times New Roman" w:cs="Times New Roman"/>
                <w:b w:val="0"/>
                <w:noProof/>
                <w:shd w:val="clear" w:color="auto" w:fill="FFFFFF"/>
              </w:rPr>
              <w:t>[47]</w:t>
            </w:r>
            <w:r w:rsidRPr="00C21B42">
              <w:rPr>
                <w:rFonts w:ascii="Times New Roman" w:hAnsi="Times New Roman" w:cs="Times New Roman"/>
                <w:shd w:val="clear" w:color="auto" w:fill="FFFFFF"/>
              </w:rPr>
              <w:fldChar w:fldCharType="end"/>
            </w:r>
          </w:p>
          <w:p w14:paraId="1259500C" w14:textId="77777777" w:rsidR="00920A42" w:rsidRPr="00C21B42" w:rsidRDefault="00920A42" w:rsidP="00F07D54">
            <w:pPr>
              <w:jc w:val="both"/>
              <w:rPr>
                <w:rFonts w:ascii="Times New Roman" w:hAnsi="Times New Roman" w:cs="Times New Roman"/>
              </w:rPr>
            </w:pPr>
          </w:p>
        </w:tc>
        <w:tc>
          <w:tcPr>
            <w:tcW w:w="6938" w:type="dxa"/>
          </w:tcPr>
          <w:p w14:paraId="0760905D"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shd w:val="clear" w:color="auto" w:fill="FFFFFF"/>
              </w:rPr>
              <w:t xml:space="preserve">CX-5461 </w:t>
            </w:r>
          </w:p>
        </w:tc>
      </w:tr>
      <w:tr w:rsidR="00920A42" w:rsidRPr="00C21B42" w14:paraId="242EBA12" w14:textId="77777777" w:rsidTr="00AE051C">
        <w:trPr>
          <w:trHeight w:val="261"/>
        </w:trPr>
        <w:tc>
          <w:tcPr>
            <w:cnfStyle w:val="001000000000" w:firstRow="0" w:lastRow="0" w:firstColumn="1" w:lastColumn="0" w:oddVBand="0" w:evenVBand="0" w:oddHBand="0" w:evenHBand="0" w:firstRowFirstColumn="0" w:firstRowLastColumn="0" w:lastRowFirstColumn="0" w:lastRowLastColumn="0"/>
            <w:tcW w:w="2628" w:type="dxa"/>
          </w:tcPr>
          <w:p w14:paraId="6D6D5F21" w14:textId="07C775A0" w:rsidR="00920A42" w:rsidRPr="00C21B42" w:rsidRDefault="00920A42" w:rsidP="00F07D54">
            <w:pPr>
              <w:jc w:val="both"/>
              <w:rPr>
                <w:rFonts w:ascii="Times New Roman" w:hAnsi="Times New Roman" w:cs="Times New Roman"/>
              </w:rPr>
            </w:pPr>
            <w:r w:rsidRPr="00C21B42">
              <w:rPr>
                <w:rFonts w:ascii="Times New Roman" w:eastAsia="Times New Roman" w:hAnsi="Times New Roman" w:cs="Times New Roman"/>
                <w:kern w:val="36"/>
              </w:rPr>
              <w:t xml:space="preserve">MarElia et al. 2018 </w:t>
            </w:r>
            <w:r w:rsidRPr="00C21B42">
              <w:rPr>
                <w:rFonts w:ascii="Times New Roman" w:eastAsia="Times New Roman" w:hAnsi="Times New Roman" w:cs="Times New Roman"/>
                <w:kern w:val="36"/>
              </w:rPr>
              <w:fldChar w:fldCharType="begin" w:fldLock="1"/>
            </w:r>
            <w:r w:rsidR="00CA6131">
              <w:rPr>
                <w:rFonts w:ascii="Times New Roman" w:eastAsia="Times New Roman" w:hAnsi="Times New Roman" w:cs="Times New Roman"/>
                <w:kern w:val="36"/>
              </w:rPr>
              <w:instrText>ADDIN CSL_CITATION {"citationItems":[{"id":"ITEM-1","itemData":{"DOI":"10.1002/2211-5463.12457","ISSN":"22115463","abstract":"Pancreatic cancer is one of the most recalcitrant and lethal of all cancers. We examined the effects of Anemarrhena asphodeloides (AA) and timosaponin-AIII (TAIII), a steroidal saponin present in AA, on pancreatic cancer cell proliferation and aimed to elucidate their potential apoptotic mechanisms of action. Viability assays and cell cycle analysis revealed that both AA and TAIII significantly inhibited pancreatic cancer cell proliferation and cell cycle progression compared to treatment with gemcitabine, the standard chemotherapeutic agent for advanced pancreatic cancer. We identified a dose-dependent increase in caspase-dependent apoptosis and activation of pro-apoptotic PI3K/Akt pathway proteins, with a subsequent downregulation of pro-survival PI3K/Akt pathway proteins, in pancreatic cancer cells treated with AA or TAIII over those treated with gemcitabine.","author":[{"dropping-particle":"","family":"MarElia","given":"Catherine B.","non-dropping-particle":"","parse-names":false,"suffix":""},{"dropping-particle":"","family":"Sharp","given":"Arielle E.","non-dropping-particle":"","parse-names":false,"suffix":""},{"dropping-particle":"","family":"Shemwell","given":"Tiffany A.","non-dropping-particle":"","parse-names":false,"suffix":""},{"dropping-particle":"","family":"Clare Zhang","given":"Y.","non-dropping-particle":"","parse-names":false,"suffix":""},{"dropping-particle":"","family":"Burkhardt","given":"Brant R.","non-dropping-particle":"","parse-names":false,"suffix":""}],"container-title":"FEBS Open Bio","id":"ITEM-1","issue":"7","issued":{"date-parts":[["2018"]]},"page":"1155-1166","title":"Anemarrhena asphodeloides Bunge and its constituent timosaponin-AIII induce cell cycle arrest and apoptosis in pancreatic cancer cells","type":"article-journal","volume":"8"},"uris":["http://www.mendeley.com/documents/?uuid=4857c1df-95c0-3f3b-b040-4ff6e6eb40b1"]}],"mendeley":{"formattedCitation":"[48]","plainTextFormattedCitation":"[48]","previouslyFormattedCitation":"[48]"},"properties":{"noteIndex":0},"schema":"https://github.com/citation-style-language/schema/raw/master/csl-citation.json"}</w:instrText>
            </w:r>
            <w:r w:rsidRPr="00C21B42">
              <w:rPr>
                <w:rFonts w:ascii="Times New Roman" w:eastAsia="Times New Roman" w:hAnsi="Times New Roman" w:cs="Times New Roman"/>
                <w:kern w:val="36"/>
              </w:rPr>
              <w:fldChar w:fldCharType="separate"/>
            </w:r>
            <w:r w:rsidRPr="00C21B42">
              <w:rPr>
                <w:rFonts w:ascii="Times New Roman" w:eastAsia="Times New Roman" w:hAnsi="Times New Roman" w:cs="Times New Roman"/>
                <w:b w:val="0"/>
                <w:noProof/>
                <w:kern w:val="36"/>
              </w:rPr>
              <w:t>[48]</w:t>
            </w:r>
            <w:r w:rsidRPr="00C21B42">
              <w:rPr>
                <w:rFonts w:ascii="Times New Roman" w:eastAsia="Times New Roman" w:hAnsi="Times New Roman" w:cs="Times New Roman"/>
                <w:kern w:val="36"/>
              </w:rPr>
              <w:fldChar w:fldCharType="end"/>
            </w:r>
          </w:p>
        </w:tc>
        <w:tc>
          <w:tcPr>
            <w:tcW w:w="6938" w:type="dxa"/>
          </w:tcPr>
          <w:p w14:paraId="17E76C34"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shd w:val="clear" w:color="auto" w:fill="FFFFFF"/>
              </w:rPr>
              <w:t>Timosaponin-AIII.</w:t>
            </w:r>
          </w:p>
        </w:tc>
      </w:tr>
      <w:tr w:rsidR="00920A42" w:rsidRPr="00C21B42" w14:paraId="15C67A68" w14:textId="77777777" w:rsidTr="00AE051C">
        <w:trPr>
          <w:trHeight w:val="434"/>
        </w:trPr>
        <w:tc>
          <w:tcPr>
            <w:cnfStyle w:val="001000000000" w:firstRow="0" w:lastRow="0" w:firstColumn="1" w:lastColumn="0" w:oddVBand="0" w:evenVBand="0" w:oddHBand="0" w:evenHBand="0" w:firstRowFirstColumn="0" w:firstRowLastColumn="0" w:lastRowFirstColumn="0" w:lastRowLastColumn="0"/>
            <w:tcW w:w="2628" w:type="dxa"/>
          </w:tcPr>
          <w:p w14:paraId="2FA4FA57" w14:textId="77777777" w:rsidR="00920A42" w:rsidRPr="00C21B42" w:rsidRDefault="00920A42" w:rsidP="00F07D54">
            <w:pPr>
              <w:jc w:val="both"/>
              <w:rPr>
                <w:rFonts w:ascii="Times New Roman" w:hAnsi="Times New Roman" w:cs="Times New Roman"/>
              </w:rPr>
            </w:pPr>
            <w:r w:rsidRPr="00C21B42">
              <w:rPr>
                <w:rFonts w:ascii="Times New Roman" w:hAnsi="Times New Roman" w:cs="Times New Roman"/>
              </w:rPr>
              <w:t>National Institutes of Health (NIH), USA</w:t>
            </w:r>
          </w:p>
          <w:p w14:paraId="67249F1D" w14:textId="34811F2A" w:rsidR="00920A42" w:rsidRPr="00C21B42" w:rsidRDefault="00920A42" w:rsidP="00F07D54">
            <w:pPr>
              <w:jc w:val="both"/>
              <w:rPr>
                <w:rFonts w:ascii="Times New Roman" w:hAnsi="Times New Roman" w:cs="Times New Roman"/>
              </w:rPr>
            </w:pPr>
            <w:r w:rsidRPr="00C21B42">
              <w:rPr>
                <w:rFonts w:ascii="Times New Roman" w:hAnsi="Times New Roman" w:cs="Times New Roman"/>
                <w:shd w:val="clear" w:color="auto" w:fill="FFFFFF"/>
              </w:rPr>
              <w:fldChar w:fldCharType="begin" w:fldLock="1"/>
            </w:r>
            <w:r w:rsidR="00CA6131">
              <w:rPr>
                <w:rFonts w:ascii="Times New Roman" w:hAnsi="Times New Roman" w:cs="Times New Roman"/>
                <w:shd w:val="clear" w:color="auto" w:fill="FFFFFF"/>
              </w:rPr>
              <w:instrText>ADDIN CSL_CITATION {"citationItems":[{"id":"ITEM-1","itemData":{"URL":"http://www.cancer.gov/cancertopics/druginfo/pancreaticcancer","abstract":"last update 13-06-2018","author":[{"dropping-particle":"","family":"National Cancer Institute","given":"","non-dropping-particle":"","parse-names":false,"suffix":""}],"container-title":"NIH-Cancer.gov","id":"ITEM-1","issued":{"date-parts":[["2014"]]},"title":"Drugs Approved for Pancreatic Cancer - National Cancer Institute","type":"webpage"},"uris":["http://www.mendeley.com/documents/?uuid=cdefd3d4-5d23-4dbb-bd42-a50483a7204b"]}],"mendeley":{"formattedCitation":"[49]","plainTextFormattedCitation":"[49]","previouslyFormattedCitation":"[49]"},"properties":{"noteIndex":0},"schema":"https://github.com/citation-style-language/schema/raw/master/csl-citation.json"}</w:instrText>
            </w:r>
            <w:r w:rsidRPr="00C21B42">
              <w:rPr>
                <w:rFonts w:ascii="Times New Roman" w:hAnsi="Times New Roman" w:cs="Times New Roman"/>
                <w:shd w:val="clear" w:color="auto" w:fill="FFFFFF"/>
              </w:rPr>
              <w:fldChar w:fldCharType="separate"/>
            </w:r>
            <w:r w:rsidRPr="00C21B42">
              <w:rPr>
                <w:rFonts w:ascii="Times New Roman" w:hAnsi="Times New Roman" w:cs="Times New Roman"/>
                <w:b w:val="0"/>
                <w:noProof/>
                <w:shd w:val="clear" w:color="auto" w:fill="FFFFFF"/>
              </w:rPr>
              <w:t>[49]</w:t>
            </w:r>
            <w:r w:rsidRPr="00C21B42">
              <w:rPr>
                <w:rFonts w:ascii="Times New Roman" w:hAnsi="Times New Roman" w:cs="Times New Roman"/>
                <w:shd w:val="clear" w:color="auto" w:fill="FFFFFF"/>
              </w:rPr>
              <w:fldChar w:fldCharType="end"/>
            </w:r>
            <w:r w:rsidRPr="00C21B42">
              <w:rPr>
                <w:rFonts w:ascii="Times New Roman" w:hAnsi="Times New Roman" w:cs="Times New Roman"/>
                <w:shd w:val="clear" w:color="auto" w:fill="FFFFFF"/>
              </w:rPr>
              <w:t xml:space="preserve"> &amp; Drugs.com </w:t>
            </w:r>
            <w:r w:rsidRPr="00C21B42">
              <w:rPr>
                <w:rFonts w:ascii="Times New Roman" w:hAnsi="Times New Roman" w:cs="Times New Roman"/>
                <w:shd w:val="clear" w:color="auto" w:fill="FFFFFF"/>
              </w:rPr>
              <w:fldChar w:fldCharType="begin" w:fldLock="1"/>
            </w:r>
            <w:r w:rsidR="00CA6131">
              <w:rPr>
                <w:rFonts w:ascii="Times New Roman" w:hAnsi="Times New Roman" w:cs="Times New Roman"/>
                <w:shd w:val="clear" w:color="auto" w:fill="FFFFFF"/>
              </w:rPr>
              <w:instrText>ADDIN CSL_CITATION {"citationItems":[{"id":"ITEM-1","itemData":{"DOI":"10.1101/2020.08.18.256735","abstract":"There is an urgent need to understand the pathogenesis of the severe acute respiratory syndrome coronavirus clade 2 (SARS-CoV-2) that leads to COVID-19 and respiratory failure. Our study is to discover differentially expressed genes (DEGs) and biological signaling pathways by using a bioinformatics approach to elucidate their potential pathogenesis. The gene expression profiles of the GSE150819 datasets were originally produced using an Illumina NextSeq 500 (Homo sapiens). KEGG (Kyoto Encyclopedia of Genes and Genomes) and GO (Gene Ontology) were utilized to identify functional categories and significant pathways. KEGG and GO results suggested that the Cytokine-cytokine receptor interaction, P53 signaling pathway, and Apoptosis are the main signaling pathways in SARS-CoV-2 infected human bronchial organoids (hBOs). Furthermore, NFKBIA, C3, and CCL20 may be key genes in SARS-CoV-2 infected hBOs. Therefore, our study provides further insights into the therapy of COVID-19.\n\n### Competing Interest Statement\n\nThe authors have declared no competing interest.","author":[{"dropping-particle":"","family":"Gu","given":"Hanming","non-dropping-particle":"","parse-names":false,"suffix":""},{"dropping-particle":"","family":"Yuan","given":"Gongsheng","non-dropping-particle":"","parse-names":false,"suffix":""}],"container-title":"bioRxiv","id":"ITEM-1","issued":{"date-parts":[["2020","9"]]},"page":"2020.08.18.256735","publisher":"Cold Spring Harbor Laboratory","title":"Identification of potential key genes for SARS-CoV-2 infected human bronchial organoids based on bioinformatics analysis","type":"article-journal"},"uris":["http://www.mendeley.com/documents/?uuid=bf4fa9bc-3ebf-42ae-a6f3-386d22ed46cb"]}],"mendeley":{"formattedCitation":"[50]","plainTextFormattedCitation":"[50]","previouslyFormattedCitation":"[50]"},"properties":{"noteIndex":0},"schema":"https://github.com/citation-style-language/schema/raw/master/csl-citation.json"}</w:instrText>
            </w:r>
            <w:r w:rsidRPr="00C21B42">
              <w:rPr>
                <w:rFonts w:ascii="Times New Roman" w:hAnsi="Times New Roman" w:cs="Times New Roman"/>
                <w:shd w:val="clear" w:color="auto" w:fill="FFFFFF"/>
              </w:rPr>
              <w:fldChar w:fldCharType="separate"/>
            </w:r>
            <w:r w:rsidRPr="00C21B42">
              <w:rPr>
                <w:rFonts w:ascii="Times New Roman" w:hAnsi="Times New Roman" w:cs="Times New Roman"/>
                <w:b w:val="0"/>
                <w:noProof/>
                <w:shd w:val="clear" w:color="auto" w:fill="FFFFFF"/>
              </w:rPr>
              <w:t>[50]</w:t>
            </w:r>
            <w:r w:rsidRPr="00C21B42">
              <w:rPr>
                <w:rFonts w:ascii="Times New Roman" w:hAnsi="Times New Roman" w:cs="Times New Roman"/>
                <w:shd w:val="clear" w:color="auto" w:fill="FFFFFF"/>
              </w:rPr>
              <w:fldChar w:fldCharType="end"/>
            </w:r>
          </w:p>
          <w:p w14:paraId="02F90EA1" w14:textId="77777777" w:rsidR="00920A42" w:rsidRPr="00C21B42" w:rsidRDefault="00920A42" w:rsidP="00F07D54">
            <w:pPr>
              <w:jc w:val="both"/>
              <w:rPr>
                <w:rFonts w:ascii="Times New Roman" w:hAnsi="Times New Roman" w:cs="Times New Roman"/>
              </w:rPr>
            </w:pPr>
          </w:p>
        </w:tc>
        <w:tc>
          <w:tcPr>
            <w:tcW w:w="6938" w:type="dxa"/>
          </w:tcPr>
          <w:p w14:paraId="27B2E9F7"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Abraxane, Afinitor, Bevacizumab, Capecitabine, Cetuximab, Erlotinib, Everolimus, Fluorouracil, Gemcitabine, Gemzar, Infugem, Irinotecan Liposomal, Lynparza, Methotrexate, Mitomycin, Mutamycin, Olaparib, Onivyde, Pancreatin, Streptozocin, Sunitinib, Sutent, Tarceva, Zanosar.</w:t>
            </w:r>
          </w:p>
        </w:tc>
      </w:tr>
    </w:tbl>
    <w:p w14:paraId="7A52B1CF" w14:textId="77777777" w:rsidR="00920A42" w:rsidRDefault="00920A42" w:rsidP="00F07D54">
      <w:pPr>
        <w:jc w:val="both"/>
        <w:rPr>
          <w:rFonts w:ascii="Times New Roman" w:hAnsi="Times New Roman" w:cs="Times New Roman"/>
          <w:b/>
        </w:rPr>
      </w:pPr>
    </w:p>
    <w:p w14:paraId="05047A26" w14:textId="77777777" w:rsidR="00566A42" w:rsidRPr="00C21B42" w:rsidRDefault="00566A42" w:rsidP="00F07D54">
      <w:pPr>
        <w:jc w:val="both"/>
        <w:rPr>
          <w:rFonts w:ascii="Times New Roman" w:hAnsi="Times New Roman" w:cs="Times New Roman"/>
          <w:b/>
        </w:rPr>
      </w:pPr>
    </w:p>
    <w:tbl>
      <w:tblPr>
        <w:tblStyle w:val="GridTable1Light-Accent61"/>
        <w:tblW w:w="9566" w:type="dxa"/>
        <w:tblLayout w:type="fixed"/>
        <w:tblLook w:val="04A0" w:firstRow="1" w:lastRow="0" w:firstColumn="1" w:lastColumn="0" w:noHBand="0" w:noVBand="1"/>
      </w:tblPr>
      <w:tblGrid>
        <w:gridCol w:w="2628"/>
        <w:gridCol w:w="6938"/>
      </w:tblGrid>
      <w:tr w:rsidR="00920A42" w:rsidRPr="00C21B42" w14:paraId="2658AEDC" w14:textId="77777777" w:rsidTr="00AE051C">
        <w:trPr>
          <w:cnfStyle w:val="100000000000" w:firstRow="1" w:lastRow="0" w:firstColumn="0" w:lastColumn="0" w:oddVBand="0" w:evenVBand="0" w:oddHBand="0"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9566" w:type="dxa"/>
            <w:gridSpan w:val="2"/>
          </w:tcPr>
          <w:p w14:paraId="517C3DB8" w14:textId="77777777" w:rsidR="00920A42" w:rsidRPr="00C21B42" w:rsidRDefault="00920A42" w:rsidP="00F07D54">
            <w:pPr>
              <w:jc w:val="both"/>
              <w:rPr>
                <w:rFonts w:ascii="Times New Roman" w:hAnsi="Times New Roman" w:cs="Times New Roman"/>
                <w:b w:val="0"/>
              </w:rPr>
            </w:pPr>
            <w:bookmarkStart w:id="32" w:name="_Hlk124337185"/>
            <w:r w:rsidRPr="00C21B42">
              <w:rPr>
                <w:rFonts w:ascii="Times New Roman" w:hAnsi="Times New Roman" w:cs="Times New Roman"/>
              </w:rPr>
              <w:t>Table S</w:t>
            </w:r>
            <w:r>
              <w:rPr>
                <w:rFonts w:ascii="Times New Roman" w:hAnsi="Times New Roman" w:cs="Times New Roman"/>
              </w:rPr>
              <w:t>3</w:t>
            </w:r>
            <w:r w:rsidRPr="00C21B42">
              <w:rPr>
                <w:rFonts w:ascii="Times New Roman" w:hAnsi="Times New Roman" w:cs="Times New Roman"/>
              </w:rPr>
              <w:t>.</w:t>
            </w:r>
            <w:r w:rsidRPr="00C21B42">
              <w:rPr>
                <w:rFonts w:ascii="Times New Roman" w:hAnsi="Times New Roman" w:cs="Times New Roman"/>
                <w:b w:val="0"/>
              </w:rPr>
              <w:t xml:space="preserve"> Collection of type-2 diabetes (T2D) related candidate drug agents from </w:t>
            </w:r>
            <w:r w:rsidRPr="00C21B42">
              <w:rPr>
                <w:rFonts w:ascii="Times New Roman" w:hAnsi="Times New Roman" w:cs="Times New Roman"/>
                <w:b w:val="0"/>
                <w:bCs w:val="0"/>
              </w:rPr>
              <w:t xml:space="preserve">published </w:t>
            </w:r>
            <w:r w:rsidRPr="00C21B42">
              <w:rPr>
                <w:rFonts w:ascii="Times New Roman" w:hAnsi="Times New Roman" w:cs="Times New Roman"/>
                <w:b w:val="0"/>
                <w:bCs w:val="0"/>
                <w:szCs w:val="20"/>
              </w:rPr>
              <w:t>articles</w:t>
            </w:r>
          </w:p>
        </w:tc>
      </w:tr>
      <w:tr w:rsidR="00920A42" w:rsidRPr="00C21B42" w14:paraId="323F2426" w14:textId="77777777" w:rsidTr="00AE051C">
        <w:trPr>
          <w:trHeight w:val="363"/>
        </w:trPr>
        <w:tc>
          <w:tcPr>
            <w:cnfStyle w:val="001000000000" w:firstRow="0" w:lastRow="0" w:firstColumn="1" w:lastColumn="0" w:oddVBand="0" w:evenVBand="0" w:oddHBand="0" w:evenHBand="0" w:firstRowFirstColumn="0" w:firstRowLastColumn="0" w:lastRowFirstColumn="0" w:lastRowLastColumn="0"/>
            <w:tcW w:w="2628" w:type="dxa"/>
          </w:tcPr>
          <w:p w14:paraId="333900CB" w14:textId="77777777" w:rsidR="00920A42" w:rsidRPr="00C21B42" w:rsidRDefault="00920A42" w:rsidP="00F07D54">
            <w:pPr>
              <w:jc w:val="both"/>
              <w:rPr>
                <w:rFonts w:ascii="Times New Roman" w:hAnsi="Times New Roman" w:cs="Times New Roman"/>
              </w:rPr>
            </w:pPr>
            <w:r w:rsidRPr="00C21B42">
              <w:rPr>
                <w:rFonts w:ascii="Times New Roman" w:hAnsi="Times New Roman" w:cs="Times New Roman"/>
              </w:rPr>
              <w:t>Articles</w:t>
            </w:r>
          </w:p>
        </w:tc>
        <w:tc>
          <w:tcPr>
            <w:tcW w:w="6938" w:type="dxa"/>
          </w:tcPr>
          <w:p w14:paraId="2CE0418A" w14:textId="77777777" w:rsidR="00920A42" w:rsidRPr="00C21B42" w:rsidRDefault="00920A42" w:rsidP="00F07D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C21B42">
              <w:rPr>
                <w:rFonts w:ascii="Times New Roman" w:hAnsi="Times New Roman" w:cs="Times New Roman"/>
                <w:b/>
              </w:rPr>
              <w:t>Drug agents</w:t>
            </w:r>
          </w:p>
        </w:tc>
      </w:tr>
      <w:tr w:rsidR="00920A42" w:rsidRPr="00C21B42" w14:paraId="273F0A3C" w14:textId="77777777" w:rsidTr="00AE051C">
        <w:trPr>
          <w:trHeight w:val="423"/>
        </w:trPr>
        <w:tc>
          <w:tcPr>
            <w:cnfStyle w:val="001000000000" w:firstRow="0" w:lastRow="0" w:firstColumn="1" w:lastColumn="0" w:oddVBand="0" w:evenVBand="0" w:oddHBand="0" w:evenHBand="0" w:firstRowFirstColumn="0" w:firstRowLastColumn="0" w:lastRowFirstColumn="0" w:lastRowLastColumn="0"/>
            <w:tcW w:w="2628" w:type="dxa"/>
          </w:tcPr>
          <w:p w14:paraId="3B5A978D" w14:textId="654CBC5E"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Bailey</w:t>
            </w:r>
            <w:r w:rsidRPr="00C21B42">
              <w:rPr>
                <w:rFonts w:ascii="Times New Roman" w:hAnsi="Times New Roman" w:cs="Times New Roman"/>
                <w:sz w:val="22"/>
                <w:szCs w:val="22"/>
              </w:rPr>
              <w:t xml:space="preserve"> et al. 2016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{"citationItems":[{"id":"ITEM-1","itemData":{"DOI":"10.1016/S2213-8587(15)00462-3","ISSN":"22138595","PMID":"26809680","abstract":"The multivariable and progressive natural history of type 2 diabetes limits the effectiveness of available glucose-lowering drugs. Constraints imposed by comorbidities (notably cardiovascular disease and renal impairment) and the need to avoid hypoglycaemia, weight gain, and drug interactions further complicate the treatment process. These challenges have prompted the development of new formulations and delivery methods for existing drugs alongside research into novel pharmacological entities. Advances in incretin-based therapies include a miniature implantable osmotic pump to give continuous delivery of a glucagon-like peptide-1 receptor agonist for 6-12 months and once-weekly tablets of dipeptidyl peptidase-4 inhibitors. Hybrid molecules that combine the properties of selected incretins and other peptides are at early stages of development, and proof of concept has been shown for small non-peptide molecules to activate glucagon-like peptide-1 receptors. Additional sodium-glucose co-transporter inhibitors are progressing in development as well as possible new insulin-releasing biological agents and small-molecule inhibitors of glucagon action. Adiponectin receptor agonists, selective peroxisome proliferator-activated receptor modulators, cellular glucocorticoid inhibitors, and analogues of fibroblast growth factor 21 are being considered as potential new approaches to glucose lowering. Compounds that can enhance insulin receptor and post-receptor signalling cascades or directly promote selected pathways of glucose metabolism have suggested opportunities for future treatments. However, pharmacological interventions that are able to restore normal β-cell function and β-cell mass, normalise insulin action, and fully correct glucose homoeostasis are a distant vision.","author":[{"dropping-particle":"","family":"Bailey","given":"Clifford J.","non-dropping-particle":"","parse-names":false,"suffix":""},{"dropping-particle":"","family":"Tahrani","given":"Abd A.","non-dropping-particle":"","parse-names":false,"suffix":""},{"dropping-particle":"","family":"Barnett","given":"Anthony H.","non-dropping-particle":"","parse-names":false,"suffix":""}],"container-title":"The Lancet Diabetes and Endocrinology","id":"ITEM-1","issue":"4","issued":{"date-parts":[["2016"]]},"page":"350-359","title":"Future glucose-lowering drugs for type 2 diabetes","type":"article-journal","volume":"4"},"uris":["http://www.mendeley.com/documents/?uuid=fc3ba49d-b56a-4849-8108-c0c52c70e77b"]}],"mendeley":{"formattedCitation":"[51]","plainTextFormattedCitation":"[51]","previouslyFormattedCitation":"[51]"},"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[51]</w:t>
            </w:r>
            <w:r w:rsidRPr="00C21B42">
              <w:rPr>
                <w:rFonts w:ascii="Times New Roman" w:hAnsi="Times New Roman" w:cs="Times New Roman"/>
                <w:sz w:val="22"/>
                <w:szCs w:val="22"/>
              </w:rPr>
              <w:fldChar w:fldCharType="end"/>
            </w:r>
          </w:p>
        </w:tc>
        <w:tc>
          <w:tcPr>
            <w:tcW w:w="6938" w:type="dxa"/>
          </w:tcPr>
          <w:p w14:paraId="1D74DC95"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Alogliptin, Saxagliptin, Sitagliptin, Lixisenatide, Empaglifl ozin, Liraglutide, Canaglifl ozin, Exenatide, Linagliptin, Dapaglifl ozin, Dulaglutide, Acarbose</w:t>
            </w:r>
          </w:p>
        </w:tc>
      </w:tr>
      <w:tr w:rsidR="00920A42" w:rsidRPr="00C21B42" w14:paraId="3980B2DD"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38786BED" w14:textId="51F7F743"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Krentz</w:t>
            </w:r>
            <w:r w:rsidRPr="00C21B42">
              <w:rPr>
                <w:rFonts w:ascii="Times New Roman" w:hAnsi="Times New Roman" w:cs="Times New Roman"/>
                <w:sz w:val="22"/>
                <w:szCs w:val="22"/>
              </w:rPr>
              <w:t xml:space="preserve">  et al. 2008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{"citationItems":[{"id":"ITEM-1","itemData":{"DOI":"10.2165/00003495-200868150-00005","ISSN":"0012-6667","abstract":"Oral therapy for type 2 diabetes mellitus, when used appropriately, can safely assist patients to achieve glycaemic targets in the short to medium term. However, the progressive nature of type 2 diabetes usually requires a combination of two or more oral agents in the longer term, often as a prelude to insulin therapy. Issues of safety and tolerability, notably weight gain, often limit the optimal application of anti-diabetic drugs such as sulfonylureas and thiazolidinediones. Moreover, the impact of different drugs, even within a single class, on the risk of long-term vascular complications has come under scrutiny. For example, recent publication of evidence suggesting potential detrimental effects of rosiglitazone on myocardial events generated a heated debate and led to a reduction in use of this drug. In contrast, current evidence supports the view that pioglitazone has vasculoprotective properties. Both drugs are contraindicated in patients who are at risk of heart failure. An additional recently identified safety concern is an increased risk of fractures, especially in postmenopausal women.","author":[{"dropping-particle":"","family":"Krentz","given":"Andrew J","non-dropping-particle":"","parse-names":false,"suffix":""},{"dropping-particle":"","family":"Patel","given":"Mayank B","non-dropping-particle":"","parse-names":false,"suffix":""},{"dropping-particle":"","family":"Bailey","given":"Clifford J","non-dropping-particle":"","parse-names":false,"suffix":""}],"container-title":"Drugs","id":"ITEM-1","issue":"15","issued":{"date-parts":[["2008"]]},"page":"2131-2162","title":"New Drugs for Type 2 Diabetes Mellitus","type":"article-journal","volume":"68"},"uris":["http://www.mendeley.com/documents/?uuid=83435480-9f95-4655-8d3a-375b905f715e"]}],"mendeley":{"formattedCitation":"[52]","plainTextFormattedCitation":"[52]","previouslyFormattedCitation":"[52]"},"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[52]</w:t>
            </w:r>
            <w:r w:rsidRPr="00C21B42">
              <w:rPr>
                <w:rFonts w:ascii="Times New Roman" w:hAnsi="Times New Roman" w:cs="Times New Roman"/>
                <w:sz w:val="22"/>
                <w:szCs w:val="22"/>
              </w:rPr>
              <w:fldChar w:fldCharType="end"/>
            </w:r>
          </w:p>
        </w:tc>
        <w:tc>
          <w:tcPr>
            <w:tcW w:w="6938" w:type="dxa"/>
          </w:tcPr>
          <w:p w14:paraId="7ED12B8D"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Sulfonylureas, Meglitinides, Metformin, Thiazolidinediones, α-Glucosidase, nhibitors, Insulin</w:t>
            </w:r>
          </w:p>
        </w:tc>
      </w:tr>
      <w:tr w:rsidR="00920A42" w:rsidRPr="00C21B42" w14:paraId="497544CF"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95A9ED4" w14:textId="626A1ED5"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Esposito</w:t>
            </w:r>
            <w:r w:rsidRPr="00C21B42">
              <w:rPr>
                <w:rFonts w:ascii="Times New Roman" w:hAnsi="Times New Roman" w:cs="Times New Roman"/>
                <w:sz w:val="22"/>
                <w:szCs w:val="22"/>
              </w:rPr>
              <w:t xml:space="preserve"> et al. 2012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{"citationItems":[{"id":"ITEM-1","itemData":{"DOI":"10.1111/j.1463-1326.2011.01512.x","ISSN":"14631326","PMID":"21958121","abstract":"Aim: We assessed the efficacy of eight classes of diabetes medications used in current clinical practice [metformin, sulphonylureas, α-glucosidase inhibitors, thiazolidinediones, glinides, dipeptidyl peptidase-4 inhibitors, glucagon-like peptide-1 (GLP-1) analogues and insulin analogues] to reach the HbA1c target &lt;7% in type 2 diabetes. Methods: MEDLINE, EMBASE and the Cochrane CENTRAL were searched from inception through April 2011 for randomized controlled trials (RCTs) involving antidiabetic drugs. RCTs had to report the effect of any diabetes medication on the HbA1c levels, to include at least 30 subjects in every arm of the study, and to report the effect of therapy after a minimum of 12 weeks. Data were summarized across studies using random-effects meta-regression. Results: A total of 218 RCTs (339 arms and 77 950 patients) met the inclusion criteria. The proportion of patients who achieved the HbA1c goal ranged from 25.9% (95% CI 18.5-34.9) with α-glucosidase inhibitors to 63.2% (54.1-71.5) with the long-acting GLP-1 analogue. There was a progressive decrease of the proportion of patients at target for each 0.5% increase in baseline HbA1c, ranging from 57.8% for HbA1c ≤7.5% to 20.8% for HbA1c ≥10% (p for trend &lt;0.0001), with some difference between insulin and non-insulin drugs: for insulin, the proportion of patients at goal reached a plateau for basal HbA1c value &gt;9.0% with no further decrease, whereas for non-insulin drugs the relationship was continuous without any evidence of plateau. Conclusions: There is a considerable variability with regard to attainment of HbA1c goal of &lt;7% among the different classes of diabetes medications; baseline HbA1c is an important determinant of observed efficacy. © 2011 Blackwell Publishing Ltd.","author":[{"dropping-particle":"","family":"Esposito","given":"K.","non-dropping-particle":"","parse-names":false,"suffix":""},{"dropping-particle":"","family":"Chiodini","given":"P.","non-dropping-particle":"","parse-names":false,"suffix":""},{"dropping-particle":"","family":"Bellastella","given":"G.","non-dropping-particle":"","parse-names":false,"suffix":""},{"dropping-particle":"","family":"Maiorino","given":"M. I.","non-dropping-particle":"","parse-names":false,"suffix":""},{"dropping-particle":"","family":"Giugliano","given":"D.","non-dropping-particle":"","parse-names":false,"suffix":""}],"container-title":"Diabetes, Obesity and Metabolism","id":"ITEM-1","issue":"3","issued":{"date-parts":[["2012"]]},"page":"228-233","title":"Proportion of patients at HbA1c target &lt;7% with eight classes of antidiabetic drugs in type 2 diabetes: Systematic review of 218 randomized controlled trials with 78 945 patients","type":"article-journal","volume":"14"},"uris":["http://www.mendeley.com/documents/?uuid=a8b7b228-9a86-4283-aaed-c1d68ebff12c"]}],"mendeley":{"formattedCitation":"[53]","plainTextFormattedCitation":"[53]","previouslyFormattedCitation":"[53]"},"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[53]</w:t>
            </w:r>
            <w:r w:rsidRPr="00C21B42">
              <w:rPr>
                <w:rFonts w:ascii="Times New Roman" w:hAnsi="Times New Roman" w:cs="Times New Roman"/>
                <w:sz w:val="22"/>
                <w:szCs w:val="22"/>
              </w:rPr>
              <w:fldChar w:fldCharType="end"/>
            </w:r>
          </w:p>
        </w:tc>
        <w:tc>
          <w:tcPr>
            <w:tcW w:w="6938" w:type="dxa"/>
          </w:tcPr>
          <w:p w14:paraId="448BFCFD"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Basal, Biphasic, Prandial, Basal bolus, GLP-1 agonists, Exenatide LAR, DPP-4 inhibitors,  AGI, Thiazolidinediones, Sulphonylureas, Glinides, Metformin</w:t>
            </w:r>
          </w:p>
        </w:tc>
      </w:tr>
      <w:tr w:rsidR="00920A42" w:rsidRPr="00C21B42" w14:paraId="45800CBF"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32DD9D4E" w14:textId="34A428D7"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 xml:space="preserve">Moller et al. 2001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{"citationItems":[{"id":"ITEM-1","itemData":{"author":[{"dropping-particle":"","family":"Moller DE","given":"","non-dropping-particle":"","parse-names":false,"suffix":""}],"container-title":"Nature","id":"ITEM-1","issued":{"date-parts":[["2001"]]},"page":"821–827","title":"New drug targets for type 2 diabetes and the metabolic syndrome","type":"article-journal","volume":"414"},"uris":["http://www.mendeley.com/documents/?uuid=a71112c3-d955-42da-a5da-cebe31029eba"]}],"mendeley":{"formattedCitation":"[54]","plainTextFormattedCitation":"[54]","previouslyFormattedCitation":"[54]"},"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[54]</w:t>
            </w:r>
            <w:r w:rsidRPr="00C21B42">
              <w:rPr>
                <w:rFonts w:ascii="Times New Roman" w:hAnsi="Times New Roman" w:cs="Times New Roman"/>
                <w:sz w:val="22"/>
                <w:szCs w:val="22"/>
              </w:rPr>
              <w:fldChar w:fldCharType="end"/>
            </w:r>
          </w:p>
        </w:tc>
        <w:tc>
          <w:tcPr>
            <w:tcW w:w="6938" w:type="dxa"/>
          </w:tcPr>
          <w:p w14:paraId="7AE88695"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Insulin , Sulphonylureas,  Metformin, Acarbose, Pioglitazone, rosiglitazone</w:t>
            </w:r>
          </w:p>
        </w:tc>
      </w:tr>
      <w:tr w:rsidR="00920A42" w:rsidRPr="00C21B42" w14:paraId="428B0F3A"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5C75D6B9" w14:textId="23C6787D"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Chehade</w:t>
            </w:r>
            <w:r w:rsidRPr="00C21B42">
              <w:rPr>
                <w:rFonts w:ascii="Times New Roman" w:hAnsi="Times New Roman" w:cs="Times New Roman"/>
                <w:sz w:val="22"/>
                <w:szCs w:val="22"/>
              </w:rPr>
              <w:t xml:space="preserve"> et al. 2000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{"citationItems":[{"id":"ITEM-1","itemData":{"ISSN":"0012-6667","abstract":"Several new pharmacological agents have recently been developed to optimise the management of type 2 (non-insulin-dependent) diabetes mellitus. The aim of this article is to briefly review the various therapeutic agents available for management of patients with type 2 diabetes mellitus and to suggest a potential approach to drug selection. There are three general therapeutic modalities relevant to diabetes care. The first modality is lifestyle adjusments aimed at improving endogenous insulin sensitivity or insulin effect. This can be achieved by increased physical activity and bodyweight reduction with diet and behavioural modification, and the use of pharmacological agents or surgery. This first modality is not discussed in depth in this article. The second modality involves increasing insulin availability by the administration of exogenous insulin, insulin analogues, sulphonylureas and the new insulin secretagogue, repaglinide. The most frequently encountered adverse effect of these agents is hypoglycaemia. Bodyweight gain can also be a concern, especially in patients who are obese. The association between hyperinsulinaemia and premature atherosclerosis is still a debatable question. The third modality consists of agents such as biguanides and thiazolidinediones which enhance insulin sensitivity, or agents that decrease insulin requirements like the α-glucosidase inhibitors. Type 2 diabetes mellitus is a heterogenous disease with multiple underlying pathophysiological processes. Therapy should be individualised based on the degree of hyperglycaemia, hyperinsulinaemia or insulin deficiency. In addition, several factors have to be considered when prescribing a specific therapeutic agent. These factors include efficacy, safety, affordability and ease of administration.","author":[{"dropping-particle":"","family":"Chehade","given":"J.M.","non-dropping-particle":"","parse-names":false,"suffix":""},{"dropping-particle":"","family":"A.D.","given":"Mooradian","non-dropping-particle":"","parse-names":false,"suffix":""}],"container-title":"Drugs","id":"ITEM-1","issue":"1","issued":{"date-parts":[["2000"]]},"page":"95-113","title":"A rational approach to drug therapy of type 2 diabetes mellitus","type":"article-journal","volume":"60"},"uris":["http://www.mendeley.com/documents/?uuid=5f031712-cbbc-41dc-bfaf-91508ba3e239"]}],"mendeley":{"formattedCitation":"[55]","plainTextFormattedCitation":"[55]","previouslyFormattedCitation":"[55]"},"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[55]</w:t>
            </w:r>
            <w:r w:rsidRPr="00C21B42">
              <w:rPr>
                <w:rFonts w:ascii="Times New Roman" w:hAnsi="Times New Roman" w:cs="Times New Roman"/>
                <w:sz w:val="22"/>
                <w:szCs w:val="22"/>
              </w:rPr>
              <w:fldChar w:fldCharType="end"/>
            </w:r>
          </w:p>
        </w:tc>
        <w:tc>
          <w:tcPr>
            <w:tcW w:w="6938" w:type="dxa"/>
          </w:tcPr>
          <w:p w14:paraId="2FBB6128"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Acetohexamide, olbutamide, Chlorpropamide, Tolazamide, Glipizide, Glipizide, Glyburide, Glyburide micronised, Glimepiride, Gliquidone, Gliclazide</w:t>
            </w:r>
          </w:p>
        </w:tc>
      </w:tr>
      <w:tr w:rsidR="00920A42" w:rsidRPr="00C21B42" w14:paraId="4E722DE7"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6BD3F9C9" w14:textId="2A3659D9"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Deans</w:t>
            </w:r>
            <w:r w:rsidRPr="00C21B42">
              <w:rPr>
                <w:rFonts w:ascii="Times New Roman" w:hAnsi="Times New Roman" w:cs="Times New Roman"/>
                <w:sz w:val="22"/>
                <w:szCs w:val="22"/>
              </w:rPr>
              <w:t xml:space="preserve"> et al. 2006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{"citationItems":[{"id":"ITEM-1","itemData":{"DOI":"10.1089/dia.2006.8.18","ISSN":"15209156","PMID":"16472047","abstract":"There is a growing body of evidence for the role of inflammation in type 2 diabetes. In addition to the evidence presented elsewhere, evidence is emerging that many drugs that have apparent \"anti-inflammatory\" properties may reduce the incidence and/or delay the onset of type 2 diabetes. Statins have been found to lower inflammatory markers, and a post hoc analysis of the West of Scotland Coronary Prevention Study (WOSCOPS) suggested that pravastatin may reduce the risk of developing diabetes, although the Lipid Lowering Arm of the Anglo-Scandinavian Cardiac Outcomes Trial (ASCOT) found no statistically significant effect of atorvastatin on risk of developing diabetes. Fibrates have been found to lower some markers of inflammation, and a prospective trial found that bezafibrate reduces risk of developing diabetes. Angiotensin converting enzyme (ACE) inhibitors and angiotensin receptor blockers appear to reduce some markers of inflammation, and a meta-analysis concluded that ACE inhibitors and angiotensin receptor blockers reduce risk of developing type 2 diabetes. Metformin is known to reduce the risk of developing diabetes, and more recent evidence suggests it also lowers C-reactive protein, in part because of its modest weight-reducing effect. Thiazolidinediones reduce risk of developing diabetes, and consistently lower inflammatory markers independent of adiposity effects. High-dose aspirin inhibits cyclooxygenase and IκB kinase-β and reduces fasting plasma glucose concentration, although there has not, as yet, been a large-scale trial to examine the effect of aspirin on the risk of developing diabetes. We conclude that although many drugs with potential anti-inflammatory properties reduce the risk of developing diabetes, it is difficult to prove that such anti-inflammatory properties contribute to their diabetes prevention since nearly all drugs have other, often more pronounced, actions. Studies with more specific inhibitors of inflammatory pathways (e.g., interleukin-6 blockers) and mendelian randomization (genetic studies) will help determine whether targeting the inflammation axis is a fertile mechanism to treat or prevent type 2 diabetes. © Mary Ann Liebert, Inc.","author":[{"dropping-particle":"","family":"Deans","given":"Kevin A.","non-dropping-particle":"","parse-names":false,"suffix":""},{"dropping-particle":"","family":"Sattar","given":"Naveed","non-dropping-particle":"","parse-names":false,"suffix":""}],"container-title":"Diabetes Technology and Therapeutics","id":"ITEM-1","issue":"1","issued":{"date-parts":[["2006"]]},"page":"18-27","title":"\"Anti-inflammatory\" drugs and their effects on type 2 Diabetes","type":"article-journal","volume":"8"},"uris":["http://www.mendeley.com/documents/?uuid=6e9c28ea-3458-4e22-a75f-9d1239c6505e"]}],"mendeley":{"formattedCitation":"[56]","plainTextFormattedCitation":"[56]","previouslyFormattedCitation":"[56]"},"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[56]</w:t>
            </w:r>
            <w:r w:rsidRPr="00C21B42">
              <w:rPr>
                <w:rFonts w:ascii="Times New Roman" w:hAnsi="Times New Roman" w:cs="Times New Roman"/>
                <w:sz w:val="22"/>
                <w:szCs w:val="22"/>
              </w:rPr>
              <w:fldChar w:fldCharType="end"/>
            </w:r>
          </w:p>
        </w:tc>
        <w:tc>
          <w:tcPr>
            <w:tcW w:w="6938" w:type="dxa"/>
          </w:tcPr>
          <w:p w14:paraId="3E228C6E"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Statins, Fibrates, ACE inhibitors and ARBs, Aspirin, Metformin, Glitazones</w:t>
            </w:r>
          </w:p>
        </w:tc>
      </w:tr>
      <w:tr w:rsidR="00920A42" w:rsidRPr="00C21B42" w14:paraId="11C71210"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0D57DDDF" w14:textId="7B69F575"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Avery</w:t>
            </w:r>
            <w:r w:rsidRPr="00C21B42">
              <w:rPr>
                <w:rFonts w:ascii="Times New Roman" w:hAnsi="Times New Roman" w:cs="Times New Roman"/>
                <w:sz w:val="22"/>
                <w:szCs w:val="22"/>
              </w:rPr>
              <w:t xml:space="preserve"> et al. 2008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{"citationItems":[{"id":"ITEM-1","itemData":{"DOI":"10.2174/092986708783330656","ISSN":"09298673","abstract":"Type II diabetes is a heterogeneous disease where environment and genetics are important factors for the expression of the disease. The high cost for treating complications of diabetes is a burden for public health systems and governments worldwide. Type II diabetes has been causing debilitation worldwide for many decades, and a single drug that safely treats the disease has yet to be discovered. Sulfonylureas, biguanides, α-glucosidase, meglitinides, DPP-4 inhibitors and thiazolidinediones are among the classes of oral hypoglycemic drugs available to treat Type II diabetes, but concerns exist regarding safety and efficacy of these drugs. In this article we present the pros and cons of the six classes and discuss some of the latest advances towards the development of new drugs for the treatment of Type II diabetes. © 2008 Bentham Science Publishers Ltd.","author":[{"dropping-particle":"","family":"Avery","given":"Mitchell","non-dropping-particle":"","parse-names":false,"suffix":""},{"dropping-particle":"","family":"Mizuno","given":"Cassia","non-dropping-particle":"","parse-names":false,"suffix":""},{"dropping-particle":"","family":"Chittiboyina","given":"Amar","non-dropping-particle":"","parse-names":false,"suffix":""},{"dropping-particle":"","family":"Kurtz","given":"Theodore","non-dropping-particle":"","parse-names":false,"suffix":""},{"dropping-particle":"","family":"Pershadsingh","given":"Harrihar","non-dropping-particle":"","parse-names":false,"suffix":""}],"container-title":"Current Medicinal Chemistry","id":"ITEM-1","issue":"1","issued":{"date-parts":[["2008"]]},"page":"61-74","title":"Type 2 Diabetes and Oral Antihyperglycemic Drugs","type":"article-journal","volume":"15"},"uris":["http://www.mendeley.com/documents/?uuid=9f6adb07-cfd9-4168-932b-5fa72e14cc2f"]}],"mendeley":{"formattedCitation":"[57]","plainTextFormattedCitation":"[57]","previouslyFormattedCitation":"[57]"},"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[57]</w:t>
            </w:r>
            <w:r w:rsidRPr="00C21B42">
              <w:rPr>
                <w:rFonts w:ascii="Times New Roman" w:hAnsi="Times New Roman" w:cs="Times New Roman"/>
                <w:sz w:val="22"/>
                <w:szCs w:val="22"/>
              </w:rPr>
              <w:fldChar w:fldCharType="end"/>
            </w:r>
          </w:p>
        </w:tc>
        <w:tc>
          <w:tcPr>
            <w:tcW w:w="6938" w:type="dxa"/>
          </w:tcPr>
          <w:p w14:paraId="7EE77D83"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Ciglitazone, Troglitazone, Pioglitazone, Englitazone, Darglitazone, Rosiglitazone, Isaglitazone</w:t>
            </w:r>
          </w:p>
        </w:tc>
      </w:tr>
      <w:tr w:rsidR="00920A42" w:rsidRPr="00C21B42" w14:paraId="58BA6D3B"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D0CB2E0" w14:textId="0B9603F3"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Paneni</w:t>
            </w:r>
            <w:r w:rsidRPr="00C21B42">
              <w:rPr>
                <w:rFonts w:ascii="Times New Roman" w:hAnsi="Times New Roman" w:cs="Times New Roman"/>
                <w:sz w:val="22"/>
                <w:szCs w:val="22"/>
              </w:rPr>
              <w:t xml:space="preserve"> et al. 2017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{"citationItems":[{"id":"ITEM-1","itemData":{"DOI":"10.1016/j.amjcard.2017.05.015","ISSN":"18791913","PMID":"28606340","abstract":"Patients with type 2 diabetes (T2DM) have a significantly higher risk of developing cardiovascular disease (CVD)—namely myocardial infarction, heart failure, and stroke. Despite clear advances in the prevention and treatment of CVD, the impact of T2DM on CVD outcome remains high and continues to escalate. Available evidence indicates that the risk of macrovascular complications increases with the severity of hyperglycemia, thus suggesting that the relation between metabolic disturbances and vascular damage is approximately linear. Although current antidiabetic drugs are highly effective for the management of hyperglycemia, most T2DM patients remain exposed to a substantial and concrete risk of CVD. Over the last decade many glucose-lowering agents have been tested for their safety and efficacy in T2DM with CVD. Noteworthy, most of these studies failed to show a significant benefit in terms of CV morbidity and mortality, despite intensive glycemic control. The recent trials Empagliflozin Cardiovascular Outcome Event Trial in Type 2 Diabetes Mellitus Patients–Removing Excess Glucose (EMPA-REG OUTCOME); Trial to Evaluate Cardiovascular and Other Long-term Outcomes with Semaglutide in Subjects with Type 2 Diabetes (SUSTAIN-6); Liraglutide Effect and Action in Diabetes: Evaluation of Cardiovascular Outcome Results (LEADER); and Insulin Resistance Intervention After Stroke (IRIS) have shed some light on this important clinical issue, thus showing a convincing effect of empagliflozin, liraglutide, and pioglitazone on CVD outcomes. Here we provide a critical and updated overview of the main glucose-lowering agents and their risk/benefit ratio for the prevention of CVD in patients with T2DM.","author":[{"dropping-particle":"","family":"Paneni","given":"Francesco","non-dropping-particle":"","parse-names":false,"suffix":""},{"dropping-particle":"","family":"Lüscher","given":"Thomas F.","non-dropping-particle":"","parse-names":false,"suffix":""}],"container-title":"American Journal of Cardiology","id":"ITEM-1","issue":"1","issued":{"date-parts":[["2017"]]},"page":"S17-S27","title":"Cardiovascular Protection in the Treatment of Type 2 Diabetes: A Review of Clinical Trial Results Across Drug Classes","type":"article-journal","volume":"120"},"uris":["http://www.mendeley.com/documents/?uuid=54b36629-7e52-48c5-ba08-be1e8f485b10"]}],"mendeley":{"formattedCitation":"[58]","plainTextFormattedCitation":"[58]","previouslyFormattedCitation":"[58]"},"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[58]</w:t>
            </w:r>
            <w:r w:rsidRPr="00C21B42">
              <w:rPr>
                <w:rFonts w:ascii="Times New Roman" w:hAnsi="Times New Roman" w:cs="Times New Roman"/>
                <w:sz w:val="22"/>
                <w:szCs w:val="22"/>
              </w:rPr>
              <w:fldChar w:fldCharType="end"/>
            </w:r>
          </w:p>
        </w:tc>
        <w:tc>
          <w:tcPr>
            <w:tcW w:w="6938" w:type="dxa"/>
          </w:tcPr>
          <w:p w14:paraId="0B3704A9"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Biguanides, Sulfonylureas, Thiazolidinediones, peptide-1 receptor, Dipeptidyl peptidase-4, Sodium glucose</w:t>
            </w:r>
          </w:p>
        </w:tc>
      </w:tr>
      <w:tr w:rsidR="00920A42" w:rsidRPr="00C21B42" w14:paraId="235BD50E"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02FD663A" w14:textId="0A5288AC"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Adeghate</w:t>
            </w:r>
            <w:r w:rsidRPr="00C21B42">
              <w:rPr>
                <w:rFonts w:ascii="Times New Roman" w:hAnsi="Times New Roman" w:cs="Times New Roman"/>
                <w:sz w:val="22"/>
                <w:szCs w:val="22"/>
              </w:rPr>
              <w:t xml:space="preserve"> et al. 2021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{"citationItems":[{"id":"ITEM-1","itemData":{"DOI":"10.1080/13543784.2021.1865914","ISSN":"17447658","PMID":"33327794","author":[{"dropping-particle":"","family":"Adeghate","given":"Ernest A.","non-dropping-particle":"","parse-names":false,"suffix":""},{"dropping-particle":"","family":"Kalász","given":"Huba","non-dropping-particle":"","parse-names":false,"suffix":""},{"dropping-particle":"","family":"Jaberi","given":"Saeeda","non-dropping-particle":"Al","parse-names":false,"suffix":""},{"dropping-particle":"","family":"Adeghate","given":"Jennifer","non-dropping-particle":"","parse-names":false,"suffix":""},{"dropping-particle":"","family":"Tekes","given":"Kornelia","non-dropping-particle":"","parse-names":false,"suffix":""}],"container-title":"Expert Opinion on Investigational Drugs","id":"ITEM-1","issue":"2","issued":{"date-parts":[["2021"]]},"page":"85-93","title":"Tackling type 2 diabetes-associated cardiovascular and renal comorbidities: a key challenge for drug development","type":"article-journal","volume":"30"},"uris":["http://www.mendeley.com/documents/?uuid=45a306f1-a90d-4c75-adbe-e19e881315a6"]}],"mendeley":{"formattedCitation":"[59]","plainTextFormattedCitation":"[59]","previouslyFormattedCitation":"[59]"},"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[59]</w:t>
            </w:r>
            <w:r w:rsidRPr="00C21B42">
              <w:rPr>
                <w:rFonts w:ascii="Times New Roman" w:hAnsi="Times New Roman" w:cs="Times New Roman"/>
                <w:sz w:val="22"/>
                <w:szCs w:val="22"/>
              </w:rPr>
              <w:fldChar w:fldCharType="end"/>
            </w:r>
          </w:p>
        </w:tc>
        <w:tc>
          <w:tcPr>
            <w:tcW w:w="6938" w:type="dxa"/>
          </w:tcPr>
          <w:p w14:paraId="4E4760DD" w14:textId="77777777" w:rsidR="00920A42" w:rsidRPr="00C21B42" w:rsidRDefault="00920A42" w:rsidP="00F07D54">
            <w:pPr>
              <w:pStyle w:val="BodyText"/>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bookmarkStart w:id="33" w:name="_i11"/>
            <w:bookmarkEnd w:id="33"/>
            <w:r w:rsidRPr="00C21B42">
              <w:rPr>
                <w:rFonts w:ascii="Times New Roman" w:hAnsi="Times New Roman" w:cs="Times New Roman"/>
                <w:color w:val="000000"/>
                <w:sz w:val="22"/>
                <w:szCs w:val="22"/>
              </w:rPr>
              <w:t xml:space="preserve">Sulfonylureas, </w:t>
            </w:r>
            <w:bookmarkStart w:id="34" w:name="_i12"/>
            <w:bookmarkEnd w:id="34"/>
            <w:r w:rsidRPr="00C21B42">
              <w:rPr>
                <w:rFonts w:ascii="Times New Roman" w:hAnsi="Times New Roman" w:cs="Times New Roman"/>
                <w:color w:val="000000"/>
                <w:sz w:val="22"/>
                <w:szCs w:val="22"/>
              </w:rPr>
              <w:t xml:space="preserve">Biguanides, </w:t>
            </w:r>
            <w:bookmarkStart w:id="35" w:name="_i13"/>
            <w:bookmarkEnd w:id="35"/>
            <w:r w:rsidRPr="00C21B42">
              <w:rPr>
                <w:rFonts w:ascii="Times New Roman" w:hAnsi="Times New Roman" w:cs="Times New Roman"/>
                <w:color w:val="000000"/>
                <w:sz w:val="22"/>
                <w:szCs w:val="22"/>
              </w:rPr>
              <w:t xml:space="preserve">Inhibitors of α-glucosidase, </w:t>
            </w:r>
            <w:bookmarkStart w:id="36" w:name="_i14"/>
            <w:bookmarkEnd w:id="36"/>
            <w:r w:rsidRPr="00C21B42">
              <w:rPr>
                <w:rFonts w:ascii="Times New Roman" w:hAnsi="Times New Roman" w:cs="Times New Roman"/>
                <w:color w:val="000000"/>
                <w:sz w:val="22"/>
                <w:szCs w:val="22"/>
              </w:rPr>
              <w:t xml:space="preserve">Thiazolidinediones, </w:t>
            </w:r>
            <w:bookmarkStart w:id="37" w:name="_i15"/>
            <w:bookmarkEnd w:id="37"/>
            <w:r w:rsidRPr="00C21B42">
              <w:rPr>
                <w:rFonts w:ascii="Times New Roman" w:hAnsi="Times New Roman" w:cs="Times New Roman"/>
                <w:color w:val="000000"/>
                <w:sz w:val="22"/>
                <w:szCs w:val="22"/>
              </w:rPr>
              <w:t xml:space="preserve">Meglitinides, </w:t>
            </w:r>
            <w:bookmarkStart w:id="38" w:name="_i16"/>
            <w:bookmarkEnd w:id="38"/>
            <w:r w:rsidRPr="00C21B42">
              <w:rPr>
                <w:rFonts w:ascii="Times New Roman" w:hAnsi="Times New Roman" w:cs="Times New Roman"/>
                <w:color w:val="000000"/>
                <w:sz w:val="22"/>
                <w:szCs w:val="22"/>
              </w:rPr>
              <w:t xml:space="preserve"> Dipeptidyl peptidase 4 inhibitors</w:t>
            </w:r>
          </w:p>
        </w:tc>
      </w:tr>
      <w:tr w:rsidR="00920A42" w:rsidRPr="00C21B42" w14:paraId="21699859"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509519B" w14:textId="7D086FE5"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Gupta</w:t>
            </w:r>
            <w:r w:rsidRPr="00C21B42">
              <w:rPr>
                <w:rFonts w:ascii="Times New Roman" w:hAnsi="Times New Roman" w:cs="Times New Roman"/>
                <w:sz w:val="22"/>
                <w:szCs w:val="22"/>
              </w:rPr>
              <w:t xml:space="preserve"> et al. 2009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{"citationItems":[{"id":"ITEM-1","itemData":{"DOI":"10.2174/138945009787122860","ISSN":"13894501","PMID":"19149538","abstract":"Dipeptidyl peptidase IV (DPP IV) is a key regulator of insulin-stimulating hormones, glucagon-like peptide (GLP-1) and glucose-dependent insulinotropic polypeptide (GIP), thus it is a promising target for the treatment of Type 2 Diabetes mellitus (T2DM). Inhibition of plasma DPP IV enzyme leads to enhanced endogenous GLP-1 and GIP activity, which ultimately results in the potentiation of insulin secretion by pancreatic β-cells and subsequent lowering of blood glucose levels, HbA[1c], glucagon secretion and liver glucose production. Various classes of structurally different DPP IV inhibitors are currently being explored and few of them such as Sitagliptin and Vildagliptin were successfully launched. These drugs have been approved as a once-daily oral monotherapy or as a combination therapy with current anti-diabetic agents like pioglitazone, glibenclamide, metformin etc. for the treatment of T2DM. Several other novel DPP IV inhibitors are in pipeline. The present review summarizes the latest preclinical and clinical trial data of different DPP IV inhibitors with a special emphasis on their DPP8/9 fold selectivity and therapeutic advantages over GLP-1 based approach. © 2009 Bentham Science Publishers Ltd.","author":[{"dropping-particle":"","family":"Gupta","given":"Rajesh","non-dropping-particle":"","parse-names":false,"suffix":""},{"dropping-particle":"","family":"Walunj","given":"Sameer","non-dropping-particle":"","parse-names":false,"suffix":""},{"dropping-particle":"","family":"Tokala","given":"Ranjeet","non-dropping-particle":"","parse-names":false,"suffix":""},{"dropping-particle":"","family":"Parsa","given":"Kishore","non-dropping-particle":"","parse-names":false,"suffix":""},{"dropping-particle":"","family":"Singh","given":"Santosh","non-dropping-particle":"","parse-names":false,"suffix":""},{"dropping-particle":"","family":"Pal","given":"Manojit","non-dropping-particle":"","parse-names":false,"suffix":""}],"container-title":"Current Drug Targets","id":"ITEM-1","issue":"1","issued":{"date-parts":[["2009"]]},"page":"71-87","title":"Emerging Drug Candidates of Dipeptidyl Peptidase IV (DPP IV) Inhibitor Class for the Treatment of Type 2 Diabetes","type":"article-journal","volume":"10"},"uris":["http://www.mendeley.com/documents/?uuid=6ae4caa9-d93b-4bac-bdab-3e5ad10c2404"]}],"mendeley":{"formattedCitation":"[60]","plainTextFormattedCitation":"[60]","previouslyFormattedCitation":"[60]"},"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[60]</w:t>
            </w:r>
            <w:r w:rsidRPr="00C21B42">
              <w:rPr>
                <w:rFonts w:ascii="Times New Roman" w:hAnsi="Times New Roman" w:cs="Times New Roman"/>
                <w:sz w:val="22"/>
                <w:szCs w:val="22"/>
              </w:rPr>
              <w:fldChar w:fldCharType="end"/>
            </w:r>
          </w:p>
        </w:tc>
        <w:tc>
          <w:tcPr>
            <w:tcW w:w="6938" w:type="dxa"/>
          </w:tcPr>
          <w:p w14:paraId="218C60C8"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Insulin, Sulphonylurea, Biguanides, Acarbose , Thiazolidinediones , PPAR/ dual agonists, GLP-1 analogs</w:t>
            </w:r>
          </w:p>
        </w:tc>
      </w:tr>
      <w:tr w:rsidR="00920A42" w:rsidRPr="00C21B42" w14:paraId="24549951"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6B0650F1" w14:textId="54C25EBB"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Tamborlane</w:t>
            </w:r>
            <w:r w:rsidRPr="00C21B42">
              <w:rPr>
                <w:rFonts w:ascii="Times New Roman" w:hAnsi="Times New Roman" w:cs="Times New Roman"/>
                <w:sz w:val="22"/>
                <w:szCs w:val="22"/>
              </w:rPr>
              <w:t xml:space="preserve"> et al. 2016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{"citationItems":[{"id":"ITEM-1","itemData":{"ISSN":"0149-5992","author":[{"dropping-particle":"V.","family":"Tamborlane","given":"William","non-dropping-particle":"","parse-names":false,"suffix":""},{"dropping-particle":"","family":"Haymond","given":"Morey W.","non-dropping-particle":"","parse-names":false,"suffix":""},{"dropping-particle":"","family":"Dunger","given":"David","non-dropping-particle":"","parse-names":false,"suffix":""},{"dropping-particle":"","family":"Shankar","given":"Ravi","non-dropping-particle":"","parse-names":false,"suffix":""},{"dropping-particle":"","family":"Gubitosi-Klug","given":"Rose","non-dropping-particle":"","parse-names":false,"suffix":""},{"dropping-particle":"","family":"Bethin","given":"Kathleen","non-dropping-particle":"","parse-names":false,"suffix":""},{"dropping-particle":"","family":"Karres","given":"Janina","non-dropping-particle":"","parse-names":false,"suffix":""},{"dropping-particle":"","family":"Tomasi","given":"Paolo","non-dropping-particle":"","parse-names":false,"suffix":""},{"dropping-particle":"","family":"Libman","given":"Ingrid","non-dropping-particle":"","parse-names":false,"suffix":""},{"dropping-particle":"","family":"Hale","given":"Paula H.","non-dropping-particle":"","parse-names":false,"suffix":""},{"dropping-particle":"","family":"Portman","given":"Ronald","non-dropping-particle":"","parse-names":false,"suffix":""},{"dropping-particle":"","family":"Klingensmith","given":"Georgeanna","non-dropping-particle":"","parse-names":false,"suffix":""},{"dropping-particle":"","family":"Reed","given":"Michael","non-dropping-particle":"","parse-names":false,"suffix":""},{"dropping-particle":"","family":"Blumer","given":"Jeffrey","non-dropping-particle":"","parse-names":false,"suffix":""},{"dropping-particle":"","family":"Giacoia","given":"George","non-dropping-particle":"","parse-names":false,"suffix":""}],"container-title":"Diabetes Care","id":"ITEM-1","issue":"3","issued":{"date-parts":[["2016"]]},"page":"323-329","title":"Expanding Treatment Options for Youth With Type 2 Diabetes: Current Problems and Proposed Solutions","type":"article-journal","volume":"39"},"uris":["http://www.mendeley.com/documents/?uuid=ed64cf9d-5eed-4487-aa37-3e0bee1522b1"]}],"mendeley":{"formattedCitation":"[61]","plainTextFormattedCitation":"[61]","previouslyFormattedCitation":"[61]"},"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[61]</w:t>
            </w:r>
            <w:r w:rsidRPr="00C21B42">
              <w:rPr>
                <w:rFonts w:ascii="Times New Roman" w:hAnsi="Times New Roman" w:cs="Times New Roman"/>
                <w:sz w:val="22"/>
                <w:szCs w:val="22"/>
              </w:rPr>
              <w:fldChar w:fldCharType="end"/>
            </w:r>
          </w:p>
        </w:tc>
        <w:tc>
          <w:tcPr>
            <w:tcW w:w="6938" w:type="dxa"/>
          </w:tcPr>
          <w:p w14:paraId="6C5C19BF"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Colesevelam, Exenatide, Linagliptin, Liraglutide, Saxagliptin, Sitagliptin, Taspoglutide, Empagliflozin, Exenatide, Alogliptin, Albiglutide, Omarigliptin, Dulaglutide, Lixisenatide, Sotagliflozin, Ertugliflozin</w:t>
            </w:r>
          </w:p>
        </w:tc>
      </w:tr>
      <w:tr w:rsidR="00920A42" w:rsidRPr="00C21B42" w14:paraId="63241AA2"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5C8A85AD" w14:textId="29439CB1"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Lu</w:t>
            </w:r>
            <w:r w:rsidRPr="00C21B42">
              <w:rPr>
                <w:rFonts w:ascii="Times New Roman" w:hAnsi="Times New Roman" w:cs="Times New Roman"/>
                <w:sz w:val="22"/>
                <w:szCs w:val="22"/>
              </w:rPr>
              <w:t xml:space="preserve"> et al. 2018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{"citationItems":[{"id":"ITEM-1","itemData":{"DOI":"10.2174/1876524601808010022","ISSN":"1876-5246","abstract":"The causality and etio-pathologic risks for patients with Type 2 Diabetes (T2DM) are important areas in modern medicine. Disease complications are largely unpredictable in patients with T2DM. In the future, we welcome therapeutics of both cutting-edge and traditional for anti-diabetic treatments and management with higher efficiency and less cost. Expanding medical knowledge, behavior/life-style notification in healthcare, modern genetic/bioinformatics diagnostic promotion, clinical developments (Traditional Chinese Medicine and personalized medicine) and new drug developments - including candidate drug targets should be implemented in the future. These efforts might be useful avenues for updating anti-diabetic therapeutics globally. This article aims at introducing this information for T2DM treatment boosts.","author":[{"dropping-particle":"","family":"Lu","given":"Da-Yong","non-dropping-particle":"","parse-names":false,"suffix":""},{"dropping-particle":"","family":"Che","given":"Jin-Yu","non-dropping-particle":"","parse-names":false,"suffix":""},{"dropping-particle":"","family":"Yarla","given":"Nagendra Sastry","non-dropping-particle":"","parse-names":false,"suffix":""},{"dropping-particle":"","family":"Wu","given":"Hong-Ying","non-dropping-particle":"","parse-names":false,"suffix":""},{"dropping-particle":"","family":"Lu","given":"Ting-Ren","non-dropping-particle":"","parse-names":false,"suffix":""},{"dropping-particle":"","family":"Xu","given":"Bin","non-dropping-particle":"","parse-names":false,"suffix":""},{"dropping-particle":"","family":"Wu","given":"Shu-Yun","non-dropping-particle":"","parse-names":false,"suffix":""},{"dropping-particle":"","family":"Ding","given":"Jian","non-dropping-particle":"","parse-names":false,"suffix":""},{"dropping-particle":"","family":"Lu","given":"Yi","non-dropping-particle":"","parse-names":false,"suffix":""},{"dropping-particle":"","family":"Zhu","given":"Hong","non-dropping-particle":"","parse-names":false,"suffix":""}],"container-title":"The Open Diabetes Journal","id":"ITEM-1","issue":"1","issued":{"date-parts":[["2018"]]},"page":"22-33","title":"Type 2 Diabetes Treatment and Drug Development Study","type":"article-journal","volume":"8"},"uris":["http://www.mendeley.com/documents/?uuid=990ed743-ad70-46f5-8aba-903efa95df8b"]}],"mendeley":{"formattedCitation":"[62]","plainTextFormattedCitation":"[62]","previouslyFormattedCitation":"[62]"},"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[62]</w:t>
            </w:r>
            <w:r w:rsidRPr="00C21B42">
              <w:rPr>
                <w:rFonts w:ascii="Times New Roman" w:hAnsi="Times New Roman" w:cs="Times New Roman"/>
                <w:sz w:val="22"/>
                <w:szCs w:val="22"/>
              </w:rPr>
              <w:fldChar w:fldCharType="end"/>
            </w:r>
          </w:p>
        </w:tc>
        <w:tc>
          <w:tcPr>
            <w:tcW w:w="6938" w:type="dxa"/>
          </w:tcPr>
          <w:p w14:paraId="4937221A"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 xml:space="preserve">Insulin and its derivatives, Sulphonylurea, Biguanide, Acarbose, Voglibose, Pioglitazone, Exercise, Curcumin, Resveratol, α-thioctic acids, </w:t>
            </w:r>
          </w:p>
        </w:tc>
      </w:tr>
      <w:tr w:rsidR="00920A42" w:rsidRPr="00C21B42" w14:paraId="782B65BF"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7B1E94DC" w14:textId="3A59184A"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Thrasher</w:t>
            </w:r>
            <w:r w:rsidRPr="00C21B42">
              <w:rPr>
                <w:rFonts w:ascii="Times New Roman" w:hAnsi="Times New Roman" w:cs="Times New Roman"/>
                <w:sz w:val="22"/>
                <w:szCs w:val="22"/>
              </w:rPr>
              <w:t xml:space="preserve"> et al. 2017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{"citationItems":[{"id":"ITEM-1","itemData":{"DOI":"10.1016/j.amjcard.2017.05.009","ISSN":"18791913","PMID":"28606343","abstract":"Choices for the treatment of type 2 diabetes mellitus (T2DM) have multiplied as our understanding of the underlying pathophysiologic defects has evolved. Treatment should target multiple defects in T2DM and follow a patient-centered approach that considers factors beyond glycemic control, including cardiovascular risk reduction. The American Association of Clinical Endocrinologists/American College of Endocrinology and the American Diabetes Association recommend an initial approach consisting of lifestyle changes and monotherapy, preferably with metformin. Therapy choices are guided by glycemic efficacy, safety profiles, particularly effects on weight and hypoglycemia risk, tolerability, patient comorbidities, route of administration, patient preference, and cost. Balancing management of hyperglycemia with the risk of hypoglycemia and consideration of the effects of pharmacotherapy on weight figure prominently in US-based T2DM recommendations, whereas less emphasis has been placed on the ability of specific medications to affect cardiovascular outcomes. This is likely because, until recently, specific glucose-lowering agents have not been shown to affect cardiorenal outcomes. The Empagliflozin Cardiovascular Outcome Event Trial in Type 2 Diabetes Mellitus Patients–Removing Excess Glucose (EMPA-REG OUTCOME), the Liraglutide Effect and Action in Diabetes: Evaluation of Cardiovascular Outcome Results (LEADER) trial, and the Trial to Evaluate Cardiovascular and Other Long-term Outcomes with Semaglutide in Subjects with Type 2 Diabetes 6 (SUSTAIN-6) recently showed a reduction in overall cardiovascular risk with empagliflozin, liraglutide, and semaglutide treatment, respectively. Moreover, empagliflozin has become the first glucose-lowering agent indicated to reduce the risk of cardiovascular death in adults with T2DM and established cardiovascular disease. Results from cardiovascular outcomes trials have prompted an update to the 2017 American Diabetes Association standards of care, which now recommend consideration of empagliflozin or liraglutide for patients with suboptimally controlled long-standing T2DM and established atherosclerotic cardiovascular disease because these agents have been shown to reduce cardiovascular and all-cause mortality when added to standard care.","author":[{"dropping-particle":"","family":"Thrasher","given":"James","non-dropping-particle":"","parse-names":false,"suffix":""}],"container-title":"American Journal of Cardiology","id":"ITEM-1","issue":"1","issued":{"date-parts":[["2017"]]},"page":"S4-S16","title":"Pharmacologic Management of Type 2 Diabetes Mellitus: Available Therapies","type":"article-journal","volume":"120"},"uris":["http://www.mendeley.com/documents/?uuid=74bca4d7-4efc-4c9f-8538-e9de0c55aef1"]}],"mendeley":{"formattedCitation":"[63]","plainTextFormattedCitation":"[63]","previouslyFormattedCitation":"[63]"},"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[63]</w:t>
            </w:r>
            <w:r w:rsidRPr="00C21B42">
              <w:rPr>
                <w:rFonts w:ascii="Times New Roman" w:hAnsi="Times New Roman" w:cs="Times New Roman"/>
                <w:sz w:val="22"/>
                <w:szCs w:val="22"/>
              </w:rPr>
              <w:fldChar w:fldCharType="end"/>
            </w:r>
          </w:p>
        </w:tc>
        <w:tc>
          <w:tcPr>
            <w:tcW w:w="6938" w:type="dxa"/>
          </w:tcPr>
          <w:p w14:paraId="5F41BE38"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Metformin, Albiglutide ,Dulaglutide, Exenatide, Exenatide XR, Liraglutide, Lixisenatide, Canagliflozin, Dapagliflozin</w:t>
            </w:r>
            <w:r w:rsidRPr="00C21B42">
              <w:rPr>
                <w:rFonts w:ascii="Times New Roman" w:hAnsi="Times New Roman" w:cs="Times New Roman"/>
                <w:color w:val="000000"/>
                <w:sz w:val="22"/>
                <w:szCs w:val="22"/>
                <w:bdr w:val="single" w:sz="12" w:space="1" w:color="EBEBEB"/>
              </w:rPr>
              <w:t xml:space="preserve">, </w:t>
            </w:r>
            <w:r w:rsidRPr="00C21B42">
              <w:rPr>
                <w:rFonts w:ascii="Times New Roman" w:hAnsi="Times New Roman" w:cs="Times New Roman"/>
                <w:color w:val="000000"/>
                <w:sz w:val="22"/>
                <w:szCs w:val="22"/>
              </w:rPr>
              <w:t xml:space="preserve">Empagliflozin, Alogliptin, Linagliptin, Sitagliptin, Saxagliptin, Glimepiride, Glipizide, Glyburide, </w:t>
            </w:r>
            <w:r w:rsidRPr="00C21B42">
              <w:rPr>
                <w:rFonts w:ascii="Times New Roman" w:hAnsi="Times New Roman" w:cs="Times New Roman"/>
                <w:color w:val="000000"/>
                <w:sz w:val="22"/>
                <w:szCs w:val="22"/>
              </w:rPr>
              <w:lastRenderedPageBreak/>
              <w:t>Pioglitazone</w:t>
            </w:r>
            <w:r w:rsidRPr="00C21B42">
              <w:rPr>
                <w:rFonts w:ascii="Times New Roman" w:hAnsi="Times New Roman" w:cs="Times New Roman"/>
                <w:color w:val="000000"/>
                <w:sz w:val="22"/>
                <w:szCs w:val="22"/>
                <w:bdr w:val="single" w:sz="12" w:space="1" w:color="EBEBEB"/>
              </w:rPr>
              <w:t xml:space="preserve">, </w:t>
            </w:r>
            <w:r w:rsidRPr="00C21B42">
              <w:rPr>
                <w:rFonts w:ascii="Times New Roman" w:hAnsi="Times New Roman" w:cs="Times New Roman"/>
                <w:color w:val="000000"/>
                <w:sz w:val="22"/>
                <w:szCs w:val="22"/>
              </w:rPr>
              <w:t>Rosiglitazone</w:t>
            </w:r>
          </w:p>
        </w:tc>
      </w:tr>
      <w:tr w:rsidR="00920A42" w:rsidRPr="00C21B42" w14:paraId="2899631A"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33EB56CF" w14:textId="77483F6D"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lastRenderedPageBreak/>
              <w:t xml:space="preserve">Kalsi et al 2015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{"citationItems":[{"id":"ITEM-1","itemData":{"author":[{"dropping-particle":"","family":"Kalsi A","given":"","non-dropping-particle":"","parse-names":false,"suffix":""},{"dropping-particle":"","family":"Singh S","given":"","non-dropping-particle":"","parse-names":false,"suffix":""},{"dropping-particle":"","family":"Taneja N","given":"","non-dropping-particle":"","parse-names":false,"suffix":""},{"dropping-particle":"","family":"Kukal S","given":"","non-dropping-particle":"","parse-names":false,"suffix":""},{"dropping-particle":"","family":"Mani S","given":"","non-dropping-particle":"","parse-names":false,"suffix":""}],"container-title":"International Journal of Pharmacy and Pharmaceutical Sciences","id":"ITEM-1","issue":"3","issued":{"date-parts":[["2015"]]},"page":"13-18","title":"Current treatments for type 2 diabetes, their side effects and possible complementary treatments","type":"article-journal","volume":"7"},"uris":["http://www.mendeley.com/documents/?uuid=8c892a9b-c7c1-4219-995c-d3d33ee1a4d8"]}],"mendeley":{"formattedCitation":"[64]","plainTextFormattedCitation":"[64]","previouslyFormattedCitation":"[64]"},"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[64]</w:t>
            </w:r>
            <w:r w:rsidRPr="00C21B42">
              <w:rPr>
                <w:rFonts w:ascii="Times New Roman" w:hAnsi="Times New Roman" w:cs="Times New Roman"/>
                <w:sz w:val="22"/>
                <w:szCs w:val="22"/>
              </w:rPr>
              <w:fldChar w:fldCharType="end"/>
            </w:r>
          </w:p>
        </w:tc>
        <w:tc>
          <w:tcPr>
            <w:tcW w:w="6938" w:type="dxa"/>
          </w:tcPr>
          <w:p w14:paraId="666E17F1"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Thiazolidinediones, Biguanide, Sulfonylureas, Meglitinides, Insulin</w:t>
            </w:r>
          </w:p>
        </w:tc>
      </w:tr>
      <w:tr w:rsidR="00920A42" w:rsidRPr="00C21B42" w14:paraId="616FD4C5"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F7B9B2A" w14:textId="7898A363"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Olokoba</w:t>
            </w:r>
            <w:r w:rsidRPr="00C21B42">
              <w:rPr>
                <w:rFonts w:ascii="Times New Roman" w:hAnsi="Times New Roman" w:cs="Times New Roman"/>
                <w:sz w:val="22"/>
                <w:szCs w:val="22"/>
              </w:rPr>
              <w:t xml:space="preserve"> et al. 2012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{"citationItems":[{"id":"ITEM-1","itemData":{"DOI":"10.5001/omj.2012.68","ISSN":"20705204","PMID":"23071876","abstract":"Type 2 diabetes mellitus (DM) is a chronic metabolic disorder in which prevalence has been increasing steadily all over the world. As a result of this trend, it is fast becoming an epidemic in some countries of the world with the number of people affected expected to double in the next decade due to increase in ageing population, thereby adding to the already existing burden for healthcare providers, especially in poorly developed countries. This review is based on a search of Medline, the Cochrane Database of Systemic Reviews, and citation lists of relevant publications. Subject heading and key words used include type 2 diabetes mellitus, prevalence, current diagnosis, and current treatment. Only articles in English were included. Screening and diagnosis is still based on World Health Organization (WHO) and American Diabetes Association (ADA) criteria which include both clinical and laboratory parameters. No cure has yet been found for the disease; however, treatment modalities include lifestyle modifications, treatment of obesity, oral hypoglycemic agents, and insulin sensitizers like metformin, a biguanide that reduces insulin resistance, is still the recommended first line medication especially for obese patients. Other effective medications include nonsulfonylurea secretagogues, thiazolidinediones, alpha glucosidase inhibitors, and insulin. Recent research into the pathophysiology of type 2 DM has led to the introduction of new medications like glucagon-like peptide 1 analogoues: dipeptidyl peptidase-IV inhibitors, inhibitors of the sodium-glucose cotransporter 2 and 11ß-hydroxysteroid dehydrogenase 1, insulin-releasing glucokinase activators and pancreatic-G-protein-coupled fatty-acid-receptor agonists, glucagon-receptor antagonists, metabolic inhibitors of hepatic glucose output and quick-release bromocriptine. Inhaled insulin was licensed for use in 2006 but has been withdrawn from the market because of low patronage. © OMSB, 2012.","author":[{"dropping-particle":"","family":"Olokoba","given":"Abdulfatai B.","non-dropping-particle":"","parse-names":false,"suffix":""},{"dropping-particle":"","family":"Obateru","given":"Olusegun A.","non-dropping-particle":"","parse-names":false,"suffix":""},{"dropping-particle":"","family":"Olokoba","given":"Lateefat B.","non-dropping-particle":"","parse-names":false,"suffix":""}],"container-title":"Oman Medical Journal","id":"ITEM-1","issue":"4","issued":{"date-parts":[["2012"]]},"page":"269-273","title":"Type 2 diabetes mellitus: A review of current trends","type":"article-journal","volume":"27"},"uris":["http://www.mendeley.com/documents/?uuid=d137f87c-f712-4f66-bb5e-9305d94086e5"]}],"mendeley":{"formattedCitation":"[65]","plainTextFormattedCitation":"[65]","previouslyFormattedCitation":"[65]"},"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[65]</w:t>
            </w:r>
            <w:r w:rsidRPr="00C21B42">
              <w:rPr>
                <w:rFonts w:ascii="Times New Roman" w:hAnsi="Times New Roman" w:cs="Times New Roman"/>
                <w:sz w:val="22"/>
                <w:szCs w:val="22"/>
              </w:rPr>
              <w:fldChar w:fldCharType="end"/>
            </w:r>
          </w:p>
        </w:tc>
        <w:tc>
          <w:tcPr>
            <w:tcW w:w="6938" w:type="dxa"/>
          </w:tcPr>
          <w:p w14:paraId="63FC4F01"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Biguanides, Sulfonylureas, Meglitinides, Thiazolidinediones, Alpha-Glucosidase Inhibitors, Incretin, Bromocriptine, Insulin</w:t>
            </w:r>
          </w:p>
        </w:tc>
      </w:tr>
      <w:tr w:rsidR="00920A42" w:rsidRPr="00C21B42" w14:paraId="6AC4B674"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A4269A1" w14:textId="277D7B77"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Kong</w:t>
            </w:r>
            <w:r w:rsidRPr="00C21B42">
              <w:rPr>
                <w:rFonts w:ascii="Times New Roman" w:hAnsi="Times New Roman" w:cs="Times New Roman"/>
                <w:sz w:val="22"/>
                <w:szCs w:val="22"/>
              </w:rPr>
              <w:t xml:space="preserve"> et al. 2021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{"citationItems":[{"id":"ITEM-1","itemData":{"DOI":"10.1016/j.biopha.2020.110975","ISSN":"19506007","PMID":"33212375","abstract":"Diabetes mellitus (type 1 and type 2) and its various complications continue to place a huge burden on global medical resources, despite the availability of numerous drugs that successfully lower blood glucose levels. The major challenging issue in diabetes management is the prevention of various complications that remain the leading cause of diabetes-related mortality. Moreover, the limited long-term durability of monotherapy and undesirable side effects of currently used anti-diabetic drugs underlie the urgent need for novel therapeutic approaches. Phytochemicals represent a rich source of plant-derived molecules that are of pivotal importance to the identification of compounds with therapeutic potential. In this review, we aim to discuss recent advances in the identification of a large array of phytochemicals with immense potential in the management of diabetes and its complications. Given that metabolic inflammation has been established as a key pathophysiological event that drives the progression of diabetes, we focus on the protective effects of representative phytochemicals in metabolic inflammation. This paper also discusses the potential of phytochemicals in the development of new drugs that target the inflammation in the management of diabetes and its complications.","author":[{"dropping-particle":"","family":"Kong","given":"Mengjie","non-dropping-particle":"","parse-names":false,"suffix":""},{"dropping-particle":"","family":"Xie","given":"Kang","non-dropping-particle":"","parse-names":false,"suffix":""},{"dropping-particle":"","family":"Lv","given":"Minghui","non-dropping-particle":"","parse-names":false,"suffix":""},{"dropping-particle":"","family":"Li","given":"Jufei","non-dropping-particle":"","parse-names":false,"suffix":""},{"dropping-particle":"","family":"Yao","given":"Jianyu","non-dropping-particle":"","parse-names":false,"suffix":""},{"dropping-particle":"","family":"Yan","given":"Kaixuan","non-dropping-particle":"","parse-names":false,"suffix":""},{"dropping-particle":"","family":"Wu","given":"Xiaoqin","non-dropping-particle":"","parse-names":false,"suffix":""},{"dropping-particle":"","family":"Xu","given":"Ying","non-dropping-particle":"","parse-names":false,"suffix":""},{"dropping-particle":"","family":"Ye","given":"Dewei","non-dropping-particle":"","parse-names":false,"suffix":""}],"container-title":"Biomedicine and Pharmacotherapy","id":"ITEM-1","issued":{"date-parts":[["2021"]]},"title":"Anti-inflammatory phytochemicals for the treatment of diabetes and its complications: Lessons learned and future promise","type":"article-journal","volume":"133"},"uris":["http://www.mendeley.com/documents/?uuid=10d8c143-28a8-4fbb-b62d-f711e48fd8f5"]}],"mendeley":{"formattedCitation":"[66]","plainTextFormattedCitation":"[66]","previouslyFormattedCitation":"[66]"},"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[66]</w:t>
            </w:r>
            <w:r w:rsidRPr="00C21B42">
              <w:rPr>
                <w:rFonts w:ascii="Times New Roman" w:hAnsi="Times New Roman" w:cs="Times New Roman"/>
                <w:sz w:val="22"/>
                <w:szCs w:val="22"/>
              </w:rPr>
              <w:fldChar w:fldCharType="end"/>
            </w:r>
          </w:p>
        </w:tc>
        <w:tc>
          <w:tcPr>
            <w:tcW w:w="6938" w:type="dxa"/>
          </w:tcPr>
          <w:p w14:paraId="00DAF3B9" w14:textId="77777777" w:rsidR="00920A42" w:rsidRPr="00C21B42" w:rsidRDefault="00920A42" w:rsidP="00F07D54">
            <w:pPr>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C21B42">
              <w:rPr>
                <w:rFonts w:ascii="Times New Roman" w:hAnsi="Times New Roman" w:cs="Times New Roman"/>
                <w:color w:val="000000"/>
              </w:rPr>
              <w:t>Berberine, Resveratrol , Emodin  ,Ellagic acid, Epigallocatechin gallate, Curcumin, Baicalein, Naringenin, Hesperetin, Chrysin, Genistein, Kaempferol, Eriodictyol ,Apigenin ,Quercetin</w:t>
            </w:r>
          </w:p>
        </w:tc>
      </w:tr>
      <w:tr w:rsidR="00920A42" w:rsidRPr="00C21B42" w14:paraId="6161D9BB"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7986D77" w14:textId="58EA48BB"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Tripathi</w:t>
            </w:r>
            <w:r w:rsidRPr="00C21B42">
              <w:rPr>
                <w:rFonts w:ascii="Times New Roman" w:hAnsi="Times New Roman" w:cs="Times New Roman"/>
                <w:sz w:val="22"/>
                <w:szCs w:val="22"/>
              </w:rPr>
              <w:t xml:space="preserve"> et al. 2013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{"citationItems":[{"id":"ITEM-1","itemData":{"abstract":"The available drugs for diabetes, Insulin or Oral hypoglycemic agents have one or more side effects. Search for new antidiabetic drugs with minimal or no side effects from medicinal plants is a challenge according to WHO recommendations. In this aspect, the present work was undertaken to study indigenous plant Puerariatuberosa DC. (Fabaceae) is a perennial climber, commonly known as Vidarikand or Indian Kudzu. The tuber of P. tuberosa is used in indigenous system of Indian medicine as tonic, aphrodisiac, antirheumatic, diuretic and galactogogue. In the present study petroleum ether, chloroform, ethanol and aqueous extracts of P. tuberosa tubers were subjected to phytochemical investigation and evaluated for antidiabetic activity in Streptozotocin (STZ) induced diabetic rats. Dose selection was made on the basis of acute oral toxicity study (300-5000 mg/kg body weight) as per OECD guidelines. Oral glucose tolerance test was performed in experimental diabetic rats. Diabetes was induced by a single intraperitoneal injection of STZ (50 mg/kg b.w.). After STZ induction, the hyperglycemic rats were treated with all four extracts orally at the dose 500 mg/kg b.w. daily for 21 days. Glibenclamide (2.5 mg/kg b.w., p.o.) was used as reference drug. Fasting blood glucose level and changes in body weight were measured on days 0, 7, 14, and 21. Statistical analyses were performed using one-way ANOVA followed by Bonferronni's multiple comparison tests. Steroid, triterpenoid, glycoside, carbohydrate, alkaloids, flavanoid, tannin, protein and amino acid were found in the group tests. All the extracts at oral doses of 500 mg/kg b.w. significantly (p&lt;0.001) exhibited antidiabetic activity in STZ-induced diabetic rats by reducing and normalizing the elevated fasting BGL as compared to those of STZ control group. The ethanol and aqueous extracts were most active. This study concludes that P. tuberosa tuber confirmed promising antidiabetic activity in STZ-induced diabetic rats.","author":[{"dropping-particle":"","family":"Tripathi","given":"Akhilesh K","non-dropping-particle":"","parse-names":false,"suffix":""},{"dropping-particle":"","family":"Kohli","given":"Seema","non-dropping-particle":"","parse-names":false,"suffix":""}],"container-title":"Asian J. Med. Pharm. Res","id":"ITEM-1","issue":"3","issued":{"date-parts":[["2013"]]},"page":"66-73","title":"Anti-Diabetic Activity and Phytochemical Screening of Crude Extracts of PuerariaTuberosa DC. (FABACEAE) Grown in India on STZ -Induced Diabetic Rats","type":"article-journal","volume":"3"},"uris":["http://www.mendeley.com/documents/?uuid=92b53581-5323-4411-b425-01f45e877b22"]}],"mendeley":{"formattedCitation":"[67]","plainTextFormattedCitation":"[67]","previouslyFormattedCitation":"[67]"},"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[67]</w:t>
            </w:r>
            <w:r w:rsidRPr="00C21B42">
              <w:rPr>
                <w:rFonts w:ascii="Times New Roman" w:hAnsi="Times New Roman" w:cs="Times New Roman"/>
                <w:sz w:val="22"/>
                <w:szCs w:val="22"/>
              </w:rPr>
              <w:fldChar w:fldCharType="end"/>
            </w:r>
          </w:p>
        </w:tc>
        <w:tc>
          <w:tcPr>
            <w:tcW w:w="6938" w:type="dxa"/>
          </w:tcPr>
          <w:p w14:paraId="4DAC2DB2"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Steroids, Triterpenoids, Saponins, Glycosides, Carbohydrates, Alkaloids, Flavonoids , Tannins &amp; Phenolic, Proteins, Amino acid</w:t>
            </w:r>
          </w:p>
        </w:tc>
      </w:tr>
      <w:tr w:rsidR="00920A42" w:rsidRPr="00C21B42" w14:paraId="79124181"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01EAD37F" w14:textId="59018794"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Hassan</w:t>
            </w:r>
            <w:r w:rsidRPr="00C21B42">
              <w:rPr>
                <w:rFonts w:ascii="Times New Roman" w:hAnsi="Times New Roman" w:cs="Times New Roman"/>
                <w:sz w:val="22"/>
                <w:szCs w:val="22"/>
              </w:rPr>
              <w:t xml:space="preserve"> et al. 2022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{"citationItems":[{"id":"ITEM-1","itemData":{"DOI":"10.1016/j.heliyon.2022.e08771","ISSN":"24058440","abstract":"Momordica dioica (M. dioica) is a gourd like blooming plant that is readily available in Bangladesh, requiring biological research to discover its therapeutic values. The goal of our research was to see if the ethanolic extract of this plant had any anti-hyperglycemic properties. Water, glibenclamide and M. dioica extracts were fed to Streptozocin induced type-2 diabetic rat models at a dose of 1.25 g/kg body weight (bw) for 28 days to see what kind of effects they had on serum glucose, insulin, liver glycogen and lipid contents. Except for the control group, all the groups followed a pattern of maintaining the body weight. The oral glucose tolerance test was observed to be improved in extract after 14 days of the experiment. When assessed with the control group, the M. dioica extract showed a significant (p = 0.0015) decrease in postprandial serum glucose level (M±SD, mmol/l, 13.23 ± 1.03 control Vs 11.47 ± 2.21 extract) at 120 min. The treatment of diabetic model rats with extract resulted in a 7% (p &lt; 0.0001) reduction in serum cholesterol levels. While subsequent 28 days of treatment, insulin levels were found to be lowered in all groups (from 246.76 to 200.44 pg/dL; p &lt; 0.0001 for standard and from 309.01 to 204.61 pg/dL; p &lt; 0.0001 for sample). The results revealed that prolonged administration of M. dioica improved the glycemic and lipidemic state of type-2 diabetic rats, implying that more research is needed to identify the active ingredient (s).","author":[{"dropping-particle":"","family":"Hassan","given":"Md Mynul","non-dropping-particle":"","parse-names":false,"suffix":""},{"dropping-particle":"","family":"Uddin","given":"Shihab","non-dropping-particle":"","parse-names":false,"suffix":""},{"dropping-particle":"","family":"Bhowmik","given":"Amrita","non-dropping-particle":"","parse-names":false,"suffix":""},{"dropping-particle":"","family":"Ashraf","given":"Ayesha","non-dropping-particle":"","parse-names":false,"suffix":""},{"dropping-particle":"","family":"Islam","given":"Md Mahmodul","non-dropping-particle":"","parse-names":false,"suffix":""},{"dropping-particle":"","family":"Rokeya","given":"Begum","non-dropping-particle":"","parse-names":false,"suffix":""}],"container-title":"Heliyon","id":"ITEM-1","issue":"1","issued":{"date-parts":[["2022"]]},"title":"Phytochemical screening and antidiabetic effects of fruit rind of Momordica dioica roxb. on streptozocin induced type 2 diabetic rats","type":"article-journal","volume":"8"},"uris":["http://www.mendeley.com/documents/?uuid=dd155072-c4dc-45d1-8301-357fe83112c4"]}],"mendeley":{"formattedCitation":"[68]","plainTextFormattedCitation":"[68]","previouslyFormattedCitation":"[68]"},"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[68]</w:t>
            </w:r>
            <w:r w:rsidRPr="00C21B42">
              <w:rPr>
                <w:rFonts w:ascii="Times New Roman" w:hAnsi="Times New Roman" w:cs="Times New Roman"/>
                <w:sz w:val="22"/>
                <w:szCs w:val="22"/>
              </w:rPr>
              <w:fldChar w:fldCharType="end"/>
            </w:r>
          </w:p>
        </w:tc>
        <w:tc>
          <w:tcPr>
            <w:tcW w:w="6938" w:type="dxa"/>
          </w:tcPr>
          <w:p w14:paraId="28C06C94"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Tannin, Saponin, Alkaloid, Flavonoid, Phenol, Terpenoid, Carbohydrate</w:t>
            </w:r>
          </w:p>
        </w:tc>
      </w:tr>
      <w:tr w:rsidR="00920A42" w:rsidRPr="00C21B42" w14:paraId="5735BC41"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4C67FD9B" w14:textId="5109D501"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Yasmin</w:t>
            </w:r>
            <w:r w:rsidRPr="00C21B42">
              <w:rPr>
                <w:rFonts w:ascii="Times New Roman" w:hAnsi="Times New Roman" w:cs="Times New Roman"/>
                <w:sz w:val="22"/>
                <w:szCs w:val="22"/>
              </w:rPr>
              <w:t xml:space="preserve"> et al. 2020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{"citationItems":[{"id":"ITEM-1","itemData":{"author":[{"dropping-particle":"","family":"Yasmin, A, Bukhari, S. A., Zahoor, M. K., Mustafa, G., &amp; Rasul","given":"A","non-dropping-particle":"","parse-names":false,"suffix":""}],"container-title":"Pakistan Journal of Pharmaceutical Sciences","id":"ITEM-1","issued":{"date-parts":[["2020"]]},"page":"1245-1250","title":"Screening of novel phytochemicals as secreted frizzled-related protein 4 inhibitors: an early stage biomarker of type 2 diabetes","type":"article-journal","volume":"33(3)"},"uris":["http://www.mendeley.com/documents/?uuid=e8f5977b-238c-4ef6-8319-f2bcebffe0d8"]}],"mendeley":{"formattedCitation":"[69]","plainTextFormattedCitation":"[69]","previouslyFormattedCitation":"[69]"},"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[69]</w:t>
            </w:r>
            <w:r w:rsidRPr="00C21B42">
              <w:rPr>
                <w:rFonts w:ascii="Times New Roman" w:hAnsi="Times New Roman" w:cs="Times New Roman"/>
                <w:sz w:val="22"/>
                <w:szCs w:val="22"/>
              </w:rPr>
              <w:fldChar w:fldCharType="end"/>
            </w:r>
          </w:p>
        </w:tc>
        <w:tc>
          <w:tcPr>
            <w:tcW w:w="6938" w:type="dxa"/>
          </w:tcPr>
          <w:p w14:paraId="4C78F402"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Singrin, Boeravinone E, Boeravinone D, Wedelolactone, Squamosamide , Taxifolin</w:t>
            </w:r>
          </w:p>
        </w:tc>
      </w:tr>
      <w:tr w:rsidR="00920A42" w:rsidRPr="00C21B42" w14:paraId="5C0EA1B4"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4383E70D" w14:textId="6B1911F3"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Singh</w:t>
            </w:r>
            <w:r w:rsidRPr="00C21B42">
              <w:rPr>
                <w:rFonts w:ascii="Times New Roman" w:hAnsi="Times New Roman" w:cs="Times New Roman"/>
                <w:sz w:val="22"/>
                <w:szCs w:val="22"/>
              </w:rPr>
              <w:t xml:space="preserve"> et al. 2019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10.1007/978-3-030-04408-4_4","ISBN":"9783030044084","author":[{"dropping-particle":"","family":"Singh","given":"Rajbala","non-dropping-particle":"","parse-names":false,"suffix":""},{"dropping-particle":"","family":"Kazmi","given":"Imran","non-dropping-particle":"","parse-names":false,"suffix":""},{"dropping-particle":"","family":"Afzal","given":"Muhammad","non-dropping-particle":"","parse-names":false,"suffix":""},{"dropping-particle":"","family":"Imam","given":"Faisal","non-dropping-particle":"","parse-names":false,"suffix":""},{"dropping-particle":"","family":"Alharbi","given":"Khalid Saad","non-dropping-particle":"","parse-names":false,"suffix":""}],"container-title":"Plant and Human Health: Pharmacology and Therapeutic Uses","id":"ITEM-1","issued":{"date-parts":[["2019"]]},"page":"65-86","title":"Dietary phytochemicals and their potential effects on diabetes mellitus 2","type":"article-journal","volume":"3"},"uris":["http://www.mendeley.com/documents/?uuid=f6995742-5bc4-4e06-a3ab-359e55067049"]}],"mendeley":{"formattedCitation":"[70]","plainTextFormattedCitation":"[70]","previouslyFormattedCitation":"[70]"},"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[70]</w:t>
            </w:r>
            <w:r w:rsidRPr="00C21B42">
              <w:rPr>
                <w:rFonts w:ascii="Times New Roman" w:hAnsi="Times New Roman" w:cs="Times New Roman"/>
                <w:sz w:val="22"/>
                <w:szCs w:val="22"/>
              </w:rPr>
              <w:fldChar w:fldCharType="end"/>
            </w:r>
          </w:p>
        </w:tc>
        <w:tc>
          <w:tcPr>
            <w:tcW w:w="6938" w:type="dxa"/>
          </w:tcPr>
          <w:p w14:paraId="3643A49B"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Polyphenols, Amino Acid, Saponins, Terpenoids, Abscisic Acid, Lycopene and b-Carotene, Oxyphytosterol, Phytosterols/Stanols</w:t>
            </w:r>
          </w:p>
        </w:tc>
      </w:tr>
      <w:tr w:rsidR="00920A42" w:rsidRPr="00C21B42" w14:paraId="598342E7"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385E5699" w14:textId="2C0692A5"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González-Castejón</w:t>
            </w:r>
            <w:r w:rsidRPr="00C21B42">
              <w:rPr>
                <w:rFonts w:ascii="Times New Roman" w:hAnsi="Times New Roman" w:cs="Times New Roman"/>
                <w:sz w:val="22"/>
                <w:szCs w:val="22"/>
              </w:rPr>
              <w:t xml:space="preserve"> et al. 2011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{"citationItems":[{"id":"ITEM-1","itemData":{"DOI":"10.1016/j.phrs.2011.07.004","ISSN":"10961186","abstract":"The incidence of obesity is rising at an alarming rate and is becoming a major public health concern with incalculable social costs. Indeed, obesity facilitates the development of metabolic disorders such as diabetes, hypertension, and cardiovascular diseases in addition to chronic diseases such as stroke, osteoarthritis, sleep apnea, some cancers, and inflammation-bases pathologies. In this review we summarize the progresses made in our understanding of obesity, including the role of inflammation process, the recently understood endocrine function of adipose tissue, as well as passive roles of processes of energy storage and adipogenesis related to fat cell lifecycle: differentiation, maturation, and apoptosis. In addition, the article discusses the anti-obesity potential of dietary phytochemicals and analyzes their mechanisms of action, e.g. induction of apoptosis and lipolysis and inhibition of inflammation. © 2011 Elsevier Ltd.","author":[{"dropping-particle":"","family":"González-Castejón","given":"Marta","non-dropping-particle":"","parse-names":false,"suffix":""},{"dropping-particle":"","family":"Rodriguez-Casado","given":"Arantxa","non-dropping-particle":"","parse-names":false,"suffix":""}],"container-title":"Pharmacological Research","id":"ITEM-1","issue":"5","issued":{"date-parts":[["2011"]]},"page":"438-455","title":"Dietary phytochemicals and their potential effects on obesity: A review","type":"article-journal","volume":"64"},"uris":["http://www.mendeley.com/documents/?uuid=e4745b20-040d-40a1-9d48-705a72625060"]}],"mendeley":{"formattedCitation":"[71]","plainTextFormattedCitation":"[71]","previouslyFormattedCitation":"[71]"},"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[71]</w:t>
            </w:r>
            <w:r w:rsidRPr="00C21B42">
              <w:rPr>
                <w:rFonts w:ascii="Times New Roman" w:hAnsi="Times New Roman" w:cs="Times New Roman"/>
                <w:sz w:val="22"/>
                <w:szCs w:val="22"/>
              </w:rPr>
              <w:fldChar w:fldCharType="end"/>
            </w:r>
          </w:p>
        </w:tc>
        <w:tc>
          <w:tcPr>
            <w:tcW w:w="6938" w:type="dxa"/>
          </w:tcPr>
          <w:p w14:paraId="162D0E1E"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Epigallocatechin gallate, Cyandin and cyanidin 3-glucoside, Soy isoflavones mixture, Genistein, Naringin, Quercetin, Berberine, Resveratrol</w:t>
            </w:r>
          </w:p>
        </w:tc>
      </w:tr>
      <w:tr w:rsidR="00920A42" w:rsidRPr="00C21B42" w14:paraId="5CA5C6AC"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BAA85FD" w14:textId="7C477175"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Hariftyani</w:t>
            </w:r>
            <w:r w:rsidRPr="00C21B42">
              <w:rPr>
                <w:rFonts w:ascii="Times New Roman" w:hAnsi="Times New Roman" w:cs="Times New Roman"/>
                <w:sz w:val="22"/>
                <w:szCs w:val="22"/>
              </w:rPr>
              <w:t xml:space="preserve"> et al. 2021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{"citationItems":[{"id":"ITEM-1","itemData":{"DOI":"10.20307/nps.2021.27.2.99","ISSN":"22889027","abstract":"Type 2 diabetes mellitus (T2DM) and its complications are important noncommunicable diseases with high mortality rates. Protein tyrosine phosphatase 1B (PTP1B) and aldose reductase inhibitors are recently approached and advanced for T2DM and its complications therapy. Matricaria chamomilla L. is acknowledged as a worldwide medicinal herb that has many beneficial health effects as well as antidiabetic effects. Our research was designed to determine the most potential antidiabetic phytochemicals from M. chamomilla employing in silico study. 142 phytochemicals were obtained from the databases. The first screening employed iGEMdock and Swiss ADME, involving 93 phytochemicals. Finally, 30 best phytochemicals were docked. Molecular docking and visualization analysis were performed using Avogadro, AutoDock 4.2., and Biovia Discovery Studio 2016. Molecular docking results demonstrate that ligand-protein interaction's binding affinities were -5.16 to -7.54 kcal/ mol and -5.30 to -12.10 kcal/mol for PTP1B and aldose reductase protein targets respectively. In silico results demonstrate that M. chamomilla has potential antidiabetic phytochemical compounds for T2DM and its complications. We recommended anthecotulide, quercetin, chlorogenic acid, luteolin, and catechin as antidiabetic agents due to their binding affinities against both PTP1B and aldose reductase protein. Those phytochemicals' significant efficacy and potential as antidiabetic must be investigated in further advanced research.","author":[{"dropping-particle":"","family":"Hariftyani","given":"Arisvia Sukma","non-dropping-particle":"","parse-names":false,"suffix":""},{"dropping-particle":"","family":"Kurniawati","given":"Lady Aqnes","non-dropping-particle":"","parse-names":false,"suffix":""},{"dropping-particle":"","family":"Khaerunnisa","given":"Siti","non-dropping-particle":"","parse-names":false,"suffix":""},{"dropping-particle":"","family":"Veterini","given":"Anna Surgean","non-dropping-particle":"","parse-names":false,"suffix":""},{"dropping-particle":"","family":"Setiawati","given":"Yuani","non-dropping-particle":"","parse-names":false,"suffix":""},{"dropping-particle":"","family":"Awaluddin","given":"Rizki","non-dropping-particle":"","parse-names":false,"suffix":""}],"container-title":"Natural Product Sciences","id":"ITEM-1","issue":"2","issued":{"date-parts":[["2021"]]},"page":"99-114","title":"In silico analysis of potential antidiabetic phytochemicals from Matricaria chamomilla l. Against ptp1b and aldose reductase for type 2 diabetes mellitus and its complications","type":"article-journal","volume":"27"},"uris":["http://www.mendeley.com/documents/?uuid=a71926bb-a758-4532-a2bc-505e00d73320"]}],"mendeley":{"formattedCitation":"[72]","plainTextFormattedCitation":"[72]","previouslyFormattedCitation":"[72]"},"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[72]</w:t>
            </w:r>
            <w:r w:rsidRPr="00C21B42">
              <w:rPr>
                <w:rFonts w:ascii="Times New Roman" w:hAnsi="Times New Roman" w:cs="Times New Roman"/>
                <w:sz w:val="22"/>
                <w:szCs w:val="22"/>
              </w:rPr>
              <w:fldChar w:fldCharType="end"/>
            </w:r>
          </w:p>
        </w:tc>
        <w:tc>
          <w:tcPr>
            <w:tcW w:w="6938" w:type="dxa"/>
          </w:tcPr>
          <w:p w14:paraId="77E30E3A"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6-Methoxykaempferol, α-Bisabolol, Anthecotulide, Apigenin, Apigenin-7-glucoside, Axillarin, Azulene, β-Sitosterol, Caffeic acid, Catechin, Chlorogenic acid, Chrysoeriol, Chrysosplenetin, Eupatoletin, Isoferulic acid, Isorhamnetin, Jaceidin, Kaempferol, Linoleic acid, Luteolin, Matricarin, Oleic acid, Patuletin, Quercetagetin-3,6,7,3',4'-, pentamethylether, Quercetin, Sinapic acid, Spinacetin, Stigmasterol, Thiamine, Umbeliferone.</w:t>
            </w:r>
          </w:p>
        </w:tc>
      </w:tr>
      <w:tr w:rsidR="00920A42" w:rsidRPr="00C21B42" w14:paraId="03AEB83D"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5EC39B36" w14:textId="4815A4DD"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Adefegha</w:t>
            </w:r>
            <w:r w:rsidRPr="00C21B42">
              <w:rPr>
                <w:rFonts w:ascii="Times New Roman" w:hAnsi="Times New Roman" w:cs="Times New Roman"/>
                <w:sz w:val="22"/>
                <w:szCs w:val="22"/>
              </w:rPr>
              <w:t xml:space="preserve"> et al. 2013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{"citationItems":[{"id":"ITEM-1","itemData":{"DOI":"10.5897/ajppx12.014","abstract":"Spices are important food supplements and/or food products, which have been used as flavouring agents and preservatives for thousands of years in tropical Africa, Asia and other parts of the world. They are well known for their medicinal properties, and their use in traditional systems of medicine has been on record for a long time. Although, epidemiological and clinical studies have indicated that spices are important source of natural antioxidant having the digestive stimulant action, bioavailability enhancement nature, carminative attribute, antimicrobial activity, hypolipidemic property, antidiabetic influence, antioxidant capacity, anti-inflammatory ability, anticarcinogenic potential and neuroprotective effect. The present review reports the phytochemical constituents and mode of action of some tropical spices as antidiabetic and antihypertensive agents. The conclusion of this review may help in undertaking research for the development of functional foods and nutraceuticals.","author":[{"dropping-particle":"","family":"Adefegha","given":"Adeniyi","non-dropping-particle":"","parse-names":false,"suffix":""}],"container-title":"African Journal of Pharmacy and Pharmacology","id":"ITEM-1","issue":"7","issued":{"date-parts":[["2013"]]},"page":"332-346","title":"Phytochemistry and mode of action of some tropical spices in the management of type-2 diabetes and hypertension","type":"article-journal","volume":"7"},"uris":["http://www.mendeley.com/documents/?uuid=cd4c6b11-f168-4de4-b09e-f1818c6188ba"]}],"mendeley":{"formattedCitation":"[73]","plainTextFormattedCitation":"[73]","previouslyFormattedCitation":"[73]"},"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[73]</w:t>
            </w:r>
            <w:r w:rsidRPr="00C21B42">
              <w:rPr>
                <w:rFonts w:ascii="Times New Roman" w:hAnsi="Times New Roman" w:cs="Times New Roman"/>
                <w:sz w:val="22"/>
                <w:szCs w:val="22"/>
              </w:rPr>
              <w:fldChar w:fldCharType="end"/>
            </w:r>
          </w:p>
        </w:tc>
        <w:tc>
          <w:tcPr>
            <w:tcW w:w="6938" w:type="dxa"/>
          </w:tcPr>
          <w:p w14:paraId="11264195"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saponins, alkaloids, terpenes, phenylpropanoids, isoprenoids, steroids, coumarins, flavonoids, phenolic acids, lignans, contain chemicals such as flavonoids, terpenoids, lignans, sulfides, polyphenolics, carotenoids, coumarins</w:t>
            </w:r>
          </w:p>
        </w:tc>
      </w:tr>
      <w:tr w:rsidR="00920A42" w:rsidRPr="00C21B42" w14:paraId="290A9FC1"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60DEBE18" w14:textId="64BA4846"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Atere</w:t>
            </w:r>
            <w:r w:rsidRPr="00C21B42">
              <w:rPr>
                <w:rFonts w:ascii="Times New Roman" w:hAnsi="Times New Roman" w:cs="Times New Roman"/>
                <w:sz w:val="22"/>
                <w:szCs w:val="22"/>
              </w:rPr>
              <w:t xml:space="preserve"> et al. 2017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{"citationItems":[{"id":"ITEM-1","itemData":{"DOI":"10.4172/2329-9533.1000139","author":[{"dropping-particle":"","family":"Atere","given":"Tope Gafar","non-dropping-particle":"","parse-names":false,"suffix":""},{"dropping-particle":"","family":"Akinloye","given":"Oluseyi Adeboye","non-dropping-particle":"","parse-names":false,"suffix":""},{"dropping-particle":"","family":"Ugbaja","given":"Regina Ngozi","non-dropping-particle":"","parse-names":false,"suffix":""},{"dropping-particle":"","family":"Ajiboye Ojo","given":"David","non-dropping-particle":"","parse-names":false,"suffix":""},{"dropping-particle":"","family":"Samuel Metibemu","given":"Damilohun","non-dropping-particle":"","parse-names":false,"suffix":""},{"dropping-particle":"","family":"Omotuyi","given":"Idowu olaposi","non-dropping-particle":"","parse-names":false,"suffix":""}],"container-title":"Journal of Applied Bioinformatics &amp; Computational Biology","id":"ITEM-1","issue":"03","issued":{"date-parts":[["2017"]]},"title":"Molecular Interactions and Docking Studies of the Phytochemical Constituents of Costus Afer against Therapeutic Targets of Type 2 Diabetes.","type":"article-journal","volume":"06"},"uris":["http://www.mendeley.com/documents/?uuid=3e1a7f38-f365-4f8b-a09d-e278ba2fef74"]}],"mendeley":{"formattedCitation":"[74]","plainTextFormattedCitation":"[74]","previouslyFormattedCitation":"[74]"},"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[74]</w:t>
            </w:r>
            <w:r w:rsidRPr="00C21B42">
              <w:rPr>
                <w:rFonts w:ascii="Times New Roman" w:hAnsi="Times New Roman" w:cs="Times New Roman"/>
                <w:sz w:val="22"/>
                <w:szCs w:val="22"/>
              </w:rPr>
              <w:fldChar w:fldCharType="end"/>
            </w:r>
          </w:p>
        </w:tc>
        <w:tc>
          <w:tcPr>
            <w:tcW w:w="6938" w:type="dxa"/>
          </w:tcPr>
          <w:p w14:paraId="5C2F98ED"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(9Z,12Z)-octadeca-9,12-dienoic acid, 4-[Bis(2-hydroxyethyl)amino]phenyl]-1,1,2-ethylenetricarbonitrile, 1-(2-(methylthio)pyrimidin-4-yl)ethanone, 1-(2-chloropyridin-4-yl)ethanone, 1-(furan-2-yl)ethanone, 1,19-Eicosadiene, 2-methoxyphenol, 2-Pentadecanone, 2-Phenyloxazole-4-carboxylic acid, 2-Propenoic acid-3-(4-hydroxy-3-methethoxyphenly ferullic acid, 2,3-Dihydrobenzofuran-5-boronic acid, 2,6-Dimethoxyphenol, 7-decen-4-olide, 14-Methylpentadecanoic acid, Citronellyl isobutyrate, E stilbene, Inositol 1,4,5-trisphosphate, Methyl stearate, n-Hexadecanoic acid, Phenol, 2,6-bis(bromomethyl)-4-chloro-3,5-dimethyl, Phytol</w:t>
            </w:r>
          </w:p>
        </w:tc>
      </w:tr>
      <w:tr w:rsidR="00920A42" w:rsidRPr="00C21B42" w14:paraId="6D62B3D9"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79F78EC" w14:textId="087AA924"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Rampogu</w:t>
            </w:r>
            <w:r w:rsidRPr="00C21B42">
              <w:rPr>
                <w:rFonts w:ascii="Times New Roman" w:hAnsi="Times New Roman" w:cs="Times New Roman"/>
                <w:sz w:val="22"/>
                <w:szCs w:val="22"/>
              </w:rPr>
              <w:t xml:space="preserve"> et al. 2018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{"citationItems":[{"id":"ITEM-1","itemData":{"DOI":"10.1155/2018/1943203","ISSN":"17414288","abstract":"Fenugreek (Trigonella foenum-graecum) is used as a spice throughout the world. It is known for its medicinal properties such as antidiabetic, anticarcinogenic, and immunological activities. The present study shows the properties and the nutritional quality of fenugreek seed extract and focuses on screening of active compounds in drug designing for type 2 diabetes and breast cancer. Quantitative analysis was used to calculate the percentages of protein, carbohydrates moisture, fatty acid, galactomannan, oil, and amino acid. Phytochemical analysis revealed the presence of flavonoids, terpenoids, phenols, proteins, saponins, and tannins in fenugreek seed extracts. Molecular docking and molecular dynamics simulation-based computational drug discovery methods were employed to address the role of fenugreek seed constituents against type 2 diabetes and breast cancer. The computational results reveal that the compound galactomannan can be ascribed as potential drug candidate against breast cancer and type 2 diabetes rendered by higher molecular dock scores, stable molecular dynamics (MD) simulations results, and lower binding energy calculations.","author":[{"dropping-particle":"","family":"Rampogu","given":"Shailima","non-dropping-particle":"","parse-names":false,"suffix":""},{"dropping-particle":"","family":"Parameswaran","given":"Saravanan","non-dropping-particle":"","parse-names":false,"suffix":""},{"dropping-particle":"","family":"Lemuel","given":"Mary Rampogu","non-dropping-particle":"","parse-names":false,"suffix":""},{"dropping-particle":"","family":"Lee","given":"Keun Woo","non-dropping-particle":"","parse-names":false,"suffix":""}],"container-title":"Evidence-based Complementary and Alternative Medicine","id":"ITEM-1","issued":{"date-parts":[["2018"]]},"title":"Exploring the Therapeutic Ability of Fenugreek against Type 2 Diabetes and Breast Cancer Employing Molecular Docking and Molecular Dynamics Simulations","type":"article-journal","volume":"2018"},"uris":["http://www.mendeley.com/documents/?uuid=1e280778-1260-4f45-b953-96d205354cf7"]}],"mendeley":{"formattedCitation":"[75]","plainTextFormattedCitation":"[75]","previouslyFormattedCitation":"[75]"},"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[75]</w:t>
            </w:r>
            <w:r w:rsidRPr="00C21B42">
              <w:rPr>
                <w:rFonts w:ascii="Times New Roman" w:hAnsi="Times New Roman" w:cs="Times New Roman"/>
                <w:sz w:val="22"/>
                <w:szCs w:val="22"/>
              </w:rPr>
              <w:fldChar w:fldCharType="end"/>
            </w:r>
          </w:p>
        </w:tc>
        <w:tc>
          <w:tcPr>
            <w:tcW w:w="6938" w:type="dxa"/>
          </w:tcPr>
          <w:p w14:paraId="5BEEA5FD"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Flavanoid, Tannin,  Terpenoids, Alkaloids, Saponins</w:t>
            </w:r>
          </w:p>
        </w:tc>
      </w:tr>
      <w:tr w:rsidR="00920A42" w:rsidRPr="00C21B42" w14:paraId="490E322C"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7E9A7CF8" w14:textId="1171742F"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Kausar</w:t>
            </w:r>
            <w:r w:rsidRPr="00C21B42">
              <w:rPr>
                <w:rFonts w:ascii="Times New Roman" w:hAnsi="Times New Roman" w:cs="Times New Roman"/>
                <w:sz w:val="22"/>
                <w:szCs w:val="22"/>
              </w:rPr>
              <w:t xml:space="preserve"> et al. 2021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{"citationItems":[{"id":"ITEM-1","itemData":{"DOI":"10.14715/CMB/2021.67.5.3","ISSN":"1165158X","PMID":"35818276","abstract":"The research aims to identify the inhibitory potential of natural dietary phytochemicals against non-insulinotropic target protein alpha-glucosidase and its possible implications to diabetes mellitus type 2. A data set of sixteen plant-derived dietary molecules viz., 4,5-dimethyl-3-hydroxy-2(5H)-furanone, apigenin, bromelain, caffeic acid, cholecalciferol, dihydrokaempferol 7-o-glucopyranoside, galactomannan, genkwanin, isoimperatorin, luteolin, luteolin 7-o-glucoside, neohesperidin, oleanoic acid, pelargonidin-3-rutinoside, quercetin, and quinic acid were taken to accomplish molecular docking succeeded by their comparison with known inhibitors including acarbose, miglitol, voglibose, emiglitate, and 1-deoxynojirimycin. Among all phyto-compounds, bromelain (ΔG: -9.54 kcal/mol), cholecalciferol (-8.47 kcal/mol), luteolin (-9.02 kcal/mol), and neohesperidin (-8.53 kcal/mol) demonstrated better binding interactions with alpha-glucosidase in comparison to the best-known inhibitor, acarbose (ΔG: -7.93 kcal/mol). Molecular dynamics simulation of 10 ns duration, CYP450 site of metabolism identification, and prediction of activity spectra for substances depicted the bromelain as the most stable inhibitor compared to luteolin and acarbose. Findings of molecular interactions, molecular dynamics study, metabolism, and biological activity prediction proved bromelain as a potential alpha-glucosidase inhibitor. Thus, bromelain might be helpful as an insulin-independent therapeutic molecule towards controlling and managing diabetes mellitus type 2.","author":[{"dropping-particle":"","family":"Kausar","given":"Mohd Adnan","non-dropping-particle":"","parse-names":false,"suffix":""},{"dropping-particle":"","family":"Shahid","given":"S. M.A.","non-dropping-particle":"","parse-names":false,"suffix":""},{"dropping-particle":"","family":"Anwar","given":"Sadaf","non-dropping-particle":"","parse-names":false,"suffix":""},{"dropping-particle":"","family":"Kuddus","given":"M.","non-dropping-particle":"","parse-names":false,"suffix":""},{"dropping-particle":"","family":"Khan","given":"Mohammad Kalim Ahmad","non-dropping-particle":"","parse-names":false,"suffix":""},{"dropping-particle":"","family":"Khalifa","given":"Amany Mohammed","non-dropping-particle":"","parse-names":false,"suffix":""},{"dropping-particle":"","family":"Khatoon","given":"Fahmida","non-dropping-particle":"","parse-names":false,"suffix":""},{"dropping-particle":"","family":"Alotaibi","given":"Abdullah D.","non-dropping-particle":"","parse-names":false,"suffix":""},{"dropping-particle":"","family":"Alkhodairy","given":"Salman F.","non-dropping-particle":"","parse-names":false,"suffix":""},{"dropping-particle":"","family":"Snoussi","given":"Mejdi","non-dropping-particle":"","parse-names":false,"suffix":""},{"dropping-particle":"","family":"Arif","given":"Jamal M.","non-dropping-particle":"","parse-names":false,"suffix":""}],"container-title":"Cellular and Molecular Biology","id":"ITEM-1","issue":"5","issued":{"date-parts":[["2021"]]},"page":"16-26","title":"Identifying the alpha-glucosidase inhibitory potential of dietary phytochemicals against diabetes mellitus type 2 via molecular interactions and dynamics simulation","type":"article-journal","volume":"67"},"uris":["http://www.mendeley.com/documents/?uuid=6707beae-d39e-46c9-bf50-b67021bed75d"]}],"mendeley":{"formattedCitation":"[76]","plainTextFormattedCitation":"[76]","previouslyFormattedCitation":"[76]"},"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[76]</w:t>
            </w:r>
            <w:r w:rsidRPr="00C21B42">
              <w:rPr>
                <w:rFonts w:ascii="Times New Roman" w:hAnsi="Times New Roman" w:cs="Times New Roman"/>
                <w:sz w:val="22"/>
                <w:szCs w:val="22"/>
              </w:rPr>
              <w:fldChar w:fldCharType="end"/>
            </w:r>
          </w:p>
        </w:tc>
        <w:tc>
          <w:tcPr>
            <w:tcW w:w="6938" w:type="dxa"/>
          </w:tcPr>
          <w:p w14:paraId="07B94117" w14:textId="77777777" w:rsidR="00920A42" w:rsidRPr="00C21B42" w:rsidRDefault="00920A42" w:rsidP="00F07D54">
            <w:pPr>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C21B42">
              <w:rPr>
                <w:rFonts w:ascii="Times New Roman" w:hAnsi="Times New Roman" w:cs="Times New Roman"/>
                <w:color w:val="000000"/>
              </w:rPr>
              <w:t>4,5-dimethyl-3-hydroxy-2(5H)-furanone, apigenin, bromelain, caffeic acid, cholecalciferol , dihydrokaempferol 7-o-glucopyranoside , galactomannan, genkwanin, isoimperatorin, luteolin, luteolin 7-o-glucoside, neohesperidin, oleanoic acid , pelargonidin-3-rutinoside, quercetin, quinic acid</w:t>
            </w:r>
          </w:p>
          <w:p w14:paraId="6902C0BB" w14:textId="77777777" w:rsidR="00920A42" w:rsidRPr="00C21B42" w:rsidRDefault="00920A42" w:rsidP="00F07D54">
            <w:pPr>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p w14:paraId="29A8BAAC"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r>
      <w:tr w:rsidR="00920A42" w:rsidRPr="00C21B42" w14:paraId="32956ED1"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40A7AC15" w14:textId="003BF7D3"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Sari</w:t>
            </w:r>
            <w:r w:rsidRPr="00C21B42">
              <w:rPr>
                <w:rFonts w:ascii="Times New Roman" w:hAnsi="Times New Roman" w:cs="Times New Roman"/>
                <w:sz w:val="22"/>
                <w:szCs w:val="22"/>
              </w:rPr>
              <w:t xml:space="preserve"> et al. 2021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10.4108/eai.17-7-2021.2312400","author":[{"dropping-particle":"","family":"Sari","given":"Yustika","non-dropping-particle":"","parse-names":false,"suffix":""},{"dropping-particle":"","family":"Indarto","given":"Dono","non-dropping-particle":"","parse-names":false,"suffix":""},{"dropping-particle":"","family":"Wasita","given":"Brian","non-dropping-particle":"","parse-names":false,"suffix":""}],"id":"ITEM-1","issued":{"date-parts":[["2021"]]},"title":"Identification of Epicatechin Gallate and Other Phytochemicals in Methanol Extract of Fresh and Dried Star-Fruits (Averrhoa carambola Linn.) for Treatment of Type 2 Diabetes Mellitus","type":"article-journal"},"uris":["http://www.mendeley.com/documents/?uuid=02b40148-60dd-49e7-8604-2109a8018dc6"]}],"mendeley":{"formattedCitation":"[77]","plainTextFormattedCitation":"[77]","previouslyFormattedCitation":"[77]"},"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[77]</w:t>
            </w:r>
            <w:r w:rsidRPr="00C21B42">
              <w:rPr>
                <w:rFonts w:ascii="Times New Roman" w:hAnsi="Times New Roman" w:cs="Times New Roman"/>
                <w:sz w:val="22"/>
                <w:szCs w:val="22"/>
              </w:rPr>
              <w:fldChar w:fldCharType="end"/>
            </w:r>
          </w:p>
        </w:tc>
        <w:tc>
          <w:tcPr>
            <w:tcW w:w="6938" w:type="dxa"/>
          </w:tcPr>
          <w:p w14:paraId="7B818342"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2,3-Butanediol, Glycerin, 4H-Pyran-4-one,2,3- dihydro-3,5-dihydroxy6-methyl, 5- Hydroxymethylfurfural, D-Glucose,6-O-à-Dgalactopyranosyl, Sucrose, Cyclooctasiloxane, hexadecamethyl -, n -Hexadecanoic acid, 4H -Pyran - 4 -one,5 - hydroxy - 2 – (hydroxymethyl)</w:t>
            </w:r>
          </w:p>
        </w:tc>
      </w:tr>
      <w:tr w:rsidR="00920A42" w:rsidRPr="00C21B42" w14:paraId="069BB5D4"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29C91AE0" w14:textId="564ED388"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Onaolapo</w:t>
            </w:r>
            <w:r w:rsidRPr="00C21B42">
              <w:rPr>
                <w:rFonts w:ascii="Times New Roman" w:hAnsi="Times New Roman" w:cs="Times New Roman"/>
                <w:sz w:val="22"/>
                <w:szCs w:val="22"/>
              </w:rPr>
              <w:t xml:space="preserve"> et al. 2018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{"citationItems":[{"id":"ITEM-1","itemData":{"DOI":"10.2174/1573399814666181031103930","ISSN":"15733998","PMID":"30378500","abstract":"Background: Over the past decades, the development and use of an array of prescription medications have considerably improved the clinical management of type 2 diabetes mellitus and the quality of life of patients. However, as our knowledge of the associated risk factors and approaches to its management increases, the increasing roles of diet and the composition of the diet in the etiology and successful management of diabetes mellitus are being illuminated. Presently, a lot of attention is being given to nutraceuticals and certain phytochemicals that are integral parts of the human diet. It is believed that a clearer understanding of their roles may be crucial to 'non-invasive' or minimallyintrusive management, with regards to daily living of patients. In this review, an overview of nutraceutical components and phytochemicals that may be of benefit, or had been known to be beneficial in diabetes mellitus is given. Also, how the roles of such dietary components are evolving in the management of this disorder is highlighted. Lastly, the obstacles that need to be overcome before nutraceuticals can be considered as options for the clinical management of diabetes mellitus areconsidered. Conclusion: Despite studies that demonstrate their efficacy, no nutraceutical or food-derived compound has been formally adopted as a direct replacement for any class of antidiabetic drugs.","author":[{"dropping-particle":"","family":"Onaolapo","given":"Adejoke Yetunde","non-dropping-particle":"","parse-names":false,"suffix":""},{"dropping-particle":"","family":"Onaolapo","given":"Olakunle James","non-dropping-particle":"","parse-names":false,"suffix":""}],"container-title":"Current Diabetes Reviews","id":"ITEM-1","issue":"1","issued":{"date-parts":[["2018"]]},"page":"12-25","title":"Nutraceuticals and Diet-based Phytochemicals in Type 2 Diabetes Mellitus: From Whole Food to Components with Defined Roles and Mechanisms","type":"article-journal","volume":"16"},"uris":["http://www.mendeley.com/documents/?uuid=6770d822-7c55-4865-8c29-2339db537270"]}],"mendeley":{"formattedCitation":"[78]","plainTextFormattedCitation":"[78]","previouslyFormattedCitation":"[78]"},"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[78]</w:t>
            </w:r>
            <w:r w:rsidRPr="00C21B42">
              <w:rPr>
                <w:rFonts w:ascii="Times New Roman" w:hAnsi="Times New Roman" w:cs="Times New Roman"/>
                <w:sz w:val="22"/>
                <w:szCs w:val="22"/>
              </w:rPr>
              <w:fldChar w:fldCharType="end"/>
            </w:r>
          </w:p>
        </w:tc>
        <w:tc>
          <w:tcPr>
            <w:tcW w:w="6938" w:type="dxa"/>
          </w:tcPr>
          <w:p w14:paraId="2318B9C6"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 xml:space="preserve">Flavonoids, Alkaloids, Glycosides, Polysaccharides, Terpenoids and steroids , Saponins Isothiocyanate, </w:t>
            </w:r>
          </w:p>
        </w:tc>
      </w:tr>
      <w:tr w:rsidR="00920A42" w:rsidRPr="00C21B42" w14:paraId="73D41C10"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1E9B31C7" w14:textId="2337980C"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lastRenderedPageBreak/>
              <w:t>Belobrajdic</w:t>
            </w:r>
            <w:r w:rsidRPr="00C21B42">
              <w:rPr>
                <w:rFonts w:ascii="Times New Roman" w:hAnsi="Times New Roman" w:cs="Times New Roman"/>
                <w:sz w:val="22"/>
                <w:szCs w:val="22"/>
              </w:rPr>
              <w:t xml:space="preserve"> et al. 2013 </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{"citationItems":[{"id":"ITEM-1","itemData":{"DOI":"10.1186/1475-2891-12-62","ISSN":"14752891","PMID":"23679924","abstract":"Diets high in wholegrains are associated with a 20-30% reduction in risk of developing type-2 diabetes (T2D), which is attributed to a variety of wholegrain components, notably dietary fibre, vitamins, minerals and phytochemicals. Most phytochemicals function as antioxidants in vitro and have the potential to mitigate oxidative stress and inflammation which are implicated in the pathogenesis of T2D. In this review we compare the content and bioavailability of phytochemicals in wheat, barley, rice, rye and oat varieties and critically evaluate the evidence for wholegrain cereals and cereal fractions increasing plasma phytochemical concentrations and reducing oxidative stress and inflammation in humans. Phytochemical content varies considerably within and among the major cereal varieties. Differences in genetics and agro-climatic conditions explain much of the variation. For a number of the major phytochemicals, such as phenolics and flavanoids, their content in grains may be high but because these compounds are tightly bound to the cell wall matrix, their bioavailability is often limited. Clinical trials show that postprandial plasma phenolic concentrations are increased after consumption of wholegrain wheat or wheat bran however the magnitude of the response is usually modest and transient. Whether this is sufficient to bolster antioxidant defences and translates into improved health outcomes is still uncertain. Increased phytochemical bioavailability may be achieved through bio-processing of grains but the improvements so far are small and have not yet led to changes in clinical or physiological markers associated with reduced risk of T2D. Furthermore, the effect of wholegrain cereals and cereal fractions on biomarkers of oxidative stress or strengthening antioxidant defence in healthy individuals is generally small or nonexistent, whereas biomarkers of systemic inflammation tend to be reduced in people consuming high intakes of wholegrains. Future dietary intervention studies seeking to establish a direct role of phytochemicals in mediating the metabolic health benefits of wholegrains, and their potential for mitigating disease progression, should consider using varieties that deliver the highest possible levels of bioavailable phytochemicals in the context of whole foods and diets. Both postprandial and prolonged responses in systemic phytochemical concentrations and markers of inflammation and oxidative stress should be assessed along with changes r…","author":[{"dropping-particle":"","family":"Belobrajdic","given":"Damien P.","non-dropping-particle":"","parse-names":false,"suffix":""},{"dropping-particle":"","family":"Bird","given":"Anthony R.","non-dropping-particle":"","parse-names":false,"suffix":""}],"container-title":"Nutrition Journal","id":"ITEM-1","issue":"1","issued":{"date-parts":[["2013"]]},"title":"The potential role of phytochemicals in wholegrain cereals for the prevention of type-2 diabetes","type":"article-journal","volume":"12"},"uris":["http://www.mendeley.com/documents/?uuid=c84575fc-6185-442b-9d22-047e99f85c08"]}],"mendeley":{"formattedCitation":"[79]","plainTextFormattedCitation":"[79]","previouslyFormattedCitation":"[79]"},"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[79]</w:t>
            </w:r>
            <w:r w:rsidRPr="00C21B42">
              <w:rPr>
                <w:rFonts w:ascii="Times New Roman" w:hAnsi="Times New Roman" w:cs="Times New Roman"/>
                <w:sz w:val="22"/>
                <w:szCs w:val="22"/>
              </w:rPr>
              <w:fldChar w:fldCharType="end"/>
            </w:r>
          </w:p>
        </w:tc>
        <w:tc>
          <w:tcPr>
            <w:tcW w:w="6938" w:type="dxa"/>
          </w:tcPr>
          <w:p w14:paraId="42D155C4"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C21B42">
              <w:rPr>
                <w:rFonts w:ascii="Times New Roman" w:hAnsi="Times New Roman" w:cs="Times New Roman"/>
                <w:color w:val="000000"/>
                <w:sz w:val="22"/>
                <w:szCs w:val="22"/>
              </w:rPr>
              <w:t>Methionine, Cystine, Selenium, Folate, Choline, Tocopherols + tocotrienols, Carotenoids, Polyphenols, Phenolic acids, Phenolic acid, Ferulic acid, Flavanoids, Alkylresorcinols, Avenanthramides, Betaine, Phytosterols</w:t>
            </w:r>
          </w:p>
        </w:tc>
      </w:tr>
      <w:tr w:rsidR="00920A42" w:rsidRPr="00C21B42" w14:paraId="21CAAB2A" w14:textId="77777777" w:rsidTr="00AE051C">
        <w:tc>
          <w:tcPr>
            <w:cnfStyle w:val="001000000000" w:firstRow="0" w:lastRow="0" w:firstColumn="1" w:lastColumn="0" w:oddVBand="0" w:evenVBand="0" w:oddHBand="0" w:evenHBand="0" w:firstRowFirstColumn="0" w:firstRowLastColumn="0" w:lastRowFirstColumn="0" w:lastRowLastColumn="0"/>
            <w:tcW w:w="2628" w:type="dxa"/>
          </w:tcPr>
          <w:p w14:paraId="2B45862D" w14:textId="6A7B0936" w:rsidR="00920A42" w:rsidRPr="00C21B42" w:rsidRDefault="00920A42" w:rsidP="00F07D54">
            <w:pPr>
              <w:pStyle w:val="TableContents"/>
              <w:widowControl w:val="0"/>
              <w:jc w:val="both"/>
              <w:rPr>
                <w:rFonts w:ascii="Times New Roman" w:hAnsi="Times New Roman" w:cs="Times New Roman"/>
                <w:sz w:val="22"/>
                <w:szCs w:val="22"/>
              </w:rPr>
            </w:pPr>
            <w:r w:rsidRPr="00C21B42">
              <w:rPr>
                <w:rFonts w:ascii="Times New Roman" w:hAnsi="Times New Roman" w:cs="Times New Roman"/>
                <w:noProof/>
                <w:sz w:val="22"/>
                <w:szCs w:val="22"/>
              </w:rPr>
              <w:t>Oboh</w:t>
            </w:r>
            <w:r w:rsidRPr="00C21B42">
              <w:rPr>
                <w:rFonts w:ascii="Times New Roman" w:hAnsi="Times New Roman" w:cs="Times New Roman"/>
                <w:sz w:val="22"/>
                <w:szCs w:val="22"/>
              </w:rPr>
              <w:t xml:space="preserve"> et al. 2014</w:t>
            </w:r>
            <w:r w:rsidRPr="00C21B42">
              <w:rPr>
                <w:rFonts w:ascii="Times New Roman" w:hAnsi="Times New Roman" w:cs="Times New Roman"/>
                <w:sz w:val="22"/>
                <w:szCs w:val="22"/>
              </w:rPr>
              <w:fldChar w:fldCharType="begin" w:fldLock="1"/>
            </w:r>
            <w:r w:rsidR="00CA6131">
              <w:rPr>
                <w:rFonts w:ascii="Times New Roman" w:hAnsi="Times New Roman" w:cs="Times New Roman"/>
                <w:sz w:val="22"/>
                <w:szCs w:val="22"/>
              </w:rPr>
              <w:instrText>ADDIN CSL_CITATION {"citationItems":[{"id":"ITEM-1","itemData":{"DOI":"10.1515/jbcpp-2013-0002","ISSN":"21910286","PMID":"23740684","abstract":"Background: Various parts of unripe pawpaw (Carica papaya Linn) fruit have been reportedly used for the management or treatment of diabetes mellitus in folklore medicine. Therefore, the present study sought to investigate the inhibitory effects of the aqueous extract of different parts of unripe pawpaw fruit on key enzymes linked to type 2 diabetes (α-amylase and α-glucosidase) and sodium nitroprusside (SNP)-induced lipid peroxidation in rat pancreas in vitro. Methods: The aqueous extracts of the unripe pawpaw (C. papaya) fruit parts were prepared (1:20 w/v) and the ability of the extracts to inhibit α-amylase, α-glucosidase and SNP-induced lipid peroxidation in rat pancreas in vitro was investigated. Results: The results revealed that all the extracts inhibited α-amylase (IC&lt;inf&gt;50&lt;/inf&gt;=0.87-1.11 mg/mL), α-glucosidase (IC&lt;inf&gt;50&lt;/inf&gt;=1.76-2.64 mg/mL) and SNP-induced lipid peroxidation (IC&lt;inf&gt;50&lt;/inf&gt; =1.99-2.42 mg/mL) in a dose-dependent manner. However, combination of the flesh, seed and peel in equal amounts had the highest inhibitory effect on α-amylase andα-glucosidase activities. Conclusions: Strong inhibitory activities of the unripe pawpaw fruit against key enzymes linked to type 2 diabetes and SNP-induced lipid peroxidation in rat pancreas could be part of the mechanism by which unripe pawpaw is used in the management/prevention of diabetes mellitus in folk medicine. However, combining the unripe pawpaw fruit parts in equal amounts exhibited synergistic properties on α-amylase and α-glucosidase inhibitory activities.","author":[{"dropping-particle":"","family":"Oboh","given":"Ganiyu","non-dropping-particle":"","parse-names":false,"suffix":""},{"dropping-particle":"","family":"Olabiyi","given":"Ayodeji A.","non-dropping-particle":"","parse-names":false,"suffix":""},{"dropping-particle":"","family":"Akinyemi","given":"Ayodele J.","non-dropping-particle":"","parse-names":false,"suffix":""},{"dropping-particle":"","family":"Ademiluyi","given":"Adedayo O.","non-dropping-particle":"","parse-names":false,"suffix":""}],"container-title":"Journal of Basic and Clinical Physiology and Pharmacology","id":"ITEM-1","issue":"1","issued":{"date-parts":[["2014"]]},"page":"21-34","title":"Inhibition of key enzymes linked to type 2 diabetes and sodium nitroprusside-induced lipid peroxidation in rat pancreas by water-extractable phytochemicals from unripe pawpaw fruit (carica papaya)","type":"article-journal","volume":"25"},"uris":["http://www.mendeley.com/documents/?uuid=fc068989-b0a6-4d98-adc4-271f1c8155b7"]}],"mendeley":{"formattedCitation":"[80]","plainTextFormattedCitation":"[80]","previouslyFormattedCitation":"[80]"},"properties":{"noteIndex":0},"schema":"https://github.com/citation-style-language/schema/raw/master/csl-citation.json"}</w:instrText>
            </w:r>
            <w:r w:rsidRPr="00C21B42">
              <w:rPr>
                <w:rFonts w:ascii="Times New Roman" w:hAnsi="Times New Roman" w:cs="Times New Roman"/>
                <w:sz w:val="22"/>
                <w:szCs w:val="22"/>
              </w:rPr>
              <w:fldChar w:fldCharType="separate"/>
            </w:r>
            <w:r w:rsidRPr="00C21B42">
              <w:rPr>
                <w:rFonts w:ascii="Times New Roman" w:hAnsi="Times New Roman" w:cs="Times New Roman"/>
                <w:b w:val="0"/>
                <w:noProof/>
                <w:sz w:val="22"/>
                <w:szCs w:val="22"/>
              </w:rPr>
              <w:t>[80]</w:t>
            </w:r>
            <w:r w:rsidRPr="00C21B42">
              <w:rPr>
                <w:rFonts w:ascii="Times New Roman" w:hAnsi="Times New Roman" w:cs="Times New Roman"/>
                <w:sz w:val="22"/>
                <w:szCs w:val="22"/>
              </w:rPr>
              <w:fldChar w:fldCharType="end"/>
            </w:r>
          </w:p>
        </w:tc>
        <w:tc>
          <w:tcPr>
            <w:tcW w:w="6938" w:type="dxa"/>
          </w:tcPr>
          <w:p w14:paraId="253949A3" w14:textId="77777777" w:rsidR="00920A42" w:rsidRPr="00C21B42" w:rsidRDefault="00920A42" w:rsidP="00F07D54">
            <w:pPr>
              <w:pStyle w:val="TableContents"/>
              <w:widowControl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C21B42">
              <w:rPr>
                <w:rFonts w:ascii="Times New Roman" w:hAnsi="Times New Roman" w:cs="Times New Roman"/>
                <w:color w:val="000000"/>
                <w:sz w:val="22"/>
                <w:szCs w:val="22"/>
              </w:rPr>
              <w:t xml:space="preserve">Coumarin, </w:t>
            </w:r>
            <w:r w:rsidRPr="00C21B42">
              <w:rPr>
                <w:rStyle w:val="Emphasis"/>
                <w:rFonts w:ascii="Times New Roman" w:hAnsi="Times New Roman" w:cs="Times New Roman"/>
                <w:i w:val="0"/>
                <w:color w:val="000000"/>
                <w:sz w:val="22"/>
                <w:szCs w:val="22"/>
              </w:rPr>
              <w:t>p</w:t>
            </w:r>
            <w:r w:rsidRPr="00C21B42">
              <w:rPr>
                <w:rFonts w:ascii="Times New Roman" w:hAnsi="Times New Roman" w:cs="Times New Roman"/>
                <w:color w:val="000000"/>
                <w:sz w:val="22"/>
                <w:szCs w:val="22"/>
              </w:rPr>
              <w:t xml:space="preserve">-Coumaric acid, </w:t>
            </w:r>
            <w:r w:rsidRPr="00C21B42">
              <w:rPr>
                <w:rStyle w:val="Emphasis"/>
                <w:rFonts w:ascii="Times New Roman" w:hAnsi="Times New Roman" w:cs="Times New Roman"/>
                <w:i w:val="0"/>
                <w:color w:val="000000"/>
                <w:sz w:val="22"/>
                <w:szCs w:val="22"/>
              </w:rPr>
              <w:t>o</w:t>
            </w:r>
            <w:r w:rsidRPr="00C21B42">
              <w:rPr>
                <w:rFonts w:ascii="Times New Roman" w:hAnsi="Times New Roman" w:cs="Times New Roman"/>
                <w:color w:val="000000"/>
                <w:sz w:val="22"/>
                <w:szCs w:val="22"/>
              </w:rPr>
              <w:t>-Coumaric acid, Vanillic acid, Caffeic acid, Ferulic acid, Syringic acid, Sinapinic acid, Genistein, Apigenin, Naringenin, Kaempferol, Luteolin, Epicatechin, Epigallocatechin, Quercetin, 2-Phenylethyl-β-D-glucoside, Phenyl-6I-</w:t>
            </w:r>
            <w:r w:rsidRPr="00C21B42">
              <w:rPr>
                <w:rStyle w:val="Emphasis"/>
                <w:rFonts w:ascii="Times New Roman" w:hAnsi="Times New Roman" w:cs="Times New Roman"/>
                <w:i w:val="0"/>
                <w:color w:val="000000"/>
                <w:sz w:val="22"/>
                <w:szCs w:val="22"/>
              </w:rPr>
              <w:t>O</w:t>
            </w:r>
            <w:r w:rsidRPr="00C21B42">
              <w:rPr>
                <w:rFonts w:ascii="Times New Roman" w:hAnsi="Times New Roman" w:cs="Times New Roman"/>
                <w:color w:val="000000"/>
                <w:sz w:val="22"/>
                <w:szCs w:val="22"/>
              </w:rPr>
              <w:t>-maloyl-β-D-glucoside</w:t>
            </w:r>
          </w:p>
        </w:tc>
      </w:tr>
      <w:bookmarkEnd w:id="32"/>
    </w:tbl>
    <w:p w14:paraId="77151F87" w14:textId="77777777" w:rsidR="00920A42" w:rsidRDefault="00920A42" w:rsidP="00920A42">
      <w:pPr>
        <w:spacing w:after="120" w:line="360" w:lineRule="auto"/>
        <w:jc w:val="both"/>
        <w:rPr>
          <w:rFonts w:ascii="Times New Roman" w:hAnsi="Times New Roman" w:cs="Times New Roman"/>
        </w:rPr>
      </w:pPr>
    </w:p>
    <w:p w14:paraId="6C9E2737" w14:textId="77777777" w:rsidR="00F6278B" w:rsidRDefault="00F6278B" w:rsidP="00F6278B">
      <w:pPr>
        <w:spacing w:after="0" w:line="360" w:lineRule="auto"/>
        <w:jc w:val="both"/>
        <w:rPr>
          <w:rFonts w:ascii="Times New Roman" w:hAnsi="Times New Roman" w:cs="Times New Roman"/>
          <w:bCs/>
        </w:rPr>
      </w:pPr>
    </w:p>
    <w:p w14:paraId="69E679DC" w14:textId="77777777" w:rsidR="00920A42" w:rsidRDefault="00920A42" w:rsidP="00F6278B">
      <w:pPr>
        <w:spacing w:after="0" w:line="360" w:lineRule="auto"/>
        <w:jc w:val="both"/>
        <w:rPr>
          <w:rFonts w:ascii="Times New Roman" w:hAnsi="Times New Roman" w:cs="Times New Roman"/>
          <w:bCs/>
        </w:rPr>
      </w:pPr>
    </w:p>
    <w:p w14:paraId="250E4A47" w14:textId="77777777" w:rsidR="00920A42" w:rsidRDefault="00920A42" w:rsidP="00F6278B">
      <w:pPr>
        <w:spacing w:after="0" w:line="360" w:lineRule="auto"/>
        <w:jc w:val="both"/>
        <w:rPr>
          <w:rFonts w:ascii="Times New Roman" w:hAnsi="Times New Roman" w:cs="Times New Roman"/>
          <w:bCs/>
        </w:rPr>
      </w:pPr>
    </w:p>
    <w:p w14:paraId="749BF8F1" w14:textId="77777777" w:rsidR="00920A42" w:rsidRDefault="00920A42" w:rsidP="00F6278B">
      <w:pPr>
        <w:spacing w:after="0" w:line="360" w:lineRule="auto"/>
        <w:jc w:val="both"/>
        <w:rPr>
          <w:rFonts w:ascii="Times New Roman" w:hAnsi="Times New Roman" w:cs="Times New Roman"/>
          <w:bCs/>
        </w:rPr>
      </w:pPr>
    </w:p>
    <w:tbl>
      <w:tblPr>
        <w:tblStyle w:val="GridTable1Light-Accent61"/>
        <w:tblW w:w="0" w:type="auto"/>
        <w:tblLayout w:type="fixed"/>
        <w:tblLook w:val="04A0" w:firstRow="1" w:lastRow="0" w:firstColumn="1" w:lastColumn="0" w:noHBand="0" w:noVBand="1"/>
      </w:tblPr>
      <w:tblGrid>
        <w:gridCol w:w="1728"/>
        <w:gridCol w:w="7622"/>
      </w:tblGrid>
      <w:tr w:rsidR="003D376F" w:rsidRPr="00C21B42" w14:paraId="36CAD9EE" w14:textId="77777777" w:rsidTr="003B4581">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9350" w:type="dxa"/>
            <w:gridSpan w:val="2"/>
          </w:tcPr>
          <w:p w14:paraId="31481E9A" w14:textId="5EFB3AEB" w:rsidR="001E5F8F" w:rsidRPr="00C21B42" w:rsidRDefault="0003253B" w:rsidP="001E5F8F">
            <w:pPr>
              <w:rPr>
                <w:rFonts w:ascii="Times New Roman" w:eastAsia="Times New Roman" w:hAnsi="Times New Roman" w:cs="Times New Roman"/>
                <w:b w:val="0"/>
                <w:bCs w:val="0"/>
              </w:rPr>
            </w:pPr>
            <w:r w:rsidRPr="00C21B42">
              <w:rPr>
                <w:rFonts w:ascii="Times New Roman" w:hAnsi="Times New Roman" w:cs="Times New Roman"/>
              </w:rPr>
              <w:t>Table S</w:t>
            </w:r>
            <w:r w:rsidR="00E11FB4">
              <w:rPr>
                <w:rFonts w:ascii="Times New Roman" w:hAnsi="Times New Roman" w:cs="Times New Roman"/>
              </w:rPr>
              <w:t>4</w:t>
            </w:r>
            <w:r w:rsidRPr="00C21B42">
              <w:rPr>
                <w:rFonts w:ascii="Times New Roman" w:hAnsi="Times New Roman" w:cs="Times New Roman"/>
              </w:rPr>
              <w:t>.</w:t>
            </w:r>
            <w:r w:rsidRPr="00C21B42">
              <w:rPr>
                <w:rFonts w:ascii="Times New Roman" w:hAnsi="Times New Roman" w:cs="Times New Roman"/>
                <w:b w:val="0"/>
                <w:bCs w:val="0"/>
              </w:rPr>
              <w:t xml:space="preserve"> List of upregulated and downregulated </w:t>
            </w:r>
            <w:r w:rsidR="00200F32" w:rsidRPr="00C21B42">
              <w:rPr>
                <w:rFonts w:ascii="Times New Roman" w:hAnsi="Times New Roman" w:cs="Times New Roman"/>
                <w:b w:val="0"/>
                <w:bCs w:val="0"/>
              </w:rPr>
              <w:t>c</w:t>
            </w:r>
            <w:r w:rsidRPr="00C21B42">
              <w:rPr>
                <w:rFonts w:ascii="Times New Roman" w:hAnsi="Times New Roman" w:cs="Times New Roman"/>
                <w:b w:val="0"/>
                <w:bCs w:val="0"/>
              </w:rPr>
              <w:t xml:space="preserve">DEGs </w:t>
            </w:r>
            <w:r w:rsidR="00200F32" w:rsidRPr="00C21B42">
              <w:rPr>
                <w:rFonts w:ascii="Times New Roman" w:hAnsi="Times New Roman" w:cs="Times New Roman"/>
                <w:b w:val="0"/>
                <w:bCs w:val="0"/>
              </w:rPr>
              <w:t xml:space="preserve">of PC </w:t>
            </w:r>
            <w:r w:rsidR="0004694E" w:rsidRPr="00C21B42">
              <w:rPr>
                <w:rFonts w:ascii="Times New Roman" w:hAnsi="Times New Roman" w:cs="Times New Roman"/>
                <w:b w:val="0"/>
                <w:bCs w:val="0"/>
              </w:rPr>
              <w:t>in 3 datasets (GSE16515, GSE15471, GSE71989)</w:t>
            </w:r>
          </w:p>
        </w:tc>
      </w:tr>
      <w:tr w:rsidR="003D376F" w:rsidRPr="00C21B42" w14:paraId="66B51727" w14:textId="77777777" w:rsidTr="00B6709D">
        <w:trPr>
          <w:trHeight w:val="350"/>
        </w:trPr>
        <w:tc>
          <w:tcPr>
            <w:cnfStyle w:val="001000000000" w:firstRow="0" w:lastRow="0" w:firstColumn="1" w:lastColumn="0" w:oddVBand="0" w:evenVBand="0" w:oddHBand="0" w:evenHBand="0" w:firstRowFirstColumn="0" w:firstRowLastColumn="0" w:lastRowFirstColumn="0" w:lastRowLastColumn="0"/>
            <w:tcW w:w="1728" w:type="dxa"/>
          </w:tcPr>
          <w:p w14:paraId="1F174D17" w14:textId="65AE58A6" w:rsidR="001E5F8F" w:rsidRPr="00C21B42" w:rsidRDefault="00755313" w:rsidP="00755313">
            <w:pPr>
              <w:jc w:val="center"/>
              <w:rPr>
                <w:rFonts w:ascii="Times New Roman" w:eastAsia="Times New Roman" w:hAnsi="Times New Roman" w:cs="Times New Roman"/>
                <w:b w:val="0"/>
              </w:rPr>
            </w:pPr>
            <w:r w:rsidRPr="00C21B42">
              <w:rPr>
                <w:rFonts w:ascii="Times New Roman" w:eastAsia="Times New Roman" w:hAnsi="Times New Roman" w:cs="Times New Roman"/>
              </w:rPr>
              <w:t>Down</w:t>
            </w:r>
            <w:r w:rsidR="001E5F8F" w:rsidRPr="00C21B42">
              <w:rPr>
                <w:rFonts w:ascii="Times New Roman" w:eastAsia="Times New Roman" w:hAnsi="Times New Roman" w:cs="Times New Roman"/>
              </w:rPr>
              <w:t>regulated</w:t>
            </w:r>
            <w:r w:rsidRPr="00C21B42">
              <w:rPr>
                <w:rFonts w:ascii="Times New Roman" w:eastAsia="Times New Roman" w:hAnsi="Times New Roman" w:cs="Times New Roman"/>
              </w:rPr>
              <w:t xml:space="preserve"> </w:t>
            </w:r>
            <w:r w:rsidR="00200F32" w:rsidRPr="00C21B42">
              <w:rPr>
                <w:rFonts w:ascii="Times New Roman" w:eastAsia="Times New Roman" w:hAnsi="Times New Roman" w:cs="Times New Roman"/>
              </w:rPr>
              <w:t>c</w:t>
            </w:r>
            <w:r w:rsidRPr="00C21B42">
              <w:rPr>
                <w:rFonts w:ascii="Times New Roman" w:eastAsia="Times New Roman" w:hAnsi="Times New Roman" w:cs="Times New Roman"/>
              </w:rPr>
              <w:t>DEGs</w:t>
            </w:r>
          </w:p>
        </w:tc>
        <w:tc>
          <w:tcPr>
            <w:tcW w:w="7622" w:type="dxa"/>
          </w:tcPr>
          <w:p w14:paraId="5BF525B9" w14:textId="6C8BBA3C" w:rsidR="001E5F8F" w:rsidRPr="00C21B42" w:rsidRDefault="00755313" w:rsidP="0075531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rPr>
            </w:pPr>
            <w:r w:rsidRPr="00C21B42">
              <w:rPr>
                <w:rFonts w:ascii="Times New Roman" w:eastAsia="Times New Roman" w:hAnsi="Times New Roman" w:cs="Times New Roman"/>
                <w:b/>
              </w:rPr>
              <w:t>Up</w:t>
            </w:r>
            <w:r w:rsidR="001E5F8F" w:rsidRPr="00C21B42">
              <w:rPr>
                <w:rFonts w:ascii="Times New Roman" w:eastAsia="Times New Roman" w:hAnsi="Times New Roman" w:cs="Times New Roman"/>
                <w:b/>
              </w:rPr>
              <w:t xml:space="preserve">regulated </w:t>
            </w:r>
            <w:r w:rsidR="00200F32" w:rsidRPr="00C21B42">
              <w:rPr>
                <w:rFonts w:ascii="Times New Roman" w:eastAsia="Times New Roman" w:hAnsi="Times New Roman" w:cs="Times New Roman"/>
                <w:b/>
              </w:rPr>
              <w:t>c</w:t>
            </w:r>
            <w:r w:rsidR="001E5F8F" w:rsidRPr="00C21B42">
              <w:rPr>
                <w:rFonts w:ascii="Times New Roman" w:eastAsia="Times New Roman" w:hAnsi="Times New Roman" w:cs="Times New Roman"/>
                <w:b/>
              </w:rPr>
              <w:t>DEGs</w:t>
            </w:r>
          </w:p>
        </w:tc>
      </w:tr>
      <w:tr w:rsidR="003D376F" w:rsidRPr="00C21B42" w14:paraId="0AB7548D" w14:textId="77777777" w:rsidTr="00B6709D">
        <w:trPr>
          <w:trHeight w:val="710"/>
        </w:trPr>
        <w:tc>
          <w:tcPr>
            <w:cnfStyle w:val="001000000000" w:firstRow="0" w:lastRow="0" w:firstColumn="1" w:lastColumn="0" w:oddVBand="0" w:evenVBand="0" w:oddHBand="0" w:evenHBand="0" w:firstRowFirstColumn="0" w:firstRowLastColumn="0" w:lastRowFirstColumn="0" w:lastRowLastColumn="0"/>
            <w:tcW w:w="1728" w:type="dxa"/>
          </w:tcPr>
          <w:p w14:paraId="1073F798" w14:textId="58F9A871" w:rsidR="001E5F8F" w:rsidRPr="00C21B42" w:rsidRDefault="00B6709D" w:rsidP="00755313">
            <w:pPr>
              <w:rPr>
                <w:rFonts w:ascii="Times New Roman" w:eastAsia="Times New Roman" w:hAnsi="Times New Roman" w:cs="Times New Roman"/>
                <w:b w:val="0"/>
                <w:sz w:val="16"/>
                <w:szCs w:val="18"/>
              </w:rPr>
            </w:pPr>
            <w:r w:rsidRPr="00C21B42">
              <w:rPr>
                <w:rFonts w:ascii="Times New Roman" w:eastAsia="Times New Roman" w:hAnsi="Times New Roman" w:cs="Times New Roman"/>
                <w:b w:val="0"/>
                <w:sz w:val="16"/>
                <w:szCs w:val="18"/>
              </w:rPr>
              <w:t>BNIP3, ERO1B, GATM, TENT5C, RAB2A, TCEA3, SIDT2, SRPRB, CYB5A, PLA2G12A, FAM3B, P4HB, SERP1, MCFD2, FGFR1, PRDX4, SLC4A4, COA3, SLC39A14, TMEM97, ABAT, COBLL1, PDCD4, NUCB2, STXBP6, MT1F, EPB41L4B, RPL35A, CDK13, DNAJB9, PTPRN2, SEC11C, PDK4, PLPP5, TPST2, FKBP11, PSMD6, MT1G, TC2N, ACAT1, ITPRID2, PBLD, PACSIN2, PHGDH, GMNN, MT1M, BBIP1, MT1E, BCAT1, MT1X, BTG2, PABPC4, AKAP7, SEL1L, SSR4, RPL14, IGH, SLC39A8, LRIG1, IMPA2, NIBAN1</w:t>
            </w:r>
          </w:p>
        </w:tc>
        <w:tc>
          <w:tcPr>
            <w:tcW w:w="7622" w:type="dxa"/>
          </w:tcPr>
          <w:p w14:paraId="4BEE2968" w14:textId="61155469" w:rsidR="001E5F8F" w:rsidRPr="00C21B42" w:rsidRDefault="00B6709D" w:rsidP="0075531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16"/>
                <w:szCs w:val="18"/>
              </w:rPr>
            </w:pPr>
            <w:r w:rsidRPr="00C21B42">
              <w:rPr>
                <w:rFonts w:ascii="Times New Roman" w:eastAsia="Times New Roman" w:hAnsi="Times New Roman" w:cs="Times New Roman"/>
                <w:bCs/>
                <w:sz w:val="16"/>
                <w:szCs w:val="18"/>
              </w:rPr>
              <w:t xml:space="preserve">ITPRIPL2, WWTR1, RGS16, IGFBP7, RND3, KCTD20, ACTR2, IFI6, PLK2, HK2, NAP1L1, COL8A1, RAP2B, CTTN, FBN1, CORO1C, YWHAZ, ARHGDIB, PRRX1, BNIP3L, NMU, TCF7L2, RELL1, TNFAIP3, CAPG, EFNB2, MICALL2, TPM4, GJB2, PELI1, FOSL2, ELOVL5, FGD6, SOX4, GPX8, SEC23A, SEPTIN7, FN1, IFITM2, PDGFC, SCD, SVIL, SWAP70, SKAP2, NPIPB5, CERS6, YAP1, EMP1, ANTXR1, CTSK, ACTR3, MACF1, TAGLN, LAMA3, NPC1, TP53I3, TIMP3, CSNK1A1, MPZL1, CBX1, ASPH, HLA-G, TANK, PXDN, CD74, PLS3, STK38L, TMEM43, PPP3CA, IFIT3, IGFBP3, GRN, NBL1, IFI27, AHR, CALD1, AOC3, SH3KBP1, CFI, SFRP2, SORL1, BGN, TGFBI, EIF4E2, KLF5, CD55, PRRC2C, TENT5A, HS3ST1, IGHM, PLAT, PSMB8, LITAF, CYB5R3, AGR2, AK2, HLA-C, TMCC1, RTN4, MAD1L1, AMIGO2, CYTOR, PLD1, RASA2, ANTXR2, VOPP1, CRTAP, FAT1, ITPR3, UHMK1, LAPTM5, RIT1, ARL4C, RAB31, CEACAM1, PALM2AKAP2, LGALS3, PRAG1, EPPK1, DYRK2, BUB3, CDC20, LOC100506403, CRLF3, ASAP1, SLC16A3, CYBC1, ITGB1P1, CEP55, TPX2, COL1A1, WNK1, PRR11, RRM2, SLC39A10, ZNF217, IGLJ3, TRIM38, CAPN2, NNMT, LNPEP, ADAM28, DLGAP5, COL3A1, APLP2, SRSF1, PFKFB3, COL12A1, SGPP2, CTSB, TM4SF1, AHNAK, TMC5, UNC5B, VIM, EVI2A, APBB1IP, EMP2, APOE, HLA-B, AK4, TNFSF10, S100A14, ACTN1, CRISPLD2, GALNT5, RUFY2, UXS1, HOXB7, MYL12B, BAZ1A, CFH, MFAP2, DSE, HLA-E, CEMIP, SLC44A1, IFNGR1, DCBLD1, RBMS1, HSD17B6, HSPG2, LATS2, KLF7, WSB1, ZNF267, HNMT, NQO1, TBCB, WDR1, MITD1, CASP1, MBNL1, SPARC, NHS, CSGALNACT2, EXOC5, GNS, RALA, PNP, S100A11, IRF9, DESI2, MS4A4A, RNF213, F2R, COL5A2, SAMD9, ENTPD1, SH3D19, SMC4, MAPK1IP1L, MS4A6A, DOCK5, ANXA2, SRGAP2, CDC42EP3, HMMR, SLC20A1, ABCA1, DKK3, CDK1, HOXB2, BPGM, LEF1, LINC02478, RECQL, TIMP2, RNF149, FERMT1, TSC22D1, COL6A1, RGS1, BHLHE40, MAML2, PEA15, SLC30A7, FSTL1, PDLIM5, SLC15A4, CALU, PPP1R3B, RAN, MGP, ACVR1, NEAT1, C1GALT1, TMOD3, PTGIS, GNL2, CLDN18, TNFRSF10A, DPY19L1, SLC12A2, DPYSL2, SP100, TGFBR1, CFL1, MIER1, COL4A1, MIR21, MAP7D1, RIN2, HLA-DQB1, MYO6, PCSK5, IER3, ACTB, IDS, FEZ2, C3, STING1, KRAS, PGK1, COL10A1, DUSP6, COPS8, CENPK, NCEH1, GBP2, GPRC5A, GREM1, JPT1, TMEM87A, HOPX, FBLN1, RARRES1, GBP3, THBS1, COL1A2, MYOF, TPP1, UBA6, PEAK1, CYP1B1, HLA-F, SNAI2, CEBPB, C1QA, ZEB1, SNX9, STEAP1, IFITM1, WIPF1, MED1, PYCARD, FXYD3, PPP1R12A, MYD88, SLC7A7, NCK1, TAPBP, MYADM, SKIL, PLXNC1, CTTNBP2NL, RCN1, ANKRD10, MGLL, DDR2, DENND6A, TUBB, MPZL2, S100A13, HLA-A, LMNA, ZCCHC24, SGMS2, GCNT3, TGIF1, ATR, TCF4, SPTLC2, PMP22, PTPN12, SUSD6, THY1, CELSR1, CLDND1, LIMA1, MBOAT2, TMEM165, IFI35, GAPDH, SMURF2, COL11A1, ADAM10, UBD, PRSS23, ENO1, HINT1, CAMK2N1, C5orf24, LMO7, ZFAS1, SFRP4, VGLL4, RGS10, RFTN1, CMPK2, RYBP, MICAL2, PRDX1, OSBPL3, TNFSF4, PLSCR1, UBA1, PLOD2, CTSA, GOLIM4, ETNK1, RHPN2, S100A16, PDLIM7, GLT8D2, APOC1, STX7, TNFRSF21, IGKC, PKM, RAC2, ITGB1, KITLG, SERPINE1, SERPINH1, HK1, PTPRC, PTK6, LAMB3, RESF1, IFI44, SFN, NUFIP2, WDFY1, PCOLCE, NRBF2, ARHGAP1, GSAP, SPTAN1, TMEM154, KDM5B, ITGB4, AIF1, CTSS, LRRFIP1, MSN, CAPN8, CORO2A, THBS2, ACAP2, BIK, PFKP, PGM2, KCNN4, BTAF1, THAP9-AS1, MYLK, XRCC4, NDRG1, ANP32E, CCDC80, PARP9, PON2, S100A4, AXL, STAT1, BHLHE41, IL1RN, LUM, COL5A1, NFE2L3, ITGB2, DLG1, HLA-DPA1, DCN, HOXB3, OSBPL8, ARPC2, SNHG12, MINDY2, PRKCI, GASK1B, CRACD, ATP2A2, PLEC, ACP5, FCER1G, PHACTR2, HLA-J, CEACAM6, RHOB, SHROOM3, PPP2R3C, ACOT9, SH3BGRL3, LY75, TPM2, OSBPL10, PHLDA1, LOXL2, CMTM6, NUP62, AHNAK2, ARHGAP26, RRAS, ST6GALNAC1, IQGAP1, ITGB5, GNPTAB, DYNLT1, IGKV1-5, MVP, ARPC5L, C1QB, B3GNT5, LAMA4, RAB29, SPON1, ANLN, C1S, IER5, CTSE, TFF1, CAP1, APOL1, C19orf33, TAGLN2, CD58, N4BP1, UBE2D1, MAFF, TES, BUB1B, SAT1, MAST2, ZC3H12A, HLA-DRB1, STAMBPL1, SAMD9L, LRP11, INPP4B, PLAU, XAF1, FYN, ITGA2, PLEKHB2, WNT5A, ELOVL6, </w:t>
            </w:r>
            <w:r w:rsidRPr="00C21B42">
              <w:rPr>
                <w:rFonts w:ascii="Times New Roman" w:eastAsia="Times New Roman" w:hAnsi="Times New Roman" w:cs="Times New Roman"/>
                <w:bCs/>
                <w:sz w:val="16"/>
                <w:szCs w:val="18"/>
              </w:rPr>
              <w:lastRenderedPageBreak/>
              <w:t>OAS1, SEPTIN9, ZNF281, COTL1, EFEMP2, FUS, MTMR11, DYNLRB1, MALL, SGCB, BMPR2, ABHD17C, ETS1, TAP1, MOB1A, MTPN, IL13RA1, MAD2L1, CD47, PCLAF, GLIPR1, CLIC4, ELF4, RC3H2, PLAAT4, SLC1A1, CMTM3, B4GALT5, DGKH, F13A1, CDCA7, PHTF2, TNFAIP2, TOP2A, GMFB, EPDR1, SEMA4C, CDC42EP5, CRIP1, BTN3A2, SDR16C5, NTM, BICD2, RTL8C, RAPH1, DDX60L, MMP11, GNA13, LGMN, MEF2A, ADAMTS2, ALOX5, MXRA5, LYN, MACROH2A1, PTK2, PICALM, CTSC, NFKBIZ, CCN1, FAM72C, SULF2, IRF8, COL6A2, FLNA, SH3PXD2A, KLHL2, MMD, SPON2, MGAT4B, ACSL5, CXCR4, HLA-DPB1, SERPINE2, PPARD, PHF14, IGKV1D-39, COL6A3, ARPC1B, ACTA2, AREG, MMP14, FAM83D, FAS, GPX1, PRMT2, S100A6, MSMO1, KRT19, NID2, C1orf54, ASAP2, LIX1L, ECM1, SFTA2, C11orf96, CTSL, UBE2L6, LTBP2, MCM6, AEBP1, DTX3L, MSLN, SDC1, MEX3D, ASPM, SHFL, EGR2, TSPO, MX1, CAPZB, RBM8A, CHSY1, TMEM47, EFNA5, IFI16, PTPN14, CARD16, DPYSL3, LGALS1, NAMPT, ANXA3, CTHRC1, C1R, ABRACL, P2RX5-TAX1BP3, TNFRSF1A, BST2, IL2RG, CEP170, EDIL3, FRMD6, MAP4K5, GNB4, EMB, NABP1, CCNB1, PFN1, VCL, LEPROTL1, GPCPD1, TMEM45B, SPAG1, SLC6A6, CDH11, LYZ, PLXNB2, TRAM2, CCN4, MAL2, TRIM59, ELK4, BID, PLEKHA2, MAP1B, MYH10, RNF145, BNIP2, MMP28, CYAT1, KIF11, SMOC2, RAB23, DCK, STK38, CLIP4, EZH2, PGM2L1, LHFPL6, LPCAT2, ETV3, PMAIP1, SRGN, TUBA1B, SYTL2, SQLE, MLPH, ID1, VSIG2, RUNX2, AGFG1, S100A10, PCDH7, IL4R, RAP2C, PLPP4, YWHAB, CSTA, ID3, KLHL5, C1orf116, HIF1A, DEGS1, HPS3, SCO2, ZNF703, ADAM9, SLFN5, MELK, GPR137B, GBP1, KIAA0930, GPC6, OPN3, CNIH4, STS, RPE, NUAK1, GEM, MRC2, CARD6, KPNA2, TNFRSF10B, SFXN3, PTGFRN, AGO2, EPS15, LPP, RACGAP1, SHC1, ZMYM2, SEMA3C, KLC1, FXYD5, ITGBL1, VCAN, ERBIN, DBN1, DDX60, CAVIN1, SAMSN1, PLAC8, TUBB3, MAP4K4, ZFYVE16, IGFBP5, ZYX, NCOA7, LTBP1, KCNK1, TUBA1A, STK26, HTRA1, MXRA8, PMEPA1, NR2F2, LY6E, TRIM22, RHBDL2, UBE2SP1, DIO2, ENDOD1, TRBV19, KDM2A, TNIK, CXCL16, SEPTIN10, SLC16A4, LPAR6, LIMS1, SMS, HELLS, LAP3, ITGB1BP1, FBXO32, MYO1E, SDC4, MDFIC, ADAMTS12, MDK, MYO1D, ZNFX1, LAMB1, MXD1, TWSG1, LDLR, S100P, ADGRG6, ANO1, SESTD1, ALG13, DNMT1, CD53, IGLL5, PALLD, KCTD12, CLIC1, MYL9, ZDHHC20, TAOK3, ID2, POSTN, LAMC2, LOX, C1QC, TUBA1C, SOCS3, ATXN1, ISG20, PTPRM, RASAL2, CBX3, SPPL2A, SULF1, ATP13A3, INHBA, GAS6, PNMA1, NMI, RAB8B, LBH, PHC2, ABHD3, NT5E, JUNB, SLC2A3, ZC3HAV1L, OSMR, CDKN3, ZFC3H1, ARNTL2, BIRC3, ZFP36L2, ETV1, VDR, LGALS3BP, KLF2, NREP, VPS13C, IKBKB, TNFAIP6, FAP, ZC3HAV1, CHML, TXNRD1, DIPK2A, CKLF-CMTM1, BTN3A3, EGR3, ARPC5, MAF, SHISA2, MMP2, NID1, HLA-DMA, CEACAM5, ATP1B3, KYNU, LCP1, GRAMD2B, REEP3, SEPTIN8, LOXL1, IFI30, TAFA5, GNA15, TMEM200A, TDG, ITGAV, ATP2C1, PSME2, SFXN1, HDGFL3, KRT17, PTTG1IP, LAMC1, RAB34, EDNRA, MYL12A, TGFB1I1, CD9, CLDN23, MARCKSL1, ENG, RBMS3, SEPTIN11, CSTB, FRYL, MICOS10-NBL1, CENPU, CLEC2B, CTNNB1, PLAUR, HEPH, AKR1C3, LSM7, IL18, ASPN, KIAA1217, MFAP5, ETS2, MAP3K20, DDX39A, NEDD9, PDLIM3, TPBG, IQGAP3, CXCL5, TMSB10, FOXQ1, ERBB2, COL4A2, FOXN2, SERPINB5, STX6, IGFBP4, DTL, TPSB2, RAI14, ZWINT, ATP2B4, ISG15, GXYLT2, PLXDC2, ADAM17, GSN, WNT2, CXCL14, HLA-DQA1, RNF111, BASP1, BCL10, EPSTI1, ANXA2P2, TFPI, IGHV4-31, MSRB3, ANXA1, HECA, DCP2, MRC1, HMG20B, VNN1, ECT2, MMP1, UGCG, TUBA4A, RAP2A, CKLF, AP2M1, CBLB, HRH1, CKS2, LXN, PPP1R18, HMGB2, PIEZO1, EPS8, PHLDA2, TNFSF15, TRIB2, LY96, LTBP3, MCUB, OCIAD2, CASP8, ALOX5AP, C15orf48, SAP30, WBP1L, MITF, ABCG1, HCLS1, P4HA1, FCGR2A, TIMP1, MST1R, ENC1, PHF20, ZNF83, FHL2, PROS1, SPRED1, TRIM14, PTTG1, CDH3, EPB41L2, TSPAN5, GLRX, FMNL2, MSRB2, RHOC, JOSD1, TYROBP, TEAD1, CCDC71L, TSPAN1, CENPF, AOC1, CD93, NUSAP1, QKI, ZBTB1, CCNA2, ANXA6, CRYBG1, ELK3, RP2, COL16A1, SLPI, CXCL8, MARVELD1, NAB1, LCN2</w:t>
            </w:r>
          </w:p>
        </w:tc>
      </w:tr>
    </w:tbl>
    <w:p w14:paraId="7E2976B6" w14:textId="77777777" w:rsidR="00C21B42" w:rsidRPr="00C21B42" w:rsidRDefault="00C21B42" w:rsidP="001E5F8F">
      <w:pPr>
        <w:rPr>
          <w:rFonts w:ascii="Times New Roman" w:hAnsi="Times New Roman" w:cs="Times New Roman"/>
          <w:sz w:val="24"/>
          <w:szCs w:val="24"/>
        </w:rPr>
      </w:pPr>
    </w:p>
    <w:p w14:paraId="2483CE75" w14:textId="77777777" w:rsidR="00C6525B" w:rsidRPr="00C21B42" w:rsidRDefault="00C6525B" w:rsidP="001E5F8F">
      <w:pPr>
        <w:rPr>
          <w:rFonts w:ascii="Times New Roman" w:hAnsi="Times New Roman" w:cs="Times New Roman"/>
          <w:sz w:val="24"/>
          <w:szCs w:val="24"/>
        </w:rPr>
      </w:pPr>
    </w:p>
    <w:tbl>
      <w:tblPr>
        <w:tblStyle w:val="GridTable1Light-Accent61"/>
        <w:tblW w:w="0" w:type="auto"/>
        <w:tblLayout w:type="fixed"/>
        <w:tblLook w:val="04A0" w:firstRow="1" w:lastRow="0" w:firstColumn="1" w:lastColumn="0" w:noHBand="0" w:noVBand="1"/>
      </w:tblPr>
      <w:tblGrid>
        <w:gridCol w:w="4518"/>
        <w:gridCol w:w="4832"/>
      </w:tblGrid>
      <w:tr w:rsidR="00200F32" w:rsidRPr="00C21B42" w14:paraId="0F5BFFCB" w14:textId="77777777" w:rsidTr="00E95822">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9350" w:type="dxa"/>
            <w:gridSpan w:val="2"/>
          </w:tcPr>
          <w:p w14:paraId="524A81A2" w14:textId="6E672139" w:rsidR="00200F32" w:rsidRPr="00C21B42" w:rsidRDefault="00200F32" w:rsidP="00E95822">
            <w:pPr>
              <w:rPr>
                <w:rFonts w:ascii="Times New Roman" w:eastAsia="Times New Roman" w:hAnsi="Times New Roman" w:cs="Times New Roman"/>
                <w:b w:val="0"/>
                <w:bCs w:val="0"/>
              </w:rPr>
            </w:pPr>
            <w:bookmarkStart w:id="39" w:name="_Hlk138424732"/>
            <w:r w:rsidRPr="00C21B42">
              <w:rPr>
                <w:rFonts w:ascii="Times New Roman" w:hAnsi="Times New Roman" w:cs="Times New Roman"/>
              </w:rPr>
              <w:t>Table S</w:t>
            </w:r>
            <w:r w:rsidR="00E11FB4">
              <w:rPr>
                <w:rFonts w:ascii="Times New Roman" w:hAnsi="Times New Roman" w:cs="Times New Roman"/>
              </w:rPr>
              <w:t>5</w:t>
            </w:r>
            <w:r w:rsidRPr="00C21B42">
              <w:rPr>
                <w:rFonts w:ascii="Times New Roman" w:hAnsi="Times New Roman" w:cs="Times New Roman"/>
              </w:rPr>
              <w:t>.</w:t>
            </w:r>
            <w:r w:rsidRPr="00C21B42">
              <w:rPr>
                <w:rFonts w:ascii="Times New Roman" w:hAnsi="Times New Roman" w:cs="Times New Roman"/>
                <w:b w:val="0"/>
                <w:bCs w:val="0"/>
              </w:rPr>
              <w:t xml:space="preserve"> List of upregulated and downregulated cDEGs of T2D</w:t>
            </w:r>
            <w:r w:rsidR="0004694E" w:rsidRPr="00C21B42">
              <w:rPr>
                <w:rFonts w:ascii="Times New Roman" w:hAnsi="Times New Roman" w:cs="Times New Roman"/>
                <w:b w:val="0"/>
                <w:bCs w:val="0"/>
              </w:rPr>
              <w:t xml:space="preserve"> in </w:t>
            </w:r>
            <w:r w:rsidR="006A5A3A" w:rsidRPr="00C21B42">
              <w:rPr>
                <w:rFonts w:ascii="Times New Roman" w:hAnsi="Times New Roman" w:cs="Times New Roman"/>
                <w:b w:val="0"/>
                <w:bCs w:val="0"/>
              </w:rPr>
              <w:t>2</w:t>
            </w:r>
            <w:r w:rsidR="0004694E" w:rsidRPr="00C21B42">
              <w:rPr>
                <w:rFonts w:ascii="Times New Roman" w:hAnsi="Times New Roman" w:cs="Times New Roman"/>
                <w:b w:val="0"/>
                <w:bCs w:val="0"/>
              </w:rPr>
              <w:t xml:space="preserve"> dataset</w:t>
            </w:r>
            <w:r w:rsidR="0004694E" w:rsidRPr="008467DE">
              <w:rPr>
                <w:rFonts w:ascii="Times New Roman" w:hAnsi="Times New Roman" w:cs="Times New Roman"/>
                <w:b w:val="0"/>
                <w:bCs w:val="0"/>
              </w:rPr>
              <w:t>s</w:t>
            </w:r>
            <w:r w:rsidR="008467DE" w:rsidRPr="008467DE">
              <w:rPr>
                <w:rFonts w:ascii="Times New Roman" w:hAnsi="Times New Roman" w:cs="Times New Roman"/>
                <w:b w:val="0"/>
                <w:bCs w:val="0"/>
              </w:rPr>
              <w:t xml:space="preserve"> (</w:t>
            </w:r>
            <w:r w:rsidR="008467DE">
              <w:rPr>
                <w:rFonts w:ascii="Times New Roman" w:hAnsi="Times New Roman" w:cs="Times New Roman"/>
                <w:b w:val="0"/>
                <w:bCs w:val="0"/>
              </w:rPr>
              <w:t>G</w:t>
            </w:r>
            <w:r w:rsidR="008467DE" w:rsidRPr="008467DE">
              <w:rPr>
                <w:rFonts w:ascii="Times New Roman" w:hAnsi="Times New Roman" w:cs="Times New Roman"/>
                <w:b w:val="0"/>
                <w:shd w:val="clear" w:color="auto" w:fill="FFFFFF"/>
              </w:rPr>
              <w:t>SE13015 and GSE21321)</w:t>
            </w:r>
            <w:bookmarkEnd w:id="39"/>
          </w:p>
        </w:tc>
      </w:tr>
      <w:tr w:rsidR="00200F32" w:rsidRPr="00C21B42" w14:paraId="42673DBC" w14:textId="77777777" w:rsidTr="005F395D">
        <w:trPr>
          <w:trHeight w:val="350"/>
        </w:trPr>
        <w:tc>
          <w:tcPr>
            <w:cnfStyle w:val="001000000000" w:firstRow="0" w:lastRow="0" w:firstColumn="1" w:lastColumn="0" w:oddVBand="0" w:evenVBand="0" w:oddHBand="0" w:evenHBand="0" w:firstRowFirstColumn="0" w:firstRowLastColumn="0" w:lastRowFirstColumn="0" w:lastRowLastColumn="0"/>
            <w:tcW w:w="4518" w:type="dxa"/>
          </w:tcPr>
          <w:p w14:paraId="5770BD5A" w14:textId="0B361581" w:rsidR="00200F32" w:rsidRPr="00C21B42" w:rsidRDefault="00200F32" w:rsidP="00E95822">
            <w:pPr>
              <w:jc w:val="center"/>
              <w:rPr>
                <w:rFonts w:ascii="Times New Roman" w:eastAsia="Times New Roman" w:hAnsi="Times New Roman" w:cs="Times New Roman"/>
                <w:b w:val="0"/>
              </w:rPr>
            </w:pPr>
            <w:r w:rsidRPr="00C21B42">
              <w:rPr>
                <w:rFonts w:ascii="Times New Roman" w:eastAsia="Times New Roman" w:hAnsi="Times New Roman" w:cs="Times New Roman"/>
              </w:rPr>
              <w:t>Downregulated cDEGs</w:t>
            </w:r>
          </w:p>
        </w:tc>
        <w:tc>
          <w:tcPr>
            <w:tcW w:w="4832" w:type="dxa"/>
          </w:tcPr>
          <w:p w14:paraId="1B1CFECA" w14:textId="0AA41F01" w:rsidR="00200F32" w:rsidRPr="00C21B42" w:rsidRDefault="00200F32" w:rsidP="00E9582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rPr>
            </w:pPr>
            <w:r w:rsidRPr="00C21B42">
              <w:rPr>
                <w:rFonts w:ascii="Times New Roman" w:eastAsia="Times New Roman" w:hAnsi="Times New Roman" w:cs="Times New Roman"/>
                <w:b/>
              </w:rPr>
              <w:t>Upregulated cDEGs</w:t>
            </w:r>
          </w:p>
        </w:tc>
      </w:tr>
      <w:tr w:rsidR="00200F32" w:rsidRPr="00C21B42" w14:paraId="3928A2DB" w14:textId="77777777" w:rsidTr="005F395D">
        <w:trPr>
          <w:trHeight w:val="710"/>
        </w:trPr>
        <w:tc>
          <w:tcPr>
            <w:cnfStyle w:val="001000000000" w:firstRow="0" w:lastRow="0" w:firstColumn="1" w:lastColumn="0" w:oddVBand="0" w:evenVBand="0" w:oddHBand="0" w:evenHBand="0" w:firstRowFirstColumn="0" w:firstRowLastColumn="0" w:lastRowFirstColumn="0" w:lastRowLastColumn="0"/>
            <w:tcW w:w="4518" w:type="dxa"/>
          </w:tcPr>
          <w:p w14:paraId="0DB83189" w14:textId="60C46060" w:rsidR="00200F32" w:rsidRPr="00C21B42" w:rsidRDefault="005F395D" w:rsidP="00E95822">
            <w:pPr>
              <w:rPr>
                <w:rFonts w:ascii="Times New Roman" w:eastAsia="Times New Roman" w:hAnsi="Times New Roman" w:cs="Times New Roman"/>
                <w:b w:val="0"/>
                <w:sz w:val="16"/>
                <w:szCs w:val="18"/>
              </w:rPr>
            </w:pPr>
            <w:r w:rsidRPr="00C21B42">
              <w:rPr>
                <w:rFonts w:ascii="Times New Roman" w:eastAsia="Times New Roman" w:hAnsi="Times New Roman" w:cs="Times New Roman"/>
                <w:b w:val="0"/>
                <w:sz w:val="16"/>
                <w:szCs w:val="18"/>
              </w:rPr>
              <w:t xml:space="preserve">TGOLN2, FHOD1, C14orf2, IL10RA, RAX2, COX6C, MRPS31, ABHD5, KIAA0319L, TNPO2, USP9X, COX19, SULT1A1, RPS6KA5, FIBP, PPM1M, TMEM14C, CHD4, SLC46A3, KRTCAP2, CARD19, MTMR14, BOLA2, DUSP23, STK19, SYF2, TRRAP, RFWD2, CLDN14, SHMT2, FLOT1, PDSS2, CA2, MRPL22, SURF1, TGFBI, TIMM23, C11orf54, C19orf12, GSDMD, RING1, PI4KB, ZNF586, RBM15, PLD3, HSBP1, PPP1R21, THOC5, NCOA1, RHOT2, WDR6, NDUFS7, EXOSC10, WLS, UXT, MTURN, LAMP2, YIPF3, TMEM71, CLTB, BLCAP, PHPT1, CUEDC1, ADCY3, CYFIP2, ATP6AP2, SCAP, RAB24, RHOT1, PEX11B, HSPA9, ARL16, SLC25A23, USP49, SSR4, DCXR, C2CD5, LYPLAL1, PPP1R2, EIF3H, C16orf58, GGA2, APBA3, CSF1R, MGEA5, DHPS, IFI6, PPA2, PEBP1, NAA20, POLR2H, HACD4, HNRNPUL1, SNRPB2, DDT, TMX1, RHBDF2, BUB3, BCKDK, ALPP, WDR18, ZFAND2A, HLA-DMA, PTPRA, DDX42, SIVA1, TLE4, EMILIN2, TXNIP, SRSF6, OGT, ATP6AP1, SYNJ2BP, DBNL, ARCN1, RBM14, SLC44A1, IGF2BP2, ZRANB2, CPD, AIF1, </w:t>
            </w:r>
            <w:r w:rsidRPr="00C21B42">
              <w:rPr>
                <w:rFonts w:ascii="Times New Roman" w:eastAsia="Times New Roman" w:hAnsi="Times New Roman" w:cs="Times New Roman"/>
                <w:b w:val="0"/>
                <w:sz w:val="16"/>
                <w:szCs w:val="18"/>
              </w:rPr>
              <w:lastRenderedPageBreak/>
              <w:t>PSMA6, SF3A3, ACSL5, VEZF1, KLHL22, FAM43A, TEF, SMG7, WDR20, IKBKG, TPI1, MICB, EIF3A, CNOT11, SUSD1, BCL3, NAPRT, SUGP2, SSBP2, FOXO4, CARD9, CWC15, ZNF786, UBE2J1, KLHL8, ACSS2, MARCKSL1, CD86, CNIH4, ITGB1, PRPF3, CHMP4A, RNASEK, SDPR, HGS, AK2, PPM1B, 39142, BEST1, LSM3, FBL, MTX1, E4F1, BAZ2B, OSBPL7, TAF10, C14orf159, ANAPC11, CD163, PPP2CA, ASCL2, RSL1D1, ARF4, KDELR2, FAM50A, UNC45A, TNRC6B, VEGFB, WARS, CDC16, HDAC1, ACPT, CXCL16, CREB5, CYB5R1, RNF130, FBXO18, NAXE, COMT, TMEM205, GPR162, KLHDC3, NINJ2, OXA1L, SNRNP70, MRI1, MAPKAPK3, FAM214B, PSMD8, EIF2A, BLOC1S6, TCEB2, MMD, GPX4, NCSTN, TYW1, FOXN2, TRIM39, TMEM140, FNIP1, VAMP1, RBM6, RNPEP, HAUS2, STAMBP, PLCG1, NRDE2, ANXA5, CDK10, SMAD4, AKAP8, RABEPK, POLR1D, TRA2B, TBC1D20, XRCC6, DGUOK, ATXN2, PARK7, ZMAT2, PEX16, WDR33, FBXO21, H2AFY, MIDN, DDX47, AHCTF1, PAFAH1B3, ACTL6A, NDUFB11, MED28, S100A11, C19orf66, HAX1, RARS, TRAPPC3, TMEM183A, FUCA1, COASY, GTF2A2, EIF2AK4, DIP2B, TRABD, GID8, ALDOC, EXOSC8, NDUFS3, COQ2, 38777, CCDC130, RNF31, BRD2, REEP5, NDUFA8, RBM22, NDUFA9, NFS1, ZC3HC1, HLA-DMB, FAM175B, STAT6, TM2D1, PAM16, RPRD1A, GNPTG, MCOLN1, IFNAR2, AP1S2, GLA, PAK1, POLB, HIST2H2AC, MTMR11, ARL6IP5, COPS3, ARHGAP4, NUP37, ARAP1, MTHFS, HDAC3, RPS23, EML3, EPN1, DMAP1, HIGD2A, SNRPB, TYSND1, MAP1LC3A, MPPE1, PRKCSH, STX6, ZNF207, NADSYN1, PSMD6, FMC1, DEGS1, KCNJ2, PDE4B, CMC2, COX6A1, EPRS, LOC399886, SECISBP2L, KBTBD2, CDKN1A, CD36, SRPRA, NABP1, SEC61G, C2orf88, ARL2, ARGLU1, PSMB1, VPS37C, ETV6, CFLAR, SLC25A28, VPS28, ATG7, YPEL3, CHSY1, ACTR1A, NPTN, MED12, NDUFS8, CCPG1, SNRK, UBA7, RNF167, RPUSD3, RPA1, DIS3L, GPS1, ZNF830, GRINA, MRPL17, XPR1, IRF7, UPP1, SMCO4, UBQLN1, MCM8, MRPL55, TMX2, PNPLA6, DOCK2, LMO2, CSNK2B, SEC61B, HEBP1, IDH3G, SYVN1, YIPF1, ADA, YIPF6, SMUG1, KAT8, THOC7, NT5C, BCAS4, FAM3A, SH3KBP1, CAMK2G, PDE5A, LRSAM1, COPA, DCAKD, DUS2, RNF115, TFG, TRMT1, CRIPT, HIST1H2BK, KDM1A, TCF25, NINJ1, IDS, ZNF223, FCHSD2, LPP, HNRNPA2B1, ZNF106, OXLD1, PCDHB9, NUBPL, PTGS2, DTWD2, HLA-DRB6, ZNF700, IL10, COA1, C1orf123, SLC15A3, SYAP1, C8orf37, IMPA2, HSP90B1, MAP2K4, BLZF1, FZD7, UFC1, DNLZ, ZNF22, FAM213A, NCL, CISD1, TMEM267, ZNF652, IMP4, ZNF430, STRIP2, DHX15, DENR, GPI, RSL24D1, MANF, LIME1, LEMD3, RPP21, VIPR1, TMEM256, GSTM2, N4BP1, GPN2, AGAP6, CDC26, LSM1, PTPN12, N4BP2, SMIM14, SUSD6, YWHAG, PLA2G2D, MAPK1, C11orf63, SPTLC1, ERP29, ELF2, DPP7, RPS15A, CD3D, GRAP, NIPBL, WDR74, TROVE2, SLC4A5, POFUT1, YWHAB, WTAP, EIF4G2, PPP2R2B, ATP5J2, ZNF160, LILRB2, DCLRE1C, WAC, CASP1, OCIAD1, NSF, DIABLO, IL18BP, ATP6V1E1, UBL5, SULF2, PPP4R1, SUMF2, G6PD, MRPL21, IFFO1, TRIM13, TIAL1, TRIM33, CLDND1, ZNF274, MTFP1, CDK13, ERGIC3, PRNP, TNFSF14, CD79B, TSEN34, HAUS7, MRPS12, SDF4, CRCP, PPFIA1, VPS41, UPF2, CGGBP1, PHF11, C6orf48, GSTM1, FBXW11, TMEM218, PDCD4, EXOSC1, IVNS1ABP, RPS24, PUM1, RALY, TMEM230, GAA</w:t>
            </w:r>
          </w:p>
        </w:tc>
        <w:tc>
          <w:tcPr>
            <w:tcW w:w="4832" w:type="dxa"/>
          </w:tcPr>
          <w:p w14:paraId="6E511F3F" w14:textId="53EB71EE" w:rsidR="00200F32" w:rsidRPr="00C21B42" w:rsidRDefault="005F395D" w:rsidP="00E9582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16"/>
                <w:szCs w:val="18"/>
              </w:rPr>
            </w:pPr>
            <w:r w:rsidRPr="00C21B42">
              <w:rPr>
                <w:rFonts w:ascii="Times New Roman" w:eastAsia="Times New Roman" w:hAnsi="Times New Roman" w:cs="Times New Roman"/>
                <w:bCs/>
                <w:sz w:val="16"/>
                <w:szCs w:val="18"/>
              </w:rPr>
              <w:lastRenderedPageBreak/>
              <w:t xml:space="preserve">GAPDH, RPS28, HNRNPAB, STK10, MBTPS1, EHD1, CWF19L1, HMGN1, ZNF428, ATP5J, PITPNM1, HNRNPDL, S1PR1, ATP5D, CHFR, NAMPT, CASZ1, CAPNS1, INTS6, MRPS21, CNOT7, STAU1, SPOCK2, SEC23B, AHCY, RHEB, DYNLRB1, DRG1, APH1A, MRPL54, RGCC, DPM1, POLR2C, APAF1, LAMP2, PPP1R14B, HSPA1B, ATP5G2, TRIP4, DIAPH1, DDIT4, APEX1, SLIRP, RANGAP1, SOD1, PPP2R3C, PLEKHA1, CITED2, ADCK2, UBR2, DNAJC7, STAT3, NELFCD, ELF1, ARHGEF18, ERGIC1, HTATIP2, GTF2E2, SSU72, SPCS1, WDR61, GAB2, AKTIP, NUP214, CTSZ, CALM3, RBMS1, UQCRQ, SP2, ASH2L, EIF4A3, PRPS1, CCND2, AP3M1, PLA2G16, TMEM101, ITGB5, MID1IP1, C1QBP, XPNPEP1, CUL2, CLN3, ZSWIM8, MAD2L2, RNF126, ACP1, NUP85, CNPY3, ARID3A, CNST, EIF3I, USP5, LPIN1, MED30, MLF2, CHMP2A, TOB1, PIGY, QDPR, PDXK, TFIP11, SEMA4B, SLC20A1, ABR, DPP9, TRAPPC2, HSP90AB1, CDV3, H2AFY, BIN1, CIRBP, SF3B1, MFSD10, PRMT2, DDX17, CDC42, ME2, ZFP36L1, WDR1, QRICH1, KLHL12, SNAPC4, GMPR2, NR1H2, MAP3K4, TTC4, MME, VPS8, CASP4, RILPL2, CDC123, </w:t>
            </w:r>
            <w:r w:rsidRPr="00C21B42">
              <w:rPr>
                <w:rFonts w:ascii="Times New Roman" w:eastAsia="Times New Roman" w:hAnsi="Times New Roman" w:cs="Times New Roman"/>
                <w:bCs/>
                <w:sz w:val="16"/>
                <w:szCs w:val="18"/>
              </w:rPr>
              <w:lastRenderedPageBreak/>
              <w:t xml:space="preserve">TAF15, SERPINB1, PELI1, CCT2, DDX56, GART, WDR82, DYM, TXN, CXCR2, ATP2B4, UBQLN2, PTPN1, PSMA4, HENMT1, GMEB2, VPS45, ST3GAL1, UBA1, FKBP1A, TNPO3, SNX11, STAT5B, COPB2, STXBP5, TNFRSF1A, ANXA11, TMEM14B, CBLB, B4GALT5, HLX, RXRA, EIF2B4, WWC3, LCMT1, ARHGAP19, NOL11, FAM63A, TMEM5, LTA4H, MRPL11, COMMD3, RALY, SURF4, DNTTIP1, MT1A, SNX2, PARP14, PSMA1, RNPS1, GGPS1, KLHL28, HAVCR2, GPD1L, NSA2, SMS, EIF3F, RNF220, CD2, LY6E, TPST2, MRPL24, CETN2, NCOA6, PPP1CA, PRICKLE4, SDF4, PHB2, TTC31, SRSF2, C14orf166, TPM3, SNU13, EWSR1, CXorf38, NSMCE1, TRIM38, GLMP, NCOR2, TMEM43, PYCARD, CMTM7, ASXL2, PHF21A, TRMO, IP6K1, ITPKB, ATP5C1, PEX16, SLC8B1, AKR1B1, UQCRFS1, PPP1CC, ZYX, EEF1B2, HSD17B12, GLO1, ZC3H3, TMX4, MAP1LC3B, SBF1, TWF2, SRP68, CCT7, SUPT5H, TMEM160, FXYD5, USP38, NUMB, TMBIM1, NOP56, MRPL41, MRPL33, ZNF746, RPL34, TIMM22, SORT1, LRRFIP2, MED10, TMA7, PLEKHF1, PANK2, GNL3L, RBPJ, GOLPH3, RBM4, PLGRKT, CHMP1A, VPS37B, RNF20, WRAP73, TIMP1, CUTA, PSMD2, SLC10A3, AES, EIF2B2, VAMP2, SDF2, VAMP3, HARS2, ITPK1, CEBPA, PACS1, TXNRD1, PEPD, RNF24, PFDN1, IVNS1ABP, SYT11, LIPA, SETDB1, HPS6, FAM217B, ETFA, PRPF31, RABEP1, PTGES3, ETS2, PHF2, STX11, DECR1, SHC1, USP10, AAR2, MAGT1, TSC22D4, TIMP2, APRT, TLR5, PIGC, TMEM123, ORAI1, GRN, SETD3, PPP4R1, TICAM1, CCDC12, PITPNM2, GGNBP2, SUMO3, ATG16L1, EDF1, COLGALT1, MPC2, AKR1A1, LDHB, SBK1, PUM2, MED29, KIAA0196, SMARCD1, MSH6, PTPA, SPHK2, ETFB, PEF1, RNF216, CCDC115, RTN4, EVL, YTHDF2, ZNF512, TPR, TRA2A, PARL, RPL26, DAD1, CREB5, ATP1A1, SCYL1, ARHGAP1, SNX17, LIMS1, GOLGA3, OGDH, RUNDC1, PDCD6, RASSF1, SPPL2A, DDOST, DUSP18, ARHGDIA, SFT2D1, SECISBP2, PHACTR4, TRIM28, TKT, CLNS1A, DESI1, CRLS1, GTF2B, TUFM, MYD88, GLOD4, PIGT, ACAA1, UPF2, GTF2H5, MTMR3, RAB3GAP1, TBK1, UROD, STARD7, FDFT1, ALDOA, TMEM8A, ZNHIT1, TUBA1C, SLTM, NELFB, TAPBP, OSTF1, GRB2, GTPBP4, MKLN1, SLC35A2, PRRC2C, TMED9, ELP3, CEBPZ, SDHA, PLEC, EP300, BTBD6, MRPL21, ZNFX1, ILF2, CDC42EP4, HNRNPM, BBX, TTC13, ZNF324, CORO1C, GAS7, MBD6, TRIM8, RAB21, SAT2, TSG101, DDX39A, GIMAP8, DEK, TSC22D3, 37500, GTF2F1, CKAP5, REXO2, STX5, MRPL32, PLRG1, CCDC174, C17orf62, MKNK1, ARHGAP30, CREB3L2, IDH2, LSM10, MGST3, ACSS1, SLC35E1, ARF5, RNF144B, RAB5B, LEPROTL1, CGGBP1, CLPTM1L, ARL8B, HNRNPA0, STAT5A, EIF2B1, PRKD2, CSK, GLE1, HEBP2, GBA, RALA, ARL2BP, DBI, INTS3, LARP7, DDX18, LAMTOR2, ST6GAL1, MCL1, APOL3, GNG10, CALML4, PABPC4, H1F0, SIRPA, RARS2, TRAFD1, NET1, FAM107B, PDCD2, ZNF689, MAN2B1, TAF7, RRAGC, DNMT1, PRRC2A, MORF4L1, RAB8A, PCCB, TM2D3, CSTB, WDR48, HLA-F, MTF1, ABCF1, MAFB, PSMB2, JMJD1C, HLA-E, C19orf70, TRADD, USB1, ZBP1, LARP4B, WBP11, NDUFA13, MAPK1, IL10RB, SCPEP1, CERK, DEF8, CERS6, EBNA1BP2, ARPC5, PRPSAP1, IL13RA1, PRCP, CNBP, SETD2, RAB5C, GPAA1, SLC38A1, NCOA5, RPAIN, COQ5, GARS, CHMP4B, RRM1, SNRPB2, RTFDC1, ATG101, BMS1, C16orf72, H1FX, URM1, ATRAID, SND1, DNAJB1, CYLD, MAGED1, EIF4G3, SF3B2, EIF4H, PPCS, ZNF622, PSMD7, BIRC3, INTS9, COMMD6, TOP2B, USF1, IL32, SURF6, EXTL3, FKBP5, GOLGA7, BRE, SPECC1L, TRIM22, DSTYK, SUCLG1, TBC1D14, PELI2, PSMC5, RRAS, BRI3, FAM110A, EEF1D, PUM1, MRPL34, EXO5, DDX23, ELMO1, GNPDA1, PAIP2, MCM3AP, COPS7B, DENND5A, ABLIM1, LMOD3, TM9SF2, CTCF, RNF34, NIFK, HERC1, PLAGL2, PSME2, NDUFV1, ICAM2, RAB22A, PARVB, RPL23A, PSIP1, PPP2R2A, EXOC3, METTL13, XPC, CKAP4, CDS2, PPHLN1, ATP5O, ZNF787, SIDT2, RNF114, UQCRH, VPS4B, CIAO1, MNT, RNF38, DNAJB6, ALDH2, PISD, SERTAD1, PGD, DDX3X, RASGRP2, DHX30, SRSF1, TBCD, YBEY, TMEM167B, EZR, GIPC1, HIST1H2BK, CD2BP2, ASNS, ARHGEF7, PGLS, DUSP3, PRKAG2, MS4A6A, SEL1L3, ZFYVE26, CHURC1, EMC4, CAPZB, SNRPB, SPAG9, DNAJC9, XYLT2, RBSN, ACAT1, CD55, SCFD1, PGM1, PPTC7, SPN, PLIN2, </w:t>
            </w:r>
            <w:r w:rsidRPr="00C21B42">
              <w:rPr>
                <w:rFonts w:ascii="Times New Roman" w:eastAsia="Times New Roman" w:hAnsi="Times New Roman" w:cs="Times New Roman"/>
                <w:bCs/>
                <w:sz w:val="16"/>
                <w:szCs w:val="18"/>
              </w:rPr>
              <w:lastRenderedPageBreak/>
              <w:t>PRKCD, TNFSF10, SMG1, RUNX1, CCDC97, ZNF91, PTTG1IP, AKIRIN1, KCTD20, TMEM147, TMED4, NAP1L4, MRPL18, OARD1, ITPRIP, LTBP3, TAPBPL, CHD8, MRPL23, ENTPD4, ACADVL, HEXB, MCM3, PPM1G, MARCKS, UBAC1, MIF, LDHA, DHRS1, MBNL1, DHRS7, ZNF394, AKAP17A, PHC2, IQSEC1, PPP1R7, ACAP1, XBP1, VAMP5, COX8A, CREBBP, COMMD7, SH3KBP1, C15orf57, FAM20B, MED25, CSRP1, BCAP31, PRPSAP2, RAB35, RAF1, IL16, TRIM25, RAB29, PSMB7, SMARCA4, MCM5, ITPR3, NTAN1, CREB1, PHIP, ANXA2P1, RAP1GAP2, ARPC5L, METTL21A, TRPV2, CCT6P1, C4orf3, MPHOSPH8, MRFAP1, MBD4, CD99, MKRN2, SYK, RABGAP1, TBC1D2B, STIM1, SNRPF, HNRNPUL2, TMEM203, CBLL1, PGS1, ZNF598, STK40, RPL22, FOXK1, BRD7, M6PR, JUNB, PSMG2, DHX29, IDH1, TMEM109, CCNL1, KAT6A, GRK5, NUDC, FAAP20, ANXA2R, TMEM9B, CMPK1, SLC35A4, FNBP4, PHF5A, PGAM1, SLC39A1, NDUFB2, RBMX, FCGR3B, MRPS27, CAMK1, CTBS, TMEM173, RCBTB2, AKIRIN2, FKBP14, GABARAPL1, CAT, SSTR2, SEMA3E, CRLF3, TRMT5, ASB8, CNOT8, SRSF4, VDAC1, NDUFA11, HNRNPR, NBPF11, BANF1, DDX1, COX7B, DHRS4, PFKFB3, COX17, CARD8, DCAF15, NUP93, KATNA1, LOC407835, XRCC2, C10orf54, RABAC1, DERL1, RNASEL, TMEM39B, TMED10P1, LRRFIP1, IAH1, ASNSD1, SLC25A42, ADIPOR2, GYG1, MRPL43, TSPO, CCNY, TRIM13, NBPF3, ARID4B, ZNF483, TDP1, CSNK1D, PHKB, TCAF1, PLEKHB2, MTMR14, RPS29, LUC7L3, UBE2A, AGTRAP, HMGA1, SRP54, OSBPL9, CDC42SE2, TRIM4, TPD52L2, USF2, NGDN, PQBP1, CASP1, DHPS, NUDT1, DDX19B, ARF1, CUL4A, MBP, SUMO2, L3MBTL2, NPTN, WARS, CDC25B, SERPINA1, DNM2, TMEM134, MVP, PTGES2, CLTA, VRK3, CD44, KIAA1147, THYN1, ATF4, ZMAT3, BAG5, ZDHHC16, RASSF5, SDCBP, ILK, BTN2A1, PRDX1, SEC61G, EIF4G1, BCL7C, WAC, DPM3, SYPL1, HNRNPK, FBXL5, IRAK1, BICD2, FYN, EIF4G2, OPTN, PTPRE, TGFBR2, C21orf33, CASP3, EPSTI1, FAM212B, UGP2, PSMB8, CD82, PRDX3, AKAP13, SPOP, ZNRD1, 38961, MAPK3, TRPC4AP, GGA3, OAS1, AKT1, RBM39, LGALS9, MARK2</w:t>
            </w:r>
          </w:p>
        </w:tc>
      </w:tr>
    </w:tbl>
    <w:p w14:paraId="50E2AACD" w14:textId="22BF6360" w:rsidR="00ED17DE" w:rsidRDefault="00ED17DE" w:rsidP="001E5F8F">
      <w:pPr>
        <w:rPr>
          <w:rFonts w:ascii="Times New Roman" w:hAnsi="Times New Roman" w:cs="Times New Roman"/>
        </w:rPr>
      </w:pPr>
    </w:p>
    <w:p w14:paraId="281A53E7" w14:textId="77777777" w:rsidR="003D1D7F" w:rsidRPr="00C21B42" w:rsidRDefault="003D1D7F" w:rsidP="001E5F8F">
      <w:pPr>
        <w:rPr>
          <w:rFonts w:ascii="Times New Roman" w:hAnsi="Times New Roman" w:cs="Times New Roman"/>
        </w:rPr>
      </w:pPr>
    </w:p>
    <w:tbl>
      <w:tblPr>
        <w:tblStyle w:val="GridTable1Light-Accent61"/>
        <w:tblW w:w="0" w:type="auto"/>
        <w:tblLayout w:type="fixed"/>
        <w:tblLook w:val="04A0" w:firstRow="1" w:lastRow="0" w:firstColumn="1" w:lastColumn="0" w:noHBand="0" w:noVBand="1"/>
      </w:tblPr>
      <w:tblGrid>
        <w:gridCol w:w="1728"/>
        <w:gridCol w:w="7622"/>
      </w:tblGrid>
      <w:tr w:rsidR="00200F32" w:rsidRPr="00C21B42" w14:paraId="75E149C7" w14:textId="77777777" w:rsidTr="00E95822">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9350" w:type="dxa"/>
            <w:gridSpan w:val="2"/>
          </w:tcPr>
          <w:p w14:paraId="3A1C9733" w14:textId="438CAA5D" w:rsidR="00200F32" w:rsidRPr="00C21B42" w:rsidRDefault="00200F32" w:rsidP="00E95822">
            <w:pPr>
              <w:rPr>
                <w:rFonts w:ascii="Times New Roman" w:eastAsia="Times New Roman" w:hAnsi="Times New Roman" w:cs="Times New Roman"/>
                <w:b w:val="0"/>
                <w:bCs w:val="0"/>
              </w:rPr>
            </w:pPr>
            <w:bookmarkStart w:id="40" w:name="_Hlk138424743"/>
            <w:r w:rsidRPr="00C21B42">
              <w:rPr>
                <w:rFonts w:ascii="Times New Roman" w:hAnsi="Times New Roman" w:cs="Times New Roman"/>
              </w:rPr>
              <w:t>Table S</w:t>
            </w:r>
            <w:r w:rsidR="00E11FB4">
              <w:rPr>
                <w:rFonts w:ascii="Times New Roman" w:hAnsi="Times New Roman" w:cs="Times New Roman"/>
              </w:rPr>
              <w:t>6</w:t>
            </w:r>
            <w:r w:rsidRPr="00C21B42">
              <w:rPr>
                <w:rFonts w:ascii="Times New Roman" w:hAnsi="Times New Roman" w:cs="Times New Roman"/>
              </w:rPr>
              <w:t>.</w:t>
            </w:r>
            <w:r w:rsidRPr="00C21B42">
              <w:rPr>
                <w:rFonts w:ascii="Times New Roman" w:hAnsi="Times New Roman" w:cs="Times New Roman"/>
                <w:b w:val="0"/>
                <w:bCs w:val="0"/>
              </w:rPr>
              <w:t xml:space="preserve"> List of upregulated and downregulated shared DEGs (</w:t>
            </w:r>
            <w:r w:rsidR="008F60A5" w:rsidRPr="00C21B42">
              <w:rPr>
                <w:rFonts w:ascii="Times New Roman" w:hAnsi="Times New Roman" w:cs="Times New Roman"/>
                <w:b w:val="0"/>
                <w:bCs w:val="0"/>
              </w:rPr>
              <w:t>s</w:t>
            </w:r>
            <w:r w:rsidRPr="00C21B42">
              <w:rPr>
                <w:rFonts w:ascii="Times New Roman" w:hAnsi="Times New Roman" w:cs="Times New Roman"/>
                <w:b w:val="0"/>
                <w:bCs w:val="0"/>
              </w:rPr>
              <w:t>DEGs) between PC and T2D</w:t>
            </w:r>
            <w:bookmarkEnd w:id="40"/>
          </w:p>
        </w:tc>
      </w:tr>
      <w:tr w:rsidR="00200F32" w:rsidRPr="00C21B42" w14:paraId="13E40001" w14:textId="77777777" w:rsidTr="00E95822">
        <w:trPr>
          <w:trHeight w:val="350"/>
        </w:trPr>
        <w:tc>
          <w:tcPr>
            <w:cnfStyle w:val="001000000000" w:firstRow="0" w:lastRow="0" w:firstColumn="1" w:lastColumn="0" w:oddVBand="0" w:evenVBand="0" w:oddHBand="0" w:evenHBand="0" w:firstRowFirstColumn="0" w:firstRowLastColumn="0" w:lastRowFirstColumn="0" w:lastRowLastColumn="0"/>
            <w:tcW w:w="1728" w:type="dxa"/>
          </w:tcPr>
          <w:p w14:paraId="5ED857B8" w14:textId="4657AFAD" w:rsidR="00200F32" w:rsidRPr="00C21B42" w:rsidRDefault="00200F32" w:rsidP="00E95822">
            <w:pPr>
              <w:jc w:val="center"/>
              <w:rPr>
                <w:rFonts w:ascii="Times New Roman" w:eastAsia="Times New Roman" w:hAnsi="Times New Roman" w:cs="Times New Roman"/>
                <w:b w:val="0"/>
              </w:rPr>
            </w:pPr>
            <w:r w:rsidRPr="00C21B42">
              <w:rPr>
                <w:rFonts w:ascii="Times New Roman" w:eastAsia="Times New Roman" w:hAnsi="Times New Roman" w:cs="Times New Roman"/>
              </w:rPr>
              <w:t xml:space="preserve">Downregulated </w:t>
            </w:r>
            <w:r w:rsidR="008F60A5" w:rsidRPr="00C21B42">
              <w:rPr>
                <w:rFonts w:ascii="Times New Roman" w:eastAsia="Times New Roman" w:hAnsi="Times New Roman" w:cs="Times New Roman"/>
              </w:rPr>
              <w:t>s</w:t>
            </w:r>
            <w:r w:rsidRPr="00C21B42">
              <w:rPr>
                <w:rFonts w:ascii="Times New Roman" w:eastAsia="Times New Roman" w:hAnsi="Times New Roman" w:cs="Times New Roman"/>
              </w:rPr>
              <w:t>DEGs</w:t>
            </w:r>
          </w:p>
        </w:tc>
        <w:tc>
          <w:tcPr>
            <w:tcW w:w="7622" w:type="dxa"/>
          </w:tcPr>
          <w:p w14:paraId="2CAA1492" w14:textId="401FD875" w:rsidR="00200F32" w:rsidRPr="00C21B42" w:rsidRDefault="00200F32" w:rsidP="00E9582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rPr>
            </w:pPr>
            <w:r w:rsidRPr="00C21B42">
              <w:rPr>
                <w:rFonts w:ascii="Times New Roman" w:eastAsia="Times New Roman" w:hAnsi="Times New Roman" w:cs="Times New Roman"/>
                <w:b/>
              </w:rPr>
              <w:t xml:space="preserve">Upregulated </w:t>
            </w:r>
            <w:r w:rsidR="008F60A5" w:rsidRPr="00C21B42">
              <w:rPr>
                <w:rFonts w:ascii="Times New Roman" w:eastAsia="Times New Roman" w:hAnsi="Times New Roman" w:cs="Times New Roman"/>
                <w:b/>
              </w:rPr>
              <w:t>s</w:t>
            </w:r>
            <w:r w:rsidRPr="00C21B42">
              <w:rPr>
                <w:rFonts w:ascii="Times New Roman" w:eastAsia="Times New Roman" w:hAnsi="Times New Roman" w:cs="Times New Roman"/>
                <w:b/>
              </w:rPr>
              <w:t>DEGs</w:t>
            </w:r>
          </w:p>
        </w:tc>
      </w:tr>
      <w:tr w:rsidR="00200F32" w:rsidRPr="00C21B42" w14:paraId="29ACB10A" w14:textId="77777777" w:rsidTr="00E95822">
        <w:trPr>
          <w:trHeight w:val="710"/>
        </w:trPr>
        <w:tc>
          <w:tcPr>
            <w:cnfStyle w:val="001000000000" w:firstRow="0" w:lastRow="0" w:firstColumn="1" w:lastColumn="0" w:oddVBand="0" w:evenVBand="0" w:oddHBand="0" w:evenHBand="0" w:firstRowFirstColumn="0" w:firstRowLastColumn="0" w:lastRowFirstColumn="0" w:lastRowLastColumn="0"/>
            <w:tcW w:w="1728" w:type="dxa"/>
          </w:tcPr>
          <w:p w14:paraId="2CE0ED79" w14:textId="5268F3B3" w:rsidR="00200F32" w:rsidRPr="00C21B42" w:rsidRDefault="005F395D" w:rsidP="00E95822">
            <w:pPr>
              <w:rPr>
                <w:rFonts w:ascii="Times New Roman" w:eastAsia="Times New Roman" w:hAnsi="Times New Roman" w:cs="Times New Roman"/>
                <w:b w:val="0"/>
                <w:sz w:val="20"/>
              </w:rPr>
            </w:pPr>
            <w:r w:rsidRPr="00C21B42">
              <w:rPr>
                <w:rFonts w:ascii="Times New Roman" w:eastAsia="Times New Roman" w:hAnsi="Times New Roman" w:cs="Times New Roman"/>
                <w:b w:val="0"/>
                <w:sz w:val="20"/>
              </w:rPr>
              <w:t>PDCD4, CDK13, SSR4</w:t>
            </w:r>
          </w:p>
        </w:tc>
        <w:tc>
          <w:tcPr>
            <w:tcW w:w="7622" w:type="dxa"/>
          </w:tcPr>
          <w:p w14:paraId="4C02FCE5" w14:textId="64211342" w:rsidR="00200F32" w:rsidRPr="00C21B42" w:rsidRDefault="000E22D8" w:rsidP="00E9582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0"/>
              </w:rPr>
            </w:pPr>
            <w:r w:rsidRPr="00C21B42">
              <w:rPr>
                <w:rFonts w:ascii="Times New Roman" w:eastAsia="Times New Roman" w:hAnsi="Times New Roman" w:cs="Times New Roman"/>
                <w:bCs/>
                <w:sz w:val="20"/>
              </w:rPr>
              <w:t>KCTD20, CORO1C, GRN, SH3KBP1, CD55, PSMB8, RTN4, CRLF3, PFKFB3, TNFSF10, HLA-E, RBMS1, WDR1, CASP1, MS4A6A, TIMP2, HLA-F, PYCARD, MYD88, TAPBP, GAPDH, PRDX1, UBA1, LRRFIP1, PPP2R3C, MVP, DYNLRB1, IL13RA1, B4GALT5, BICD2, TSPO, CAPZB, NAMPT, TNFRSF1A, LEPROTL1, FXYD5, ZYX, TRIM22, LIMS1, ZNFX1, TUBA1C, SPPL2A, PHC2, JUNB, ARPC5, PSME2, PTTG1IP, CSTB, TIMP1</w:t>
            </w:r>
          </w:p>
        </w:tc>
      </w:tr>
    </w:tbl>
    <w:p w14:paraId="7760D326" w14:textId="77777777" w:rsidR="003D1D7F" w:rsidRPr="00C21B42" w:rsidRDefault="003D1D7F" w:rsidP="001E5F8F">
      <w:pPr>
        <w:rPr>
          <w:rFonts w:ascii="Times New Roman" w:hAnsi="Times New Roman" w:cs="Times New Roman"/>
        </w:rPr>
      </w:pPr>
    </w:p>
    <w:tbl>
      <w:tblPr>
        <w:tblStyle w:val="GridTable1Light-Accent13"/>
        <w:tblW w:w="9125" w:type="dxa"/>
        <w:tblLook w:val="04A0" w:firstRow="1" w:lastRow="0" w:firstColumn="1" w:lastColumn="0" w:noHBand="0" w:noVBand="1"/>
      </w:tblPr>
      <w:tblGrid>
        <w:gridCol w:w="608"/>
        <w:gridCol w:w="1390"/>
        <w:gridCol w:w="990"/>
        <w:gridCol w:w="1440"/>
        <w:gridCol w:w="1260"/>
        <w:gridCol w:w="1170"/>
        <w:gridCol w:w="1080"/>
        <w:gridCol w:w="1187"/>
      </w:tblGrid>
      <w:tr w:rsidR="00DF7654" w:rsidRPr="00C21B42" w14:paraId="487C9865" w14:textId="77777777" w:rsidTr="00B6709D">
        <w:trPr>
          <w:cnfStyle w:val="100000000000" w:firstRow="1" w:lastRow="0" w:firstColumn="0" w:lastColumn="0" w:oddVBand="0" w:evenVBand="0" w:oddHBand="0"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9125" w:type="dxa"/>
            <w:gridSpan w:val="8"/>
          </w:tcPr>
          <w:p w14:paraId="00A802B5" w14:textId="6C9BDE45" w:rsidR="00DF7654" w:rsidRPr="00C21B42" w:rsidRDefault="00DF7654" w:rsidP="00E95822">
            <w:pPr>
              <w:rPr>
                <w:rFonts w:ascii="Times New Roman" w:eastAsia="Times New Roman" w:hAnsi="Times New Roman" w:cs="Times New Roman"/>
                <w:b w:val="0"/>
                <w:bCs w:val="0"/>
              </w:rPr>
            </w:pPr>
            <w:bookmarkStart w:id="41" w:name="_Hlk138424754"/>
            <w:r w:rsidRPr="00C21B42">
              <w:rPr>
                <w:rFonts w:ascii="Times New Roman" w:hAnsi="Times New Roman" w:cs="Times New Roman"/>
              </w:rPr>
              <w:t>Table S</w:t>
            </w:r>
            <w:r w:rsidR="00E11FB4">
              <w:rPr>
                <w:rFonts w:ascii="Times New Roman" w:hAnsi="Times New Roman" w:cs="Times New Roman"/>
              </w:rPr>
              <w:t>7</w:t>
            </w:r>
            <w:r w:rsidRPr="00C21B42">
              <w:rPr>
                <w:rFonts w:ascii="Times New Roman" w:hAnsi="Times New Roman" w:cs="Times New Roman"/>
              </w:rPr>
              <w:t xml:space="preserve">. </w:t>
            </w:r>
            <w:r w:rsidR="0003253B" w:rsidRPr="00C21B42">
              <w:rPr>
                <w:rFonts w:ascii="Times New Roman" w:hAnsi="Times New Roman" w:cs="Times New Roman"/>
                <w:b w:val="0"/>
                <w:bCs w:val="0"/>
              </w:rPr>
              <w:t xml:space="preserve">List of </w:t>
            </w:r>
            <w:r w:rsidR="00A91BCF" w:rsidRPr="00A91BCF">
              <w:rPr>
                <w:rFonts w:ascii="Times New Roman" w:hAnsi="Times New Roman" w:cs="Times New Roman"/>
                <w:b w:val="0"/>
                <w:bCs w:val="0"/>
              </w:rPr>
              <w:t xml:space="preserve">shared key genomic biomarkers </w:t>
            </w:r>
            <w:r w:rsidR="0003253B" w:rsidRPr="00C21B42">
              <w:rPr>
                <w:rFonts w:ascii="Times New Roman" w:hAnsi="Times New Roman" w:cs="Times New Roman"/>
                <w:b w:val="0"/>
                <w:bCs w:val="0"/>
              </w:rPr>
              <w:t>(</w:t>
            </w:r>
            <w:r w:rsidR="00A91BCF">
              <w:rPr>
                <w:rFonts w:ascii="Times New Roman" w:hAnsi="Times New Roman" w:cs="Times New Roman"/>
                <w:b w:val="0"/>
                <w:bCs w:val="0"/>
              </w:rPr>
              <w:t>sKGBs</w:t>
            </w:r>
            <w:r w:rsidR="0003253B" w:rsidRPr="00C21B42">
              <w:rPr>
                <w:rFonts w:ascii="Times New Roman" w:hAnsi="Times New Roman" w:cs="Times New Roman"/>
                <w:b w:val="0"/>
                <w:bCs w:val="0"/>
              </w:rPr>
              <w:t>) from PPI network based on different topological measures</w:t>
            </w:r>
            <w:bookmarkEnd w:id="41"/>
          </w:p>
        </w:tc>
      </w:tr>
      <w:tr w:rsidR="00B6709D" w:rsidRPr="00C21B42" w14:paraId="4E3482C8" w14:textId="46290F4A"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6EEF2ED6" w14:textId="514E8C93" w:rsidR="00B6709D" w:rsidRPr="00C21B42" w:rsidRDefault="00B6709D" w:rsidP="00B6709D">
            <w:pPr>
              <w:jc w:val="center"/>
              <w:rPr>
                <w:rFonts w:ascii="Times New Roman" w:eastAsia="Times New Roman" w:hAnsi="Times New Roman" w:cs="Times New Roman"/>
              </w:rPr>
            </w:pPr>
            <w:r w:rsidRPr="00C21B42">
              <w:rPr>
                <w:rFonts w:ascii="Times New Roman" w:eastAsia="Times New Roman" w:hAnsi="Times New Roman" w:cs="Times New Roman"/>
              </w:rPr>
              <w:t>SN.</w:t>
            </w:r>
          </w:p>
        </w:tc>
        <w:tc>
          <w:tcPr>
            <w:tcW w:w="1390" w:type="dxa"/>
            <w:noWrap/>
            <w:hideMark/>
          </w:tcPr>
          <w:p w14:paraId="68E4AC5E" w14:textId="0F2DB28C" w:rsidR="00B6709D" w:rsidRPr="00C21B42" w:rsidRDefault="00A91BCF"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Pr>
                <w:rFonts w:ascii="Times New Roman" w:eastAsia="Times New Roman" w:hAnsi="Times New Roman" w:cs="Times New Roman"/>
                <w:b/>
                <w:bCs/>
                <w:sz w:val="24"/>
                <w:szCs w:val="24"/>
              </w:rPr>
              <w:t>SKGBs</w:t>
            </w:r>
          </w:p>
        </w:tc>
        <w:tc>
          <w:tcPr>
            <w:tcW w:w="990" w:type="dxa"/>
            <w:noWrap/>
            <w:hideMark/>
          </w:tcPr>
          <w:p w14:paraId="27B59041" w14:textId="3F84C835"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sz w:val="24"/>
                <w:szCs w:val="24"/>
              </w:rPr>
              <w:t>Degree</w:t>
            </w:r>
          </w:p>
        </w:tc>
        <w:tc>
          <w:tcPr>
            <w:tcW w:w="1440" w:type="dxa"/>
            <w:noWrap/>
            <w:hideMark/>
          </w:tcPr>
          <w:p w14:paraId="7B6BDBFC" w14:textId="285E1DBC"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sz w:val="24"/>
                <w:szCs w:val="24"/>
              </w:rPr>
              <w:t>Closeness</w:t>
            </w:r>
          </w:p>
        </w:tc>
        <w:tc>
          <w:tcPr>
            <w:tcW w:w="1260" w:type="dxa"/>
            <w:noWrap/>
            <w:hideMark/>
          </w:tcPr>
          <w:p w14:paraId="73E35299" w14:textId="5E36D9E3"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sz w:val="24"/>
                <w:szCs w:val="24"/>
              </w:rPr>
              <w:t>EPC</w:t>
            </w:r>
          </w:p>
        </w:tc>
        <w:tc>
          <w:tcPr>
            <w:tcW w:w="1170" w:type="dxa"/>
            <w:noWrap/>
            <w:hideMark/>
          </w:tcPr>
          <w:p w14:paraId="72E4A1C1" w14:textId="5240DC00"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sz w:val="24"/>
                <w:szCs w:val="24"/>
              </w:rPr>
              <w:t>MNC</w:t>
            </w:r>
          </w:p>
        </w:tc>
        <w:tc>
          <w:tcPr>
            <w:tcW w:w="1080" w:type="dxa"/>
            <w:noWrap/>
            <w:hideMark/>
          </w:tcPr>
          <w:p w14:paraId="481E51CA" w14:textId="1D44DD38"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sz w:val="24"/>
                <w:szCs w:val="24"/>
              </w:rPr>
              <w:t>MCC</w:t>
            </w:r>
          </w:p>
        </w:tc>
        <w:tc>
          <w:tcPr>
            <w:tcW w:w="1187" w:type="dxa"/>
          </w:tcPr>
          <w:p w14:paraId="303C617A" w14:textId="4B1DAB92"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sz w:val="24"/>
                <w:szCs w:val="24"/>
              </w:rPr>
              <w:t>Radiality</w:t>
            </w:r>
          </w:p>
        </w:tc>
      </w:tr>
      <w:tr w:rsidR="00B6709D" w:rsidRPr="00C21B42" w14:paraId="29C0ABFD" w14:textId="2E62BF1E"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4F8A08AC" w14:textId="77777777" w:rsidR="00B6709D" w:rsidRPr="00C21B42" w:rsidRDefault="00B6709D" w:rsidP="00B6709D">
            <w:pPr>
              <w:jc w:val="center"/>
              <w:rPr>
                <w:rFonts w:ascii="Times New Roman" w:eastAsia="Times New Roman" w:hAnsi="Times New Roman" w:cs="Times New Roman"/>
              </w:rPr>
            </w:pPr>
            <w:r w:rsidRPr="00C21B42">
              <w:rPr>
                <w:rFonts w:ascii="Times New Roman" w:eastAsia="Times New Roman" w:hAnsi="Times New Roman" w:cs="Times New Roman"/>
              </w:rPr>
              <w:t>1</w:t>
            </w:r>
          </w:p>
        </w:tc>
        <w:tc>
          <w:tcPr>
            <w:tcW w:w="1390" w:type="dxa"/>
            <w:noWrap/>
          </w:tcPr>
          <w:p w14:paraId="7D7B9C67" w14:textId="4C4BD023"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GAPDH</w:t>
            </w:r>
          </w:p>
        </w:tc>
        <w:tc>
          <w:tcPr>
            <w:tcW w:w="990" w:type="dxa"/>
            <w:noWrap/>
          </w:tcPr>
          <w:p w14:paraId="0A2C072B" w14:textId="137CAF3A"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35</w:t>
            </w:r>
          </w:p>
        </w:tc>
        <w:tc>
          <w:tcPr>
            <w:tcW w:w="1440" w:type="dxa"/>
            <w:noWrap/>
          </w:tcPr>
          <w:p w14:paraId="561BB7E3" w14:textId="315AF5C0"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40.5</w:t>
            </w:r>
          </w:p>
        </w:tc>
        <w:tc>
          <w:tcPr>
            <w:tcW w:w="1260" w:type="dxa"/>
            <w:noWrap/>
          </w:tcPr>
          <w:p w14:paraId="006A734F" w14:textId="09928AA4"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19.093</w:t>
            </w:r>
          </w:p>
        </w:tc>
        <w:tc>
          <w:tcPr>
            <w:tcW w:w="1170" w:type="dxa"/>
            <w:noWrap/>
          </w:tcPr>
          <w:p w14:paraId="0ED64A23" w14:textId="55DD586B"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35</w:t>
            </w:r>
          </w:p>
        </w:tc>
        <w:tc>
          <w:tcPr>
            <w:tcW w:w="1080" w:type="dxa"/>
            <w:noWrap/>
          </w:tcPr>
          <w:p w14:paraId="4DE6C92D" w14:textId="2795EC78"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5570</w:t>
            </w:r>
          </w:p>
        </w:tc>
        <w:tc>
          <w:tcPr>
            <w:tcW w:w="1187" w:type="dxa"/>
          </w:tcPr>
          <w:p w14:paraId="1D4AA184" w14:textId="3D9D8B24"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3.71162</w:t>
            </w:r>
          </w:p>
        </w:tc>
      </w:tr>
      <w:tr w:rsidR="00B6709D" w:rsidRPr="00C21B42" w14:paraId="5EFD8F59" w14:textId="7911212F"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5F92C29A" w14:textId="77777777" w:rsidR="00B6709D" w:rsidRPr="00C21B42" w:rsidRDefault="00B6709D" w:rsidP="00B6709D">
            <w:pPr>
              <w:jc w:val="center"/>
              <w:rPr>
                <w:rFonts w:ascii="Times New Roman" w:eastAsia="Times New Roman" w:hAnsi="Times New Roman" w:cs="Times New Roman"/>
                <w:i/>
                <w:iCs/>
              </w:rPr>
            </w:pPr>
            <w:r w:rsidRPr="00C21B42">
              <w:rPr>
                <w:rFonts w:ascii="Times New Roman" w:eastAsia="Times New Roman" w:hAnsi="Times New Roman" w:cs="Times New Roman"/>
                <w:i/>
                <w:iCs/>
              </w:rPr>
              <w:t>2</w:t>
            </w:r>
          </w:p>
        </w:tc>
        <w:tc>
          <w:tcPr>
            <w:tcW w:w="1390" w:type="dxa"/>
            <w:noWrap/>
          </w:tcPr>
          <w:p w14:paraId="1C4088E8" w14:textId="5FEFABDC"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rPr>
            </w:pPr>
            <w:r w:rsidRPr="00C21B42">
              <w:rPr>
                <w:rFonts w:ascii="Times New Roman" w:eastAsia="Times New Roman" w:hAnsi="Times New Roman" w:cs="Times New Roman"/>
                <w:i/>
                <w:iCs/>
                <w:sz w:val="24"/>
                <w:szCs w:val="24"/>
              </w:rPr>
              <w:t>CASP1</w:t>
            </w:r>
          </w:p>
        </w:tc>
        <w:tc>
          <w:tcPr>
            <w:tcW w:w="990" w:type="dxa"/>
            <w:noWrap/>
          </w:tcPr>
          <w:p w14:paraId="72D0E287" w14:textId="08A0F137"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24</w:t>
            </w:r>
          </w:p>
        </w:tc>
        <w:tc>
          <w:tcPr>
            <w:tcW w:w="1440" w:type="dxa"/>
            <w:noWrap/>
          </w:tcPr>
          <w:p w14:paraId="528F425D" w14:textId="215279BD"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34.8333</w:t>
            </w:r>
          </w:p>
        </w:tc>
        <w:tc>
          <w:tcPr>
            <w:tcW w:w="1260" w:type="dxa"/>
            <w:noWrap/>
          </w:tcPr>
          <w:p w14:paraId="5CF1C439" w14:textId="74150852"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18.194</w:t>
            </w:r>
          </w:p>
        </w:tc>
        <w:tc>
          <w:tcPr>
            <w:tcW w:w="1170" w:type="dxa"/>
            <w:noWrap/>
          </w:tcPr>
          <w:p w14:paraId="4201A1C3" w14:textId="65ED28A0"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24</w:t>
            </w:r>
          </w:p>
        </w:tc>
        <w:tc>
          <w:tcPr>
            <w:tcW w:w="1080" w:type="dxa"/>
            <w:noWrap/>
          </w:tcPr>
          <w:p w14:paraId="53A794A0" w14:textId="563C5F43"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4986</w:t>
            </w:r>
          </w:p>
        </w:tc>
        <w:tc>
          <w:tcPr>
            <w:tcW w:w="1187" w:type="dxa"/>
          </w:tcPr>
          <w:p w14:paraId="213303DC" w14:textId="651F5EB6"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3.4614</w:t>
            </w:r>
          </w:p>
        </w:tc>
      </w:tr>
      <w:tr w:rsidR="00B6709D" w:rsidRPr="00C21B42" w14:paraId="6FE38416" w14:textId="0B5F5742"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40711F46" w14:textId="77777777" w:rsidR="00B6709D" w:rsidRPr="00C21B42" w:rsidRDefault="00B6709D" w:rsidP="00B6709D">
            <w:pPr>
              <w:jc w:val="center"/>
              <w:rPr>
                <w:rFonts w:ascii="Times New Roman" w:eastAsia="Times New Roman" w:hAnsi="Times New Roman" w:cs="Times New Roman"/>
              </w:rPr>
            </w:pPr>
            <w:r w:rsidRPr="00C21B42">
              <w:rPr>
                <w:rFonts w:ascii="Times New Roman" w:eastAsia="Times New Roman" w:hAnsi="Times New Roman" w:cs="Times New Roman"/>
              </w:rPr>
              <w:t>3</w:t>
            </w:r>
          </w:p>
        </w:tc>
        <w:tc>
          <w:tcPr>
            <w:tcW w:w="1390" w:type="dxa"/>
            <w:noWrap/>
          </w:tcPr>
          <w:p w14:paraId="4EC9A761" w14:textId="7F814FFE"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MYD88</w:t>
            </w:r>
          </w:p>
        </w:tc>
        <w:tc>
          <w:tcPr>
            <w:tcW w:w="990" w:type="dxa"/>
            <w:noWrap/>
          </w:tcPr>
          <w:p w14:paraId="2927241C" w14:textId="1EE6C859"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20</w:t>
            </w:r>
          </w:p>
        </w:tc>
        <w:tc>
          <w:tcPr>
            <w:tcW w:w="1440" w:type="dxa"/>
            <w:noWrap/>
          </w:tcPr>
          <w:p w14:paraId="5DA100EA" w14:textId="16A0C897"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32.6667</w:t>
            </w:r>
          </w:p>
        </w:tc>
        <w:tc>
          <w:tcPr>
            <w:tcW w:w="1260" w:type="dxa"/>
            <w:noWrap/>
          </w:tcPr>
          <w:p w14:paraId="04ACFA70" w14:textId="313BFC8F"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17.57</w:t>
            </w:r>
          </w:p>
        </w:tc>
        <w:tc>
          <w:tcPr>
            <w:tcW w:w="1170" w:type="dxa"/>
            <w:noWrap/>
          </w:tcPr>
          <w:p w14:paraId="7B103D9A" w14:textId="6554BA29"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20</w:t>
            </w:r>
          </w:p>
        </w:tc>
        <w:tc>
          <w:tcPr>
            <w:tcW w:w="1080" w:type="dxa"/>
            <w:noWrap/>
          </w:tcPr>
          <w:p w14:paraId="39182F83" w14:textId="7E76AA48"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4682</w:t>
            </w:r>
          </w:p>
        </w:tc>
        <w:tc>
          <w:tcPr>
            <w:tcW w:w="1187" w:type="dxa"/>
          </w:tcPr>
          <w:p w14:paraId="63A33E10" w14:textId="296F81DF"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3.35714</w:t>
            </w:r>
          </w:p>
        </w:tc>
      </w:tr>
      <w:tr w:rsidR="00B6709D" w:rsidRPr="00C21B42" w14:paraId="007E4782" w14:textId="09415CE6"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064F357C" w14:textId="77777777" w:rsidR="00B6709D" w:rsidRPr="00C21B42" w:rsidRDefault="00B6709D" w:rsidP="00B6709D">
            <w:pPr>
              <w:jc w:val="center"/>
              <w:rPr>
                <w:rFonts w:ascii="Times New Roman" w:eastAsia="Times New Roman" w:hAnsi="Times New Roman" w:cs="Times New Roman"/>
              </w:rPr>
            </w:pPr>
            <w:r w:rsidRPr="00C21B42">
              <w:rPr>
                <w:rFonts w:ascii="Times New Roman" w:eastAsia="Times New Roman" w:hAnsi="Times New Roman" w:cs="Times New Roman"/>
              </w:rPr>
              <w:t>4</w:t>
            </w:r>
          </w:p>
        </w:tc>
        <w:tc>
          <w:tcPr>
            <w:tcW w:w="1390" w:type="dxa"/>
            <w:noWrap/>
          </w:tcPr>
          <w:p w14:paraId="27C38255" w14:textId="35D60946"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TNFRSF1A</w:t>
            </w:r>
          </w:p>
        </w:tc>
        <w:tc>
          <w:tcPr>
            <w:tcW w:w="990" w:type="dxa"/>
            <w:noWrap/>
          </w:tcPr>
          <w:p w14:paraId="126BB7C5" w14:textId="6F2EA449"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17</w:t>
            </w:r>
          </w:p>
        </w:tc>
        <w:tc>
          <w:tcPr>
            <w:tcW w:w="1440" w:type="dxa"/>
            <w:noWrap/>
          </w:tcPr>
          <w:p w14:paraId="4975BF95" w14:textId="6B6166E6"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31</w:t>
            </w:r>
          </w:p>
        </w:tc>
        <w:tc>
          <w:tcPr>
            <w:tcW w:w="1260" w:type="dxa"/>
            <w:noWrap/>
          </w:tcPr>
          <w:p w14:paraId="454387C0" w14:textId="12B5726E"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16.96</w:t>
            </w:r>
          </w:p>
        </w:tc>
        <w:tc>
          <w:tcPr>
            <w:tcW w:w="1170" w:type="dxa"/>
            <w:noWrap/>
          </w:tcPr>
          <w:p w14:paraId="4ABBBBAC" w14:textId="55F39697"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16</w:t>
            </w:r>
          </w:p>
        </w:tc>
        <w:tc>
          <w:tcPr>
            <w:tcW w:w="1080" w:type="dxa"/>
            <w:noWrap/>
          </w:tcPr>
          <w:p w14:paraId="1F1B970B" w14:textId="7CE4F445"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4633</w:t>
            </w:r>
          </w:p>
        </w:tc>
        <w:tc>
          <w:tcPr>
            <w:tcW w:w="1187" w:type="dxa"/>
          </w:tcPr>
          <w:p w14:paraId="2B958D84" w14:textId="767BFDF7"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3.27374</w:t>
            </w:r>
          </w:p>
        </w:tc>
      </w:tr>
      <w:tr w:rsidR="00B6709D" w:rsidRPr="00C21B42" w14:paraId="30ED8FA0" w14:textId="5677764B"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0789F6C9" w14:textId="77777777" w:rsidR="00B6709D" w:rsidRPr="00C21B42" w:rsidRDefault="00B6709D" w:rsidP="00B6709D">
            <w:pPr>
              <w:jc w:val="center"/>
              <w:rPr>
                <w:rFonts w:ascii="Times New Roman" w:eastAsia="Times New Roman" w:hAnsi="Times New Roman" w:cs="Times New Roman"/>
              </w:rPr>
            </w:pPr>
            <w:r w:rsidRPr="00C21B42">
              <w:rPr>
                <w:rFonts w:ascii="Times New Roman" w:eastAsia="Times New Roman" w:hAnsi="Times New Roman" w:cs="Times New Roman"/>
              </w:rPr>
              <w:t>5</w:t>
            </w:r>
          </w:p>
        </w:tc>
        <w:tc>
          <w:tcPr>
            <w:tcW w:w="1390" w:type="dxa"/>
            <w:noWrap/>
          </w:tcPr>
          <w:p w14:paraId="52CD251B" w14:textId="0DCAD329"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TIMP1</w:t>
            </w:r>
          </w:p>
        </w:tc>
        <w:tc>
          <w:tcPr>
            <w:tcW w:w="990" w:type="dxa"/>
            <w:noWrap/>
          </w:tcPr>
          <w:p w14:paraId="231568F8" w14:textId="39138B0F"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15</w:t>
            </w:r>
          </w:p>
        </w:tc>
        <w:tc>
          <w:tcPr>
            <w:tcW w:w="1440" w:type="dxa"/>
            <w:noWrap/>
          </w:tcPr>
          <w:p w14:paraId="0768C053" w14:textId="3DCA9D02"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29.6667</w:t>
            </w:r>
          </w:p>
        </w:tc>
        <w:tc>
          <w:tcPr>
            <w:tcW w:w="1260" w:type="dxa"/>
            <w:noWrap/>
          </w:tcPr>
          <w:p w14:paraId="58A6D58A" w14:textId="20F63869"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15.806</w:t>
            </w:r>
          </w:p>
        </w:tc>
        <w:tc>
          <w:tcPr>
            <w:tcW w:w="1170" w:type="dxa"/>
            <w:noWrap/>
          </w:tcPr>
          <w:p w14:paraId="135B017A" w14:textId="20DED017"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14</w:t>
            </w:r>
          </w:p>
        </w:tc>
        <w:tc>
          <w:tcPr>
            <w:tcW w:w="1080" w:type="dxa"/>
            <w:noWrap/>
          </w:tcPr>
          <w:p w14:paraId="25545FD7" w14:textId="1EE1C1D2"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1683</w:t>
            </w:r>
          </w:p>
        </w:tc>
        <w:tc>
          <w:tcPr>
            <w:tcW w:w="1187" w:type="dxa"/>
          </w:tcPr>
          <w:p w14:paraId="4001F469" w14:textId="55D5695C"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3.19033</w:t>
            </w:r>
          </w:p>
        </w:tc>
      </w:tr>
      <w:tr w:rsidR="00B6709D" w:rsidRPr="00C21B42" w14:paraId="0420BC59" w14:textId="2E868816" w:rsidTr="00B6709D">
        <w:trPr>
          <w:trHeight w:val="244"/>
        </w:trPr>
        <w:tc>
          <w:tcPr>
            <w:cnfStyle w:val="001000000000" w:firstRow="0" w:lastRow="0" w:firstColumn="1" w:lastColumn="0" w:oddVBand="0" w:evenVBand="0" w:oddHBand="0" w:evenHBand="0" w:firstRowFirstColumn="0" w:firstRowLastColumn="0" w:lastRowFirstColumn="0" w:lastRowLastColumn="0"/>
            <w:tcW w:w="608" w:type="dxa"/>
          </w:tcPr>
          <w:p w14:paraId="24ABC2C5" w14:textId="77777777" w:rsidR="00B6709D" w:rsidRPr="00C21B42" w:rsidRDefault="00B6709D" w:rsidP="00B6709D">
            <w:pPr>
              <w:jc w:val="center"/>
              <w:rPr>
                <w:rFonts w:ascii="Times New Roman" w:eastAsia="Times New Roman" w:hAnsi="Times New Roman" w:cs="Times New Roman"/>
                <w:i/>
                <w:iCs/>
              </w:rPr>
            </w:pPr>
            <w:r w:rsidRPr="00C21B42">
              <w:rPr>
                <w:rFonts w:ascii="Times New Roman" w:eastAsia="Times New Roman" w:hAnsi="Times New Roman" w:cs="Times New Roman"/>
                <w:i/>
                <w:iCs/>
              </w:rPr>
              <w:t>6</w:t>
            </w:r>
          </w:p>
        </w:tc>
        <w:tc>
          <w:tcPr>
            <w:tcW w:w="1390" w:type="dxa"/>
            <w:noWrap/>
          </w:tcPr>
          <w:p w14:paraId="6C5BCAA4" w14:textId="7737C09D"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rPr>
            </w:pPr>
            <w:r w:rsidRPr="00C21B42">
              <w:rPr>
                <w:rFonts w:ascii="Times New Roman" w:eastAsia="Times New Roman" w:hAnsi="Times New Roman" w:cs="Times New Roman"/>
                <w:sz w:val="24"/>
                <w:szCs w:val="24"/>
              </w:rPr>
              <w:t>TNFSF10</w:t>
            </w:r>
          </w:p>
        </w:tc>
        <w:tc>
          <w:tcPr>
            <w:tcW w:w="990" w:type="dxa"/>
            <w:noWrap/>
          </w:tcPr>
          <w:p w14:paraId="1879F5EF" w14:textId="30E55134"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14</w:t>
            </w:r>
          </w:p>
        </w:tc>
        <w:tc>
          <w:tcPr>
            <w:tcW w:w="1440" w:type="dxa"/>
            <w:noWrap/>
          </w:tcPr>
          <w:p w14:paraId="19DC8B26" w14:textId="68690FA1"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29.5</w:t>
            </w:r>
          </w:p>
        </w:tc>
        <w:tc>
          <w:tcPr>
            <w:tcW w:w="1260" w:type="dxa"/>
            <w:noWrap/>
          </w:tcPr>
          <w:p w14:paraId="3CD2E28F" w14:textId="2189883B"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15.207</w:t>
            </w:r>
          </w:p>
        </w:tc>
        <w:tc>
          <w:tcPr>
            <w:tcW w:w="1170" w:type="dxa"/>
            <w:noWrap/>
          </w:tcPr>
          <w:p w14:paraId="014A52CF" w14:textId="343BF2C3"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14</w:t>
            </w:r>
          </w:p>
        </w:tc>
        <w:tc>
          <w:tcPr>
            <w:tcW w:w="1080" w:type="dxa"/>
            <w:noWrap/>
          </w:tcPr>
          <w:p w14:paraId="1B576DEC" w14:textId="7ADCE692"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2538</w:t>
            </w:r>
          </w:p>
        </w:tc>
        <w:tc>
          <w:tcPr>
            <w:tcW w:w="1187" w:type="dxa"/>
          </w:tcPr>
          <w:p w14:paraId="7A1F7FE4" w14:textId="0786770A" w:rsidR="00B6709D" w:rsidRPr="00C21B42" w:rsidRDefault="00B6709D" w:rsidP="00B6709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sz w:val="24"/>
                <w:szCs w:val="24"/>
              </w:rPr>
              <w:t>3.21118</w:t>
            </w:r>
          </w:p>
        </w:tc>
      </w:tr>
    </w:tbl>
    <w:p w14:paraId="55145DA7" w14:textId="77777777" w:rsidR="00C6525B" w:rsidRDefault="00C6525B" w:rsidP="00F51FF0">
      <w:pPr>
        <w:rPr>
          <w:rFonts w:ascii="Times New Roman" w:hAnsi="Times New Roman" w:cs="Times New Roman"/>
        </w:rPr>
      </w:pPr>
    </w:p>
    <w:tbl>
      <w:tblPr>
        <w:tblStyle w:val="PlainTable21"/>
        <w:tblW w:w="8878" w:type="dxa"/>
        <w:tblLook w:val="04A0" w:firstRow="1" w:lastRow="0" w:firstColumn="1" w:lastColumn="0" w:noHBand="0" w:noVBand="1"/>
      </w:tblPr>
      <w:tblGrid>
        <w:gridCol w:w="3233"/>
        <w:gridCol w:w="1304"/>
        <w:gridCol w:w="1013"/>
        <w:gridCol w:w="1057"/>
        <w:gridCol w:w="2271"/>
      </w:tblGrid>
      <w:tr w:rsidR="00AC7F58" w:rsidRPr="00C21B42" w14:paraId="100D0B33" w14:textId="77777777" w:rsidTr="00E95822">
        <w:trPr>
          <w:cnfStyle w:val="100000000000" w:firstRow="1" w:lastRow="0" w:firstColumn="0" w:lastColumn="0" w:oddVBand="0" w:evenVBand="0" w:oddHBand="0"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8878" w:type="dxa"/>
            <w:gridSpan w:val="5"/>
            <w:noWrap/>
          </w:tcPr>
          <w:p w14:paraId="7A61ABE9" w14:textId="654D0B9B" w:rsidR="00AC7F58" w:rsidRPr="00C21B42" w:rsidRDefault="004876DA" w:rsidP="00E95822">
            <w:pPr>
              <w:spacing w:line="276" w:lineRule="auto"/>
              <w:rPr>
                <w:rFonts w:ascii="Times New Roman" w:hAnsi="Times New Roman" w:cs="Times New Roman"/>
                <w:b w:val="0"/>
                <w:bCs w:val="0"/>
              </w:rPr>
            </w:pPr>
            <w:bookmarkStart w:id="42" w:name="_Hlk138424767"/>
            <w:r w:rsidRPr="00C21B42">
              <w:rPr>
                <w:rFonts w:ascii="Times New Roman" w:hAnsi="Times New Roman" w:cs="Times New Roman"/>
              </w:rPr>
              <w:lastRenderedPageBreak/>
              <w:t>Table S</w:t>
            </w:r>
            <w:r w:rsidR="00E11FB4">
              <w:rPr>
                <w:rFonts w:ascii="Times New Roman" w:hAnsi="Times New Roman" w:cs="Times New Roman"/>
              </w:rPr>
              <w:t>8</w:t>
            </w:r>
            <w:r w:rsidRPr="00C21B42">
              <w:rPr>
                <w:rFonts w:ascii="Times New Roman" w:hAnsi="Times New Roman" w:cs="Times New Roman"/>
              </w:rPr>
              <w:t>.</w:t>
            </w:r>
            <w:r w:rsidRPr="00C21B42">
              <w:rPr>
                <w:rFonts w:ascii="Times New Roman" w:hAnsi="Times New Roman" w:cs="Times New Roman"/>
                <w:b w:val="0"/>
                <w:bCs w:val="0"/>
              </w:rPr>
              <w:t xml:space="preserve"> </w:t>
            </w:r>
            <w:r w:rsidR="00AC7F58" w:rsidRPr="00C21B42">
              <w:rPr>
                <w:rFonts w:ascii="Times New Roman" w:hAnsi="Times New Roman" w:cs="Times New Roman"/>
                <w:b w:val="0"/>
                <w:bCs w:val="0"/>
              </w:rPr>
              <w:t xml:space="preserve">Association of </w:t>
            </w:r>
            <w:r w:rsidR="00A91BCF">
              <w:rPr>
                <w:rFonts w:ascii="Times New Roman" w:hAnsi="Times New Roman" w:cs="Times New Roman"/>
                <w:b w:val="0"/>
                <w:bCs w:val="0"/>
              </w:rPr>
              <w:t>sKGBs</w:t>
            </w:r>
            <w:r w:rsidR="00AC7F58" w:rsidRPr="00C21B42">
              <w:rPr>
                <w:rFonts w:ascii="Times New Roman" w:hAnsi="Times New Roman" w:cs="Times New Roman"/>
                <w:b w:val="0"/>
                <w:bCs w:val="0"/>
              </w:rPr>
              <w:t xml:space="preserve"> with different diseases</w:t>
            </w:r>
            <w:bookmarkEnd w:id="42"/>
          </w:p>
        </w:tc>
      </w:tr>
      <w:tr w:rsidR="00AC7F58" w:rsidRPr="00C21B42" w14:paraId="4EB21433"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5F735940"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Disease Name</w:t>
            </w:r>
          </w:p>
        </w:tc>
        <w:tc>
          <w:tcPr>
            <w:tcW w:w="1304" w:type="dxa"/>
            <w:noWrap/>
            <w:hideMark/>
          </w:tcPr>
          <w:p w14:paraId="6733CF2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C21B42">
              <w:rPr>
                <w:rFonts w:ascii="Times New Roman" w:hAnsi="Times New Roman" w:cs="Times New Roman"/>
                <w:b/>
                <w:bCs/>
              </w:rPr>
              <w:t>Annotation ID</w:t>
            </w:r>
          </w:p>
        </w:tc>
        <w:tc>
          <w:tcPr>
            <w:tcW w:w="1013" w:type="dxa"/>
            <w:noWrap/>
            <w:hideMark/>
          </w:tcPr>
          <w:p w14:paraId="499F0261" w14:textId="54532838"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C21B42">
              <w:rPr>
                <w:rFonts w:ascii="Times New Roman" w:hAnsi="Times New Roman" w:cs="Times New Roman"/>
                <w:b/>
                <w:bCs/>
              </w:rPr>
              <w:t xml:space="preserve">Number of </w:t>
            </w:r>
            <w:r w:rsidR="00A91BCF">
              <w:rPr>
                <w:rFonts w:ascii="Times New Roman" w:hAnsi="Times New Roman" w:cs="Times New Roman"/>
                <w:b/>
                <w:bCs/>
              </w:rPr>
              <w:t>sKGBs</w:t>
            </w:r>
          </w:p>
        </w:tc>
        <w:tc>
          <w:tcPr>
            <w:tcW w:w="1057" w:type="dxa"/>
            <w:noWrap/>
            <w:hideMark/>
          </w:tcPr>
          <w:p w14:paraId="742B1CB3"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C21B42">
              <w:rPr>
                <w:rFonts w:ascii="Times New Roman" w:hAnsi="Times New Roman" w:cs="Times New Roman"/>
                <w:b/>
                <w:bCs/>
              </w:rPr>
              <w:t>Adj p-value</w:t>
            </w:r>
          </w:p>
        </w:tc>
        <w:tc>
          <w:tcPr>
            <w:tcW w:w="2271" w:type="dxa"/>
            <w:noWrap/>
            <w:hideMark/>
          </w:tcPr>
          <w:p w14:paraId="34F8FA96" w14:textId="0D4FEE0A"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C21B42">
              <w:rPr>
                <w:rFonts w:ascii="Times New Roman" w:hAnsi="Times New Roman" w:cs="Times New Roman"/>
                <w:b/>
                <w:bCs/>
              </w:rPr>
              <w:t xml:space="preserve">Associated </w:t>
            </w:r>
            <w:r w:rsidR="00A91BCF">
              <w:rPr>
                <w:rFonts w:ascii="Times New Roman" w:hAnsi="Times New Roman" w:cs="Times New Roman"/>
                <w:b/>
                <w:bCs/>
              </w:rPr>
              <w:t>sKGBs</w:t>
            </w:r>
          </w:p>
        </w:tc>
      </w:tr>
      <w:tr w:rsidR="00AC7F58" w:rsidRPr="00C21B42" w14:paraId="66E9312A"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20BDBBDA"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Experimental Lung Inflammation</w:t>
            </w:r>
          </w:p>
        </w:tc>
        <w:tc>
          <w:tcPr>
            <w:tcW w:w="1304" w:type="dxa"/>
            <w:noWrap/>
            <w:hideMark/>
          </w:tcPr>
          <w:p w14:paraId="29DC4D13"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C0887898</w:t>
            </w:r>
          </w:p>
        </w:tc>
        <w:tc>
          <w:tcPr>
            <w:tcW w:w="1013" w:type="dxa"/>
            <w:noWrap/>
            <w:hideMark/>
          </w:tcPr>
          <w:p w14:paraId="0385923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3</w:t>
            </w:r>
          </w:p>
        </w:tc>
        <w:tc>
          <w:tcPr>
            <w:tcW w:w="1057" w:type="dxa"/>
            <w:noWrap/>
            <w:hideMark/>
          </w:tcPr>
          <w:p w14:paraId="364635CC"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0.000143</w:t>
            </w:r>
          </w:p>
        </w:tc>
        <w:tc>
          <w:tcPr>
            <w:tcW w:w="2271" w:type="dxa"/>
            <w:noWrap/>
            <w:hideMark/>
          </w:tcPr>
          <w:p w14:paraId="3E8A9E5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 TNFRSF1A, CASP1</w:t>
            </w:r>
          </w:p>
        </w:tc>
      </w:tr>
      <w:tr w:rsidR="00AC7F58" w:rsidRPr="00C21B42" w14:paraId="7E3EA255"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1B1015FD"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Pneumonia</w:t>
            </w:r>
          </w:p>
        </w:tc>
        <w:tc>
          <w:tcPr>
            <w:tcW w:w="1304" w:type="dxa"/>
            <w:noWrap/>
            <w:hideMark/>
          </w:tcPr>
          <w:p w14:paraId="53285CC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C0032285</w:t>
            </w:r>
          </w:p>
        </w:tc>
        <w:tc>
          <w:tcPr>
            <w:tcW w:w="1013" w:type="dxa"/>
            <w:noWrap/>
            <w:hideMark/>
          </w:tcPr>
          <w:p w14:paraId="4E7D392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3</w:t>
            </w:r>
          </w:p>
        </w:tc>
        <w:tc>
          <w:tcPr>
            <w:tcW w:w="1057" w:type="dxa"/>
            <w:noWrap/>
            <w:hideMark/>
          </w:tcPr>
          <w:p w14:paraId="35058F3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0.000143</w:t>
            </w:r>
          </w:p>
        </w:tc>
        <w:tc>
          <w:tcPr>
            <w:tcW w:w="2271" w:type="dxa"/>
            <w:noWrap/>
            <w:hideMark/>
          </w:tcPr>
          <w:p w14:paraId="3153FDDC"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 TNFRSF1A, CASP1</w:t>
            </w:r>
          </w:p>
        </w:tc>
      </w:tr>
      <w:tr w:rsidR="00AC7F58" w:rsidRPr="00C21B42" w14:paraId="0320D6DF"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43E686AC"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Inflammation</w:t>
            </w:r>
          </w:p>
        </w:tc>
        <w:tc>
          <w:tcPr>
            <w:tcW w:w="1304" w:type="dxa"/>
            <w:noWrap/>
            <w:hideMark/>
          </w:tcPr>
          <w:p w14:paraId="7DC94E9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C0021368</w:t>
            </w:r>
          </w:p>
        </w:tc>
        <w:tc>
          <w:tcPr>
            <w:tcW w:w="1013" w:type="dxa"/>
            <w:noWrap/>
            <w:hideMark/>
          </w:tcPr>
          <w:p w14:paraId="2EDA174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3</w:t>
            </w:r>
          </w:p>
        </w:tc>
        <w:tc>
          <w:tcPr>
            <w:tcW w:w="1057" w:type="dxa"/>
            <w:noWrap/>
            <w:hideMark/>
          </w:tcPr>
          <w:p w14:paraId="7FBCFAC0"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0.001507</w:t>
            </w:r>
          </w:p>
        </w:tc>
        <w:tc>
          <w:tcPr>
            <w:tcW w:w="2271" w:type="dxa"/>
            <w:noWrap/>
            <w:hideMark/>
          </w:tcPr>
          <w:p w14:paraId="0FEC9BC7"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 CASP1, TIMP1</w:t>
            </w:r>
          </w:p>
        </w:tc>
      </w:tr>
      <w:tr w:rsidR="00AC7F58" w:rsidRPr="00C21B42" w14:paraId="180A2910"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1DDFD79F"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TNF receptor-associated periodic fever syndrome (TRAPS)</w:t>
            </w:r>
          </w:p>
        </w:tc>
        <w:tc>
          <w:tcPr>
            <w:tcW w:w="1304" w:type="dxa"/>
            <w:noWrap/>
            <w:hideMark/>
          </w:tcPr>
          <w:p w14:paraId="2F5FA17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C1275126</w:t>
            </w:r>
          </w:p>
        </w:tc>
        <w:tc>
          <w:tcPr>
            <w:tcW w:w="1013" w:type="dxa"/>
            <w:noWrap/>
            <w:hideMark/>
          </w:tcPr>
          <w:p w14:paraId="02C32822"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13E74D29"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0.005515</w:t>
            </w:r>
          </w:p>
        </w:tc>
        <w:tc>
          <w:tcPr>
            <w:tcW w:w="2271" w:type="dxa"/>
            <w:noWrap/>
            <w:hideMark/>
          </w:tcPr>
          <w:p w14:paraId="2B87E934"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w:t>
            </w:r>
          </w:p>
        </w:tc>
      </w:tr>
      <w:tr w:rsidR="00AC7F58" w:rsidRPr="00C21B42" w14:paraId="138BE82B"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58D614FE"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MYD88 Deficiency</w:t>
            </w:r>
          </w:p>
        </w:tc>
        <w:tc>
          <w:tcPr>
            <w:tcW w:w="1304" w:type="dxa"/>
            <w:noWrap/>
            <w:hideMark/>
          </w:tcPr>
          <w:p w14:paraId="27F0275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C2677092</w:t>
            </w:r>
          </w:p>
        </w:tc>
        <w:tc>
          <w:tcPr>
            <w:tcW w:w="1013" w:type="dxa"/>
            <w:noWrap/>
            <w:hideMark/>
          </w:tcPr>
          <w:p w14:paraId="43232BD9"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3755F07C"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0.005515</w:t>
            </w:r>
          </w:p>
        </w:tc>
        <w:tc>
          <w:tcPr>
            <w:tcW w:w="2271" w:type="dxa"/>
            <w:noWrap/>
            <w:hideMark/>
          </w:tcPr>
          <w:p w14:paraId="76F797EA"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w:t>
            </w:r>
          </w:p>
        </w:tc>
      </w:tr>
      <w:tr w:rsidR="00AC7F58" w:rsidRPr="00C21B42" w14:paraId="568273D3"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79566C58"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Hypersensitivity</w:t>
            </w:r>
          </w:p>
        </w:tc>
        <w:tc>
          <w:tcPr>
            <w:tcW w:w="1304" w:type="dxa"/>
            <w:noWrap/>
            <w:hideMark/>
          </w:tcPr>
          <w:p w14:paraId="03876B0D"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C0020517</w:t>
            </w:r>
          </w:p>
        </w:tc>
        <w:tc>
          <w:tcPr>
            <w:tcW w:w="1013" w:type="dxa"/>
            <w:noWrap/>
            <w:hideMark/>
          </w:tcPr>
          <w:p w14:paraId="7D228798"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30B8C310"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0.005515</w:t>
            </w:r>
          </w:p>
        </w:tc>
        <w:tc>
          <w:tcPr>
            <w:tcW w:w="2271" w:type="dxa"/>
            <w:noWrap/>
            <w:hideMark/>
          </w:tcPr>
          <w:p w14:paraId="3B200592"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CASP1</w:t>
            </w:r>
          </w:p>
        </w:tc>
      </w:tr>
      <w:tr w:rsidR="00AC7F58" w:rsidRPr="00C21B42" w14:paraId="53198FB6"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65A251EC"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Multiple Sclerosis</w:t>
            </w:r>
          </w:p>
        </w:tc>
        <w:tc>
          <w:tcPr>
            <w:tcW w:w="1304" w:type="dxa"/>
            <w:noWrap/>
            <w:hideMark/>
          </w:tcPr>
          <w:p w14:paraId="1F2DB6A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C0026769</w:t>
            </w:r>
          </w:p>
        </w:tc>
        <w:tc>
          <w:tcPr>
            <w:tcW w:w="1013" w:type="dxa"/>
            <w:noWrap/>
            <w:hideMark/>
          </w:tcPr>
          <w:p w14:paraId="37C42DE8"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7C21FAF0"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0.005515</w:t>
            </w:r>
          </w:p>
        </w:tc>
        <w:tc>
          <w:tcPr>
            <w:tcW w:w="2271" w:type="dxa"/>
            <w:noWrap/>
            <w:hideMark/>
          </w:tcPr>
          <w:p w14:paraId="3EA4CB57"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CASP1</w:t>
            </w:r>
          </w:p>
        </w:tc>
      </w:tr>
      <w:tr w:rsidR="00AC7F58" w:rsidRPr="00C21B42" w14:paraId="2846EC6C"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16AB216C"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Allergic Reaction</w:t>
            </w:r>
          </w:p>
        </w:tc>
        <w:tc>
          <w:tcPr>
            <w:tcW w:w="1304" w:type="dxa"/>
            <w:noWrap/>
            <w:hideMark/>
          </w:tcPr>
          <w:p w14:paraId="3E2DD9B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C1527304</w:t>
            </w:r>
          </w:p>
        </w:tc>
        <w:tc>
          <w:tcPr>
            <w:tcW w:w="1013" w:type="dxa"/>
            <w:noWrap/>
            <w:hideMark/>
          </w:tcPr>
          <w:p w14:paraId="00062524"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06CB7986"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0.005515</w:t>
            </w:r>
          </w:p>
        </w:tc>
        <w:tc>
          <w:tcPr>
            <w:tcW w:w="2271" w:type="dxa"/>
            <w:noWrap/>
            <w:hideMark/>
          </w:tcPr>
          <w:p w14:paraId="4701B9EF"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CASP1</w:t>
            </w:r>
          </w:p>
        </w:tc>
      </w:tr>
      <w:tr w:rsidR="00AC7F58" w:rsidRPr="00C21B42" w14:paraId="643E396A"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43E8B065" w14:textId="77777777" w:rsidR="00AC7F58" w:rsidRPr="00C21B42" w:rsidRDefault="00AC7F58" w:rsidP="00E95822">
            <w:pPr>
              <w:spacing w:line="276" w:lineRule="auto"/>
              <w:jc w:val="center"/>
              <w:rPr>
                <w:rFonts w:ascii="Times New Roman" w:hAnsi="Times New Roman" w:cs="Times New Roman"/>
                <w:i/>
                <w:iCs/>
              </w:rPr>
            </w:pPr>
            <w:r w:rsidRPr="00C21B42">
              <w:rPr>
                <w:rFonts w:ascii="Times New Roman" w:hAnsi="Times New Roman" w:cs="Times New Roman"/>
                <w:i/>
                <w:iCs/>
              </w:rPr>
              <w:t>Diabetes Mellitus, Experimental</w:t>
            </w:r>
          </w:p>
        </w:tc>
        <w:tc>
          <w:tcPr>
            <w:tcW w:w="1304" w:type="dxa"/>
            <w:noWrap/>
            <w:hideMark/>
          </w:tcPr>
          <w:p w14:paraId="50C3DF44"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C0011853</w:t>
            </w:r>
          </w:p>
        </w:tc>
        <w:tc>
          <w:tcPr>
            <w:tcW w:w="1013" w:type="dxa"/>
            <w:noWrap/>
            <w:hideMark/>
          </w:tcPr>
          <w:p w14:paraId="055925F9"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4812750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0.012539</w:t>
            </w:r>
          </w:p>
        </w:tc>
        <w:tc>
          <w:tcPr>
            <w:tcW w:w="2271" w:type="dxa"/>
            <w:noWrap/>
            <w:hideMark/>
          </w:tcPr>
          <w:p w14:paraId="071FA65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TIMP1</w:t>
            </w:r>
          </w:p>
        </w:tc>
      </w:tr>
      <w:tr w:rsidR="00AC7F58" w:rsidRPr="00C21B42" w14:paraId="04C3DC89"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422D8C79" w14:textId="77777777" w:rsidR="00AC7F58" w:rsidRPr="00C21B42" w:rsidRDefault="00AC7F58" w:rsidP="00E95822">
            <w:pPr>
              <w:spacing w:line="276" w:lineRule="auto"/>
              <w:jc w:val="center"/>
              <w:rPr>
                <w:rFonts w:ascii="Times New Roman" w:hAnsi="Times New Roman" w:cs="Times New Roman"/>
                <w:i/>
                <w:iCs/>
              </w:rPr>
            </w:pPr>
            <w:r w:rsidRPr="00C21B42">
              <w:rPr>
                <w:rFonts w:ascii="Times New Roman" w:hAnsi="Times New Roman" w:cs="Times New Roman"/>
                <w:i/>
                <w:iCs/>
              </w:rPr>
              <w:t>Streptozotocin Diabetes</w:t>
            </w:r>
          </w:p>
        </w:tc>
        <w:tc>
          <w:tcPr>
            <w:tcW w:w="1304" w:type="dxa"/>
            <w:noWrap/>
            <w:hideMark/>
          </w:tcPr>
          <w:p w14:paraId="6872C630"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C0038433</w:t>
            </w:r>
          </w:p>
        </w:tc>
        <w:tc>
          <w:tcPr>
            <w:tcW w:w="1013" w:type="dxa"/>
            <w:noWrap/>
            <w:hideMark/>
          </w:tcPr>
          <w:p w14:paraId="1629FD2D"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63E263BD"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0.012539</w:t>
            </w:r>
          </w:p>
        </w:tc>
        <w:tc>
          <w:tcPr>
            <w:tcW w:w="2271" w:type="dxa"/>
            <w:noWrap/>
            <w:hideMark/>
          </w:tcPr>
          <w:p w14:paraId="7F1932E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TIMP1</w:t>
            </w:r>
          </w:p>
        </w:tc>
      </w:tr>
      <w:tr w:rsidR="00AC7F58" w:rsidRPr="00C21B42" w14:paraId="2F91BD11"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68F021D9" w14:textId="77777777" w:rsidR="00AC7F58" w:rsidRPr="00C21B42" w:rsidRDefault="00AC7F58" w:rsidP="00E95822">
            <w:pPr>
              <w:spacing w:line="276" w:lineRule="auto"/>
              <w:jc w:val="center"/>
              <w:rPr>
                <w:rFonts w:ascii="Times New Roman" w:hAnsi="Times New Roman" w:cs="Times New Roman"/>
                <w:i/>
                <w:iCs/>
              </w:rPr>
            </w:pPr>
            <w:r w:rsidRPr="00C21B42">
              <w:rPr>
                <w:rFonts w:ascii="Times New Roman" w:hAnsi="Times New Roman" w:cs="Times New Roman"/>
                <w:i/>
                <w:iCs/>
              </w:rPr>
              <w:t>Alloxan Diabetes</w:t>
            </w:r>
          </w:p>
        </w:tc>
        <w:tc>
          <w:tcPr>
            <w:tcW w:w="1304" w:type="dxa"/>
            <w:noWrap/>
            <w:hideMark/>
          </w:tcPr>
          <w:p w14:paraId="5F4F76DE"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C0002152</w:t>
            </w:r>
          </w:p>
        </w:tc>
        <w:tc>
          <w:tcPr>
            <w:tcW w:w="1013" w:type="dxa"/>
            <w:noWrap/>
            <w:hideMark/>
          </w:tcPr>
          <w:p w14:paraId="06901837"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60FDA93B"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0.012539</w:t>
            </w:r>
          </w:p>
        </w:tc>
        <w:tc>
          <w:tcPr>
            <w:tcW w:w="2271" w:type="dxa"/>
            <w:noWrap/>
            <w:hideMark/>
          </w:tcPr>
          <w:p w14:paraId="7E521F8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TIMP1</w:t>
            </w:r>
          </w:p>
        </w:tc>
      </w:tr>
      <w:tr w:rsidR="00AC7F58" w:rsidRPr="00C21B42" w14:paraId="50EFE36D"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050F026E"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Hyperoxia</w:t>
            </w:r>
          </w:p>
        </w:tc>
        <w:tc>
          <w:tcPr>
            <w:tcW w:w="1304" w:type="dxa"/>
            <w:noWrap/>
            <w:hideMark/>
          </w:tcPr>
          <w:p w14:paraId="2BDCF3DA"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C0242706</w:t>
            </w:r>
          </w:p>
        </w:tc>
        <w:tc>
          <w:tcPr>
            <w:tcW w:w="1013" w:type="dxa"/>
            <w:noWrap/>
            <w:hideMark/>
          </w:tcPr>
          <w:p w14:paraId="5683CD62"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196B049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0.012781</w:t>
            </w:r>
          </w:p>
        </w:tc>
        <w:tc>
          <w:tcPr>
            <w:tcW w:w="2271" w:type="dxa"/>
            <w:noWrap/>
            <w:hideMark/>
          </w:tcPr>
          <w:p w14:paraId="399CD6F9"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w:t>
            </w:r>
          </w:p>
        </w:tc>
      </w:tr>
      <w:tr w:rsidR="00AC7F58" w:rsidRPr="00C21B42" w14:paraId="7F35ADA0"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1DF4A5B1"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Varicosity</w:t>
            </w:r>
          </w:p>
        </w:tc>
        <w:tc>
          <w:tcPr>
            <w:tcW w:w="1304" w:type="dxa"/>
            <w:noWrap/>
            <w:hideMark/>
          </w:tcPr>
          <w:p w14:paraId="4D8529A7"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C0042345</w:t>
            </w:r>
          </w:p>
        </w:tc>
        <w:tc>
          <w:tcPr>
            <w:tcW w:w="1013" w:type="dxa"/>
            <w:noWrap/>
            <w:hideMark/>
          </w:tcPr>
          <w:p w14:paraId="089BC7E9"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5B50D9C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0.023649</w:t>
            </w:r>
          </w:p>
        </w:tc>
        <w:tc>
          <w:tcPr>
            <w:tcW w:w="2271" w:type="dxa"/>
            <w:noWrap/>
            <w:hideMark/>
          </w:tcPr>
          <w:p w14:paraId="47BED67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TIMP1</w:t>
            </w:r>
          </w:p>
        </w:tc>
      </w:tr>
      <w:tr w:rsidR="00AC7F58" w:rsidRPr="00C21B42" w14:paraId="71A35BBB"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4952C7A3"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Pathologic Neovascularization</w:t>
            </w:r>
          </w:p>
        </w:tc>
        <w:tc>
          <w:tcPr>
            <w:tcW w:w="1304" w:type="dxa"/>
            <w:noWrap/>
            <w:hideMark/>
          </w:tcPr>
          <w:p w14:paraId="07C1A37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C0027686</w:t>
            </w:r>
          </w:p>
        </w:tc>
        <w:tc>
          <w:tcPr>
            <w:tcW w:w="1013" w:type="dxa"/>
            <w:noWrap/>
            <w:hideMark/>
          </w:tcPr>
          <w:p w14:paraId="2AA7D6C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03E6868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0.023649</w:t>
            </w:r>
          </w:p>
        </w:tc>
        <w:tc>
          <w:tcPr>
            <w:tcW w:w="2271" w:type="dxa"/>
            <w:noWrap/>
            <w:hideMark/>
          </w:tcPr>
          <w:p w14:paraId="3DC2B4EA"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TNFSF10</w:t>
            </w:r>
          </w:p>
        </w:tc>
      </w:tr>
      <w:tr w:rsidR="00AC7F58" w:rsidRPr="00C21B42" w14:paraId="16C5D4BF"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23031643"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Cholangitis</w:t>
            </w:r>
          </w:p>
        </w:tc>
        <w:tc>
          <w:tcPr>
            <w:tcW w:w="1304" w:type="dxa"/>
            <w:noWrap/>
            <w:hideMark/>
          </w:tcPr>
          <w:p w14:paraId="4879CF99"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C0008311</w:t>
            </w:r>
          </w:p>
        </w:tc>
        <w:tc>
          <w:tcPr>
            <w:tcW w:w="1013" w:type="dxa"/>
            <w:noWrap/>
            <w:hideMark/>
          </w:tcPr>
          <w:p w14:paraId="041DF07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0B9E841C"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0.024825</w:t>
            </w:r>
          </w:p>
        </w:tc>
        <w:tc>
          <w:tcPr>
            <w:tcW w:w="2271" w:type="dxa"/>
            <w:noWrap/>
            <w:hideMark/>
          </w:tcPr>
          <w:p w14:paraId="5B3EE43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TIMP1</w:t>
            </w:r>
          </w:p>
        </w:tc>
      </w:tr>
      <w:tr w:rsidR="00AC7F58" w:rsidRPr="00C21B42" w14:paraId="7BE48054"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3E7F50CB"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Hereditary Autoinflammatory Diseases</w:t>
            </w:r>
          </w:p>
        </w:tc>
        <w:tc>
          <w:tcPr>
            <w:tcW w:w="1304" w:type="dxa"/>
            <w:noWrap/>
            <w:hideMark/>
          </w:tcPr>
          <w:p w14:paraId="354B586F"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C0751422</w:t>
            </w:r>
          </w:p>
        </w:tc>
        <w:tc>
          <w:tcPr>
            <w:tcW w:w="1013" w:type="dxa"/>
            <w:noWrap/>
            <w:hideMark/>
          </w:tcPr>
          <w:p w14:paraId="268C6840"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7388357D"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0.024825</w:t>
            </w:r>
          </w:p>
        </w:tc>
        <w:tc>
          <w:tcPr>
            <w:tcW w:w="2271" w:type="dxa"/>
            <w:noWrap/>
            <w:hideMark/>
          </w:tcPr>
          <w:p w14:paraId="4B78FF3C"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w:t>
            </w:r>
          </w:p>
        </w:tc>
      </w:tr>
      <w:tr w:rsidR="00AC7F58" w:rsidRPr="00C21B42" w14:paraId="1AE40C97"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081C0710"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Eosinophilia</w:t>
            </w:r>
          </w:p>
        </w:tc>
        <w:tc>
          <w:tcPr>
            <w:tcW w:w="1304" w:type="dxa"/>
            <w:noWrap/>
            <w:hideMark/>
          </w:tcPr>
          <w:p w14:paraId="36479DB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C0014457</w:t>
            </w:r>
          </w:p>
        </w:tc>
        <w:tc>
          <w:tcPr>
            <w:tcW w:w="1013" w:type="dxa"/>
            <w:noWrap/>
            <w:hideMark/>
          </w:tcPr>
          <w:p w14:paraId="747987E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7560C698"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0.027344</w:t>
            </w:r>
          </w:p>
        </w:tc>
        <w:tc>
          <w:tcPr>
            <w:tcW w:w="2271" w:type="dxa"/>
            <w:noWrap/>
            <w:hideMark/>
          </w:tcPr>
          <w:p w14:paraId="1CAFAF48"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w:t>
            </w:r>
          </w:p>
        </w:tc>
      </w:tr>
      <w:tr w:rsidR="00AC7F58" w:rsidRPr="00C21B42" w14:paraId="5F65BFB9"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39C3AF82" w14:textId="77777777" w:rsidR="00AC7F58" w:rsidRPr="00C21B42" w:rsidRDefault="00AC7F58" w:rsidP="00E95822">
            <w:pPr>
              <w:spacing w:line="276" w:lineRule="auto"/>
              <w:jc w:val="center"/>
              <w:rPr>
                <w:rFonts w:ascii="Times New Roman" w:hAnsi="Times New Roman" w:cs="Times New Roman"/>
                <w:i/>
                <w:iCs/>
              </w:rPr>
            </w:pPr>
            <w:r w:rsidRPr="00C21B42">
              <w:rPr>
                <w:rFonts w:ascii="Times New Roman" w:hAnsi="Times New Roman" w:cs="Times New Roman"/>
                <w:i/>
                <w:iCs/>
              </w:rPr>
              <w:t>Fibrocystic Disease of Pancreas</w:t>
            </w:r>
          </w:p>
        </w:tc>
        <w:tc>
          <w:tcPr>
            <w:tcW w:w="1304" w:type="dxa"/>
            <w:noWrap/>
            <w:hideMark/>
          </w:tcPr>
          <w:p w14:paraId="2330DFFA"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C1527396</w:t>
            </w:r>
          </w:p>
        </w:tc>
        <w:tc>
          <w:tcPr>
            <w:tcW w:w="1013" w:type="dxa"/>
            <w:noWrap/>
            <w:hideMark/>
          </w:tcPr>
          <w:p w14:paraId="250D33D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0689A309"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0.027344</w:t>
            </w:r>
          </w:p>
        </w:tc>
        <w:tc>
          <w:tcPr>
            <w:tcW w:w="2271" w:type="dxa"/>
            <w:noWrap/>
            <w:hideMark/>
          </w:tcPr>
          <w:p w14:paraId="69403608"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w:t>
            </w:r>
          </w:p>
        </w:tc>
      </w:tr>
      <w:tr w:rsidR="00AC7F58" w:rsidRPr="00C21B42" w14:paraId="1F6BF005"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5D790ED9"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Pulmonary Cystic Fibrosis</w:t>
            </w:r>
          </w:p>
        </w:tc>
        <w:tc>
          <w:tcPr>
            <w:tcW w:w="1304" w:type="dxa"/>
            <w:noWrap/>
            <w:hideMark/>
          </w:tcPr>
          <w:p w14:paraId="083B713A"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C0392164</w:t>
            </w:r>
          </w:p>
        </w:tc>
        <w:tc>
          <w:tcPr>
            <w:tcW w:w="1013" w:type="dxa"/>
            <w:noWrap/>
            <w:hideMark/>
          </w:tcPr>
          <w:p w14:paraId="6B73821A"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49531CF3"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0.027344</w:t>
            </w:r>
          </w:p>
        </w:tc>
        <w:tc>
          <w:tcPr>
            <w:tcW w:w="2271" w:type="dxa"/>
            <w:noWrap/>
            <w:hideMark/>
          </w:tcPr>
          <w:p w14:paraId="148A79B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w:t>
            </w:r>
          </w:p>
        </w:tc>
      </w:tr>
      <w:tr w:rsidR="00AC7F58" w:rsidRPr="00C21B42" w14:paraId="26BB1807"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0AE3AC70"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Neoplasm Invasiveness</w:t>
            </w:r>
          </w:p>
        </w:tc>
        <w:tc>
          <w:tcPr>
            <w:tcW w:w="1304" w:type="dxa"/>
            <w:noWrap/>
            <w:hideMark/>
          </w:tcPr>
          <w:p w14:paraId="5B5AF624"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C0027626</w:t>
            </w:r>
          </w:p>
        </w:tc>
        <w:tc>
          <w:tcPr>
            <w:tcW w:w="1013" w:type="dxa"/>
            <w:noWrap/>
            <w:hideMark/>
          </w:tcPr>
          <w:p w14:paraId="4BA1986C"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11613CC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0.027344</w:t>
            </w:r>
          </w:p>
        </w:tc>
        <w:tc>
          <w:tcPr>
            <w:tcW w:w="2271" w:type="dxa"/>
            <w:noWrap/>
            <w:hideMark/>
          </w:tcPr>
          <w:p w14:paraId="5A666EF2"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 TIMP1</w:t>
            </w:r>
          </w:p>
        </w:tc>
      </w:tr>
      <w:tr w:rsidR="00AC7F58" w:rsidRPr="00C21B42" w14:paraId="5FE79957"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72957D69"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Hypertensive disease</w:t>
            </w:r>
          </w:p>
        </w:tc>
        <w:tc>
          <w:tcPr>
            <w:tcW w:w="1304" w:type="dxa"/>
            <w:noWrap/>
            <w:hideMark/>
          </w:tcPr>
          <w:p w14:paraId="6BF9202D"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C0020538</w:t>
            </w:r>
          </w:p>
        </w:tc>
        <w:tc>
          <w:tcPr>
            <w:tcW w:w="1013" w:type="dxa"/>
            <w:noWrap/>
            <w:hideMark/>
          </w:tcPr>
          <w:p w14:paraId="4F544214"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6E77CA1C"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0.027344</w:t>
            </w:r>
          </w:p>
        </w:tc>
        <w:tc>
          <w:tcPr>
            <w:tcW w:w="2271" w:type="dxa"/>
            <w:noWrap/>
            <w:hideMark/>
          </w:tcPr>
          <w:p w14:paraId="04919401"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MYD88, TIMP1</w:t>
            </w:r>
          </w:p>
        </w:tc>
      </w:tr>
      <w:tr w:rsidR="00AC7F58" w:rsidRPr="00C21B42" w14:paraId="358618FA"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52F29A89"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Cystic Fibrosis</w:t>
            </w:r>
          </w:p>
        </w:tc>
        <w:tc>
          <w:tcPr>
            <w:tcW w:w="1304" w:type="dxa"/>
            <w:noWrap/>
            <w:hideMark/>
          </w:tcPr>
          <w:p w14:paraId="401F643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C0010674</w:t>
            </w:r>
          </w:p>
        </w:tc>
        <w:tc>
          <w:tcPr>
            <w:tcW w:w="1013" w:type="dxa"/>
            <w:noWrap/>
            <w:hideMark/>
          </w:tcPr>
          <w:p w14:paraId="0F557CA3"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5D9B3215"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0.029977</w:t>
            </w:r>
          </w:p>
        </w:tc>
        <w:tc>
          <w:tcPr>
            <w:tcW w:w="2271" w:type="dxa"/>
            <w:noWrap/>
            <w:hideMark/>
          </w:tcPr>
          <w:p w14:paraId="25DD4AAA"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w:t>
            </w:r>
          </w:p>
        </w:tc>
      </w:tr>
      <w:tr w:rsidR="00AC7F58" w:rsidRPr="00C21B42" w14:paraId="104D2964"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7478F1A7"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Hyperhomocysteinemia</w:t>
            </w:r>
          </w:p>
        </w:tc>
        <w:tc>
          <w:tcPr>
            <w:tcW w:w="1304" w:type="dxa"/>
            <w:noWrap/>
            <w:hideMark/>
          </w:tcPr>
          <w:p w14:paraId="5EDB94C5"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C0598608</w:t>
            </w:r>
          </w:p>
        </w:tc>
        <w:tc>
          <w:tcPr>
            <w:tcW w:w="1013" w:type="dxa"/>
            <w:noWrap/>
            <w:hideMark/>
          </w:tcPr>
          <w:p w14:paraId="28E72235"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1</w:t>
            </w:r>
          </w:p>
        </w:tc>
        <w:tc>
          <w:tcPr>
            <w:tcW w:w="1057" w:type="dxa"/>
            <w:noWrap/>
            <w:hideMark/>
          </w:tcPr>
          <w:p w14:paraId="4618208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0.029977</w:t>
            </w:r>
          </w:p>
        </w:tc>
        <w:tc>
          <w:tcPr>
            <w:tcW w:w="2271" w:type="dxa"/>
            <w:noWrap/>
            <w:hideMark/>
          </w:tcPr>
          <w:p w14:paraId="26A48348"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CASP1</w:t>
            </w:r>
          </w:p>
        </w:tc>
      </w:tr>
      <w:tr w:rsidR="00AC7F58" w:rsidRPr="00C21B42" w14:paraId="569AA125" w14:textId="77777777" w:rsidTr="009D3CAF">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7B3998B2" w14:textId="77777777" w:rsidR="00AC7F58" w:rsidRPr="00C21B42" w:rsidRDefault="00AC7F58" w:rsidP="00E95822">
            <w:pPr>
              <w:spacing w:line="276" w:lineRule="auto"/>
              <w:jc w:val="center"/>
              <w:rPr>
                <w:rFonts w:ascii="Times New Roman" w:hAnsi="Times New Roman" w:cs="Times New Roman"/>
                <w:b w:val="0"/>
                <w:bCs w:val="0"/>
              </w:rPr>
            </w:pPr>
            <w:r w:rsidRPr="00C21B42">
              <w:rPr>
                <w:rFonts w:ascii="Times New Roman" w:hAnsi="Times New Roman" w:cs="Times New Roman"/>
                <w:b w:val="0"/>
                <w:bCs w:val="0"/>
              </w:rPr>
              <w:t>Adenocarcinoma of lung (disorder)</w:t>
            </w:r>
          </w:p>
        </w:tc>
        <w:tc>
          <w:tcPr>
            <w:tcW w:w="1304" w:type="dxa"/>
            <w:noWrap/>
            <w:hideMark/>
          </w:tcPr>
          <w:p w14:paraId="6BA3EDC8"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C0152013</w:t>
            </w:r>
          </w:p>
        </w:tc>
        <w:tc>
          <w:tcPr>
            <w:tcW w:w="1013" w:type="dxa"/>
            <w:noWrap/>
            <w:hideMark/>
          </w:tcPr>
          <w:p w14:paraId="0AE5FB15"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33DE1DFC"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0.029977</w:t>
            </w:r>
          </w:p>
        </w:tc>
        <w:tc>
          <w:tcPr>
            <w:tcW w:w="2271" w:type="dxa"/>
            <w:noWrap/>
            <w:hideMark/>
          </w:tcPr>
          <w:p w14:paraId="6B311FB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GAPDH, TNFSF10</w:t>
            </w:r>
          </w:p>
        </w:tc>
      </w:tr>
      <w:tr w:rsidR="00AC7F58" w:rsidRPr="00C21B42" w14:paraId="7A8A6F2A" w14:textId="77777777" w:rsidTr="009D3CAF">
        <w:trPr>
          <w:trHeight w:val="242"/>
        </w:trPr>
        <w:tc>
          <w:tcPr>
            <w:cnfStyle w:val="001000000000" w:firstRow="0" w:lastRow="0" w:firstColumn="1" w:lastColumn="0" w:oddVBand="0" w:evenVBand="0" w:oddHBand="0" w:evenHBand="0" w:firstRowFirstColumn="0" w:firstRowLastColumn="0" w:lastRowFirstColumn="0" w:lastRowLastColumn="0"/>
            <w:tcW w:w="3233" w:type="dxa"/>
            <w:noWrap/>
            <w:hideMark/>
          </w:tcPr>
          <w:p w14:paraId="0524F76A" w14:textId="77777777" w:rsidR="00AC7F58" w:rsidRPr="00C21B42" w:rsidRDefault="00AC7F58" w:rsidP="00E95822">
            <w:pPr>
              <w:spacing w:line="276" w:lineRule="auto"/>
              <w:jc w:val="center"/>
              <w:rPr>
                <w:rFonts w:ascii="Times New Roman" w:hAnsi="Times New Roman" w:cs="Times New Roman"/>
                <w:i/>
                <w:iCs/>
              </w:rPr>
            </w:pPr>
            <w:r w:rsidRPr="00C21B42">
              <w:rPr>
                <w:rFonts w:ascii="Times New Roman" w:hAnsi="Times New Roman" w:cs="Times New Roman"/>
                <w:i/>
                <w:iCs/>
              </w:rPr>
              <w:t>Diabetes Mellitus, Non-Insulin-Dependent</w:t>
            </w:r>
          </w:p>
        </w:tc>
        <w:tc>
          <w:tcPr>
            <w:tcW w:w="1304" w:type="dxa"/>
            <w:noWrap/>
            <w:hideMark/>
          </w:tcPr>
          <w:p w14:paraId="7634515B"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C0011860</w:t>
            </w:r>
          </w:p>
        </w:tc>
        <w:tc>
          <w:tcPr>
            <w:tcW w:w="1013" w:type="dxa"/>
            <w:noWrap/>
            <w:hideMark/>
          </w:tcPr>
          <w:p w14:paraId="50220492"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2</w:t>
            </w:r>
          </w:p>
        </w:tc>
        <w:tc>
          <w:tcPr>
            <w:tcW w:w="1057" w:type="dxa"/>
            <w:noWrap/>
            <w:hideMark/>
          </w:tcPr>
          <w:p w14:paraId="44164043"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0.030986</w:t>
            </w:r>
          </w:p>
        </w:tc>
        <w:tc>
          <w:tcPr>
            <w:tcW w:w="2271" w:type="dxa"/>
            <w:noWrap/>
            <w:hideMark/>
          </w:tcPr>
          <w:p w14:paraId="24AC2169"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TNFRSF1A, TIMP1</w:t>
            </w:r>
          </w:p>
        </w:tc>
      </w:tr>
    </w:tbl>
    <w:p w14:paraId="2BD79D0A" w14:textId="77777777" w:rsidR="00AC7F58" w:rsidRPr="00C21B42" w:rsidRDefault="00AC7F58" w:rsidP="00AC7F58">
      <w:pPr>
        <w:spacing w:line="276" w:lineRule="auto"/>
        <w:jc w:val="both"/>
        <w:rPr>
          <w:rFonts w:ascii="Times New Roman" w:hAnsi="Times New Roman" w:cs="Times New Roman"/>
          <w:b/>
          <w:bCs/>
        </w:rPr>
      </w:pPr>
    </w:p>
    <w:p w14:paraId="792DBFF2" w14:textId="77777777" w:rsidR="00AC7F58" w:rsidRDefault="00AC7F58" w:rsidP="00AC7F58">
      <w:pPr>
        <w:spacing w:line="276" w:lineRule="auto"/>
        <w:jc w:val="both"/>
        <w:rPr>
          <w:rFonts w:ascii="Times New Roman" w:hAnsi="Times New Roman" w:cs="Times New Roman"/>
          <w:b/>
          <w:bCs/>
        </w:rPr>
      </w:pPr>
    </w:p>
    <w:p w14:paraId="52D1250B" w14:textId="77777777" w:rsidR="00190B63" w:rsidRDefault="00190B63" w:rsidP="00AC7F58">
      <w:pPr>
        <w:spacing w:line="276" w:lineRule="auto"/>
        <w:jc w:val="both"/>
        <w:rPr>
          <w:rFonts w:ascii="Times New Roman" w:hAnsi="Times New Roman" w:cs="Times New Roman"/>
          <w:b/>
          <w:bCs/>
        </w:rPr>
      </w:pPr>
    </w:p>
    <w:p w14:paraId="30F752F3" w14:textId="77777777" w:rsidR="00190B63" w:rsidRPr="00C21B42" w:rsidRDefault="00190B63" w:rsidP="00AC7F58">
      <w:pPr>
        <w:spacing w:line="276" w:lineRule="auto"/>
        <w:jc w:val="both"/>
        <w:rPr>
          <w:rFonts w:ascii="Times New Roman" w:hAnsi="Times New Roman" w:cs="Times New Roman"/>
          <w:b/>
          <w:bCs/>
        </w:rPr>
      </w:pPr>
    </w:p>
    <w:p w14:paraId="179BC9F2" w14:textId="77777777" w:rsidR="009D3CAF" w:rsidRPr="00C21B42" w:rsidRDefault="009D3CAF" w:rsidP="00AC7F58">
      <w:pPr>
        <w:spacing w:line="276" w:lineRule="auto"/>
        <w:jc w:val="both"/>
        <w:rPr>
          <w:rFonts w:ascii="Times New Roman" w:hAnsi="Times New Roman" w:cs="Times New Roman"/>
          <w:b/>
          <w:bCs/>
        </w:rPr>
      </w:pPr>
    </w:p>
    <w:tbl>
      <w:tblPr>
        <w:tblStyle w:val="PlainTable21"/>
        <w:tblW w:w="9157" w:type="dxa"/>
        <w:tblLook w:val="04A0" w:firstRow="1" w:lastRow="0" w:firstColumn="1" w:lastColumn="0" w:noHBand="0" w:noVBand="1"/>
      </w:tblPr>
      <w:tblGrid>
        <w:gridCol w:w="3881"/>
        <w:gridCol w:w="1281"/>
        <w:gridCol w:w="1299"/>
        <w:gridCol w:w="1379"/>
        <w:gridCol w:w="1317"/>
      </w:tblGrid>
      <w:tr w:rsidR="00AC7F58" w:rsidRPr="00C21B42" w14:paraId="55215EE0" w14:textId="77777777" w:rsidTr="00E95822">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9157" w:type="dxa"/>
            <w:gridSpan w:val="5"/>
            <w:noWrap/>
          </w:tcPr>
          <w:p w14:paraId="0C708EC2" w14:textId="48381829" w:rsidR="00AC7F58" w:rsidRPr="00C21B42" w:rsidRDefault="004876DA" w:rsidP="00E95822">
            <w:pPr>
              <w:spacing w:line="276" w:lineRule="auto"/>
              <w:jc w:val="both"/>
              <w:rPr>
                <w:rFonts w:ascii="Times New Roman" w:hAnsi="Times New Roman" w:cs="Times New Roman"/>
                <w:b w:val="0"/>
                <w:bCs w:val="0"/>
              </w:rPr>
            </w:pPr>
            <w:bookmarkStart w:id="43" w:name="_Hlk138424779"/>
            <w:r w:rsidRPr="00C21B42">
              <w:rPr>
                <w:rFonts w:ascii="Times New Roman" w:hAnsi="Times New Roman" w:cs="Times New Roman"/>
              </w:rPr>
              <w:lastRenderedPageBreak/>
              <w:t>Table S</w:t>
            </w:r>
            <w:r w:rsidR="00E11FB4">
              <w:rPr>
                <w:rFonts w:ascii="Times New Roman" w:hAnsi="Times New Roman" w:cs="Times New Roman"/>
              </w:rPr>
              <w:t>9</w:t>
            </w:r>
            <w:r w:rsidR="00AC7F58" w:rsidRPr="00C21B42">
              <w:rPr>
                <w:rFonts w:ascii="Times New Roman" w:eastAsia="Times New Roman" w:hAnsi="Times New Roman" w:cs="Times New Roman"/>
                <w:color w:val="000000"/>
              </w:rPr>
              <w:t>.</w:t>
            </w:r>
            <w:r w:rsidR="00AC7F58" w:rsidRPr="00C21B42">
              <w:rPr>
                <w:rFonts w:ascii="Times New Roman" w:hAnsi="Times New Roman" w:cs="Times New Roman"/>
                <w:b w:val="0"/>
                <w:bCs w:val="0"/>
              </w:rPr>
              <w:t xml:space="preserve"> Test performance scores of the R</w:t>
            </w:r>
            <w:r w:rsidR="008413FC" w:rsidRPr="00C21B42">
              <w:rPr>
                <w:rFonts w:ascii="Times New Roman" w:hAnsi="Times New Roman" w:cs="Times New Roman"/>
                <w:b w:val="0"/>
                <w:bCs w:val="0"/>
              </w:rPr>
              <w:t xml:space="preserve">andom Forest </w:t>
            </w:r>
            <w:r w:rsidR="00AC7F58" w:rsidRPr="00C21B42">
              <w:rPr>
                <w:rFonts w:ascii="Times New Roman" w:hAnsi="Times New Roman" w:cs="Times New Roman"/>
                <w:b w:val="0"/>
                <w:bCs w:val="0"/>
              </w:rPr>
              <w:t>based prediction model with the cutoff at FPR = 20%</w:t>
            </w:r>
            <w:bookmarkEnd w:id="43"/>
          </w:p>
        </w:tc>
      </w:tr>
      <w:tr w:rsidR="00AC7F58" w:rsidRPr="00C21B42" w14:paraId="7AFEF2FC" w14:textId="77777777" w:rsidTr="00E95822">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3881" w:type="dxa"/>
            <w:noWrap/>
            <w:hideMark/>
          </w:tcPr>
          <w:p w14:paraId="7C418C44"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 </w:t>
            </w:r>
          </w:p>
        </w:tc>
        <w:tc>
          <w:tcPr>
            <w:tcW w:w="2580" w:type="dxa"/>
            <w:gridSpan w:val="2"/>
            <w:noWrap/>
            <w:hideMark/>
          </w:tcPr>
          <w:p w14:paraId="79AF052F"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Pancreatic Cancer</w:t>
            </w:r>
          </w:p>
          <w:p w14:paraId="4A66DF46"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(PC)</w:t>
            </w:r>
          </w:p>
        </w:tc>
        <w:tc>
          <w:tcPr>
            <w:tcW w:w="2695" w:type="dxa"/>
            <w:gridSpan w:val="2"/>
            <w:noWrap/>
            <w:hideMark/>
          </w:tcPr>
          <w:p w14:paraId="67905C5D"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Type-2 Diabetes</w:t>
            </w:r>
          </w:p>
          <w:p w14:paraId="2834571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(T2D)</w:t>
            </w:r>
          </w:p>
        </w:tc>
      </w:tr>
      <w:tr w:rsidR="00AC7F58" w:rsidRPr="00C21B42" w14:paraId="1BC8304C" w14:textId="77777777" w:rsidTr="00E95822">
        <w:trPr>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21BCACA1"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 </w:t>
            </w:r>
          </w:p>
        </w:tc>
        <w:tc>
          <w:tcPr>
            <w:tcW w:w="1281" w:type="dxa"/>
            <w:noWrap/>
            <w:hideMark/>
          </w:tcPr>
          <w:p w14:paraId="5E37525C"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Train Data</w:t>
            </w:r>
          </w:p>
          <w:p w14:paraId="0B5F8444"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(60%)</w:t>
            </w:r>
          </w:p>
        </w:tc>
        <w:tc>
          <w:tcPr>
            <w:tcW w:w="1298" w:type="dxa"/>
            <w:noWrap/>
            <w:hideMark/>
          </w:tcPr>
          <w:p w14:paraId="6A61ED4E"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Test Data</w:t>
            </w:r>
          </w:p>
          <w:p w14:paraId="49D9C9EA"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(40%)</w:t>
            </w:r>
          </w:p>
        </w:tc>
        <w:tc>
          <w:tcPr>
            <w:tcW w:w="1379" w:type="dxa"/>
            <w:noWrap/>
            <w:hideMark/>
          </w:tcPr>
          <w:p w14:paraId="4323E428"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Train Data</w:t>
            </w:r>
          </w:p>
          <w:p w14:paraId="52F4BDAE"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(60%)</w:t>
            </w:r>
          </w:p>
        </w:tc>
        <w:tc>
          <w:tcPr>
            <w:tcW w:w="1316" w:type="dxa"/>
            <w:noWrap/>
            <w:hideMark/>
          </w:tcPr>
          <w:p w14:paraId="121D8C50"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Test Data</w:t>
            </w:r>
          </w:p>
          <w:p w14:paraId="129C933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(40%)</w:t>
            </w:r>
          </w:p>
        </w:tc>
      </w:tr>
      <w:tr w:rsidR="00AC7F58" w:rsidRPr="00C21B42" w14:paraId="279968E2" w14:textId="77777777" w:rsidTr="00E95822">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69F1977E"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Area Under the ROC Curve (AUC)</w:t>
            </w:r>
          </w:p>
        </w:tc>
        <w:tc>
          <w:tcPr>
            <w:tcW w:w="1281" w:type="dxa"/>
            <w:noWrap/>
            <w:hideMark/>
          </w:tcPr>
          <w:p w14:paraId="744DAC5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1.000</w:t>
            </w:r>
          </w:p>
        </w:tc>
        <w:tc>
          <w:tcPr>
            <w:tcW w:w="1298" w:type="dxa"/>
            <w:noWrap/>
            <w:hideMark/>
          </w:tcPr>
          <w:p w14:paraId="62D97133"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0.916</w:t>
            </w:r>
          </w:p>
        </w:tc>
        <w:tc>
          <w:tcPr>
            <w:tcW w:w="1379" w:type="dxa"/>
            <w:noWrap/>
            <w:hideMark/>
          </w:tcPr>
          <w:p w14:paraId="4AD8AB6F"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1.000</w:t>
            </w:r>
          </w:p>
        </w:tc>
        <w:tc>
          <w:tcPr>
            <w:tcW w:w="1316" w:type="dxa"/>
            <w:noWrap/>
            <w:hideMark/>
          </w:tcPr>
          <w:p w14:paraId="7535AF7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0.914</w:t>
            </w:r>
          </w:p>
        </w:tc>
      </w:tr>
      <w:tr w:rsidR="00AC7F58" w:rsidRPr="00C21B42" w14:paraId="0F362EEC" w14:textId="77777777" w:rsidTr="00E95822">
        <w:trPr>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43597B4C"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Accuracy (ACC)</w:t>
            </w:r>
          </w:p>
        </w:tc>
        <w:tc>
          <w:tcPr>
            <w:tcW w:w="1281" w:type="dxa"/>
            <w:noWrap/>
            <w:hideMark/>
          </w:tcPr>
          <w:p w14:paraId="5ADBDA3D"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0.959</w:t>
            </w:r>
          </w:p>
        </w:tc>
        <w:tc>
          <w:tcPr>
            <w:tcW w:w="1298" w:type="dxa"/>
            <w:noWrap/>
            <w:hideMark/>
          </w:tcPr>
          <w:p w14:paraId="3F5048E0"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0.842</w:t>
            </w:r>
          </w:p>
        </w:tc>
        <w:tc>
          <w:tcPr>
            <w:tcW w:w="1379" w:type="dxa"/>
            <w:noWrap/>
            <w:hideMark/>
          </w:tcPr>
          <w:p w14:paraId="060896BD"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0.923</w:t>
            </w:r>
          </w:p>
        </w:tc>
        <w:tc>
          <w:tcPr>
            <w:tcW w:w="1316" w:type="dxa"/>
            <w:noWrap/>
            <w:hideMark/>
          </w:tcPr>
          <w:p w14:paraId="128B9094"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0.838</w:t>
            </w:r>
          </w:p>
        </w:tc>
      </w:tr>
      <w:tr w:rsidR="00AC7F58" w:rsidRPr="00C21B42" w14:paraId="45D2F283" w14:textId="77777777" w:rsidTr="00E95822">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2CB2CD35"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True Positive Rate (TPR)</w:t>
            </w:r>
          </w:p>
        </w:tc>
        <w:tc>
          <w:tcPr>
            <w:tcW w:w="1281" w:type="dxa"/>
            <w:noWrap/>
            <w:hideMark/>
          </w:tcPr>
          <w:p w14:paraId="627729F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1.000</w:t>
            </w:r>
          </w:p>
        </w:tc>
        <w:tc>
          <w:tcPr>
            <w:tcW w:w="1298" w:type="dxa"/>
            <w:noWrap/>
            <w:hideMark/>
          </w:tcPr>
          <w:p w14:paraId="1090EB87"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0.885</w:t>
            </w:r>
          </w:p>
        </w:tc>
        <w:tc>
          <w:tcPr>
            <w:tcW w:w="1379" w:type="dxa"/>
            <w:noWrap/>
            <w:hideMark/>
          </w:tcPr>
          <w:p w14:paraId="22A85FE1"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1.000</w:t>
            </w:r>
          </w:p>
        </w:tc>
        <w:tc>
          <w:tcPr>
            <w:tcW w:w="1316" w:type="dxa"/>
            <w:noWrap/>
            <w:hideMark/>
          </w:tcPr>
          <w:p w14:paraId="3072F94E"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0.875</w:t>
            </w:r>
          </w:p>
        </w:tc>
      </w:tr>
      <w:tr w:rsidR="00AC7F58" w:rsidRPr="00C21B42" w14:paraId="1A70A98A" w14:textId="77777777" w:rsidTr="00E95822">
        <w:trPr>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48AE68E0"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True Negative Rate (TNR)</w:t>
            </w:r>
          </w:p>
        </w:tc>
        <w:tc>
          <w:tcPr>
            <w:tcW w:w="1281" w:type="dxa"/>
            <w:noWrap/>
            <w:hideMark/>
          </w:tcPr>
          <w:p w14:paraId="65FA38AF"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0.796</w:t>
            </w:r>
          </w:p>
        </w:tc>
        <w:tc>
          <w:tcPr>
            <w:tcW w:w="1298" w:type="dxa"/>
            <w:noWrap/>
            <w:hideMark/>
          </w:tcPr>
          <w:p w14:paraId="4B5D6D36"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0.800</w:t>
            </w:r>
          </w:p>
        </w:tc>
        <w:tc>
          <w:tcPr>
            <w:tcW w:w="1379" w:type="dxa"/>
            <w:noWrap/>
            <w:hideMark/>
          </w:tcPr>
          <w:p w14:paraId="5A339013"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0.846</w:t>
            </w:r>
          </w:p>
        </w:tc>
        <w:tc>
          <w:tcPr>
            <w:tcW w:w="1316" w:type="dxa"/>
            <w:noWrap/>
            <w:hideMark/>
          </w:tcPr>
          <w:p w14:paraId="072B127B"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0.800</w:t>
            </w:r>
          </w:p>
        </w:tc>
      </w:tr>
      <w:tr w:rsidR="00AC7F58" w:rsidRPr="00C21B42" w14:paraId="0B0AED25" w14:textId="77777777" w:rsidTr="00E95822">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6F24D717"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False Negative Rate (FNR)</w:t>
            </w:r>
          </w:p>
        </w:tc>
        <w:tc>
          <w:tcPr>
            <w:tcW w:w="1281" w:type="dxa"/>
            <w:noWrap/>
            <w:hideMark/>
          </w:tcPr>
          <w:p w14:paraId="735C83E4"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0.000</w:t>
            </w:r>
          </w:p>
        </w:tc>
        <w:tc>
          <w:tcPr>
            <w:tcW w:w="1298" w:type="dxa"/>
            <w:noWrap/>
            <w:hideMark/>
          </w:tcPr>
          <w:p w14:paraId="3F3CA974"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0.115</w:t>
            </w:r>
          </w:p>
        </w:tc>
        <w:tc>
          <w:tcPr>
            <w:tcW w:w="1379" w:type="dxa"/>
            <w:noWrap/>
            <w:hideMark/>
          </w:tcPr>
          <w:p w14:paraId="153DA913"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0.000</w:t>
            </w:r>
          </w:p>
        </w:tc>
        <w:tc>
          <w:tcPr>
            <w:tcW w:w="1316" w:type="dxa"/>
            <w:noWrap/>
            <w:hideMark/>
          </w:tcPr>
          <w:p w14:paraId="798C00E3"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0.125</w:t>
            </w:r>
          </w:p>
        </w:tc>
      </w:tr>
      <w:tr w:rsidR="00AC7F58" w:rsidRPr="00C21B42" w14:paraId="357AFF5A" w14:textId="77777777" w:rsidTr="00E95822">
        <w:trPr>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3D384E7A"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False Positive Rate (FPR)</w:t>
            </w:r>
          </w:p>
        </w:tc>
        <w:tc>
          <w:tcPr>
            <w:tcW w:w="1281" w:type="dxa"/>
            <w:noWrap/>
            <w:hideMark/>
          </w:tcPr>
          <w:p w14:paraId="34277457"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0.204</w:t>
            </w:r>
          </w:p>
        </w:tc>
        <w:tc>
          <w:tcPr>
            <w:tcW w:w="1298" w:type="dxa"/>
            <w:noWrap/>
            <w:hideMark/>
          </w:tcPr>
          <w:p w14:paraId="68A6F529"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0.200</w:t>
            </w:r>
          </w:p>
        </w:tc>
        <w:tc>
          <w:tcPr>
            <w:tcW w:w="1379" w:type="dxa"/>
            <w:noWrap/>
            <w:hideMark/>
          </w:tcPr>
          <w:p w14:paraId="681811A4"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0.154</w:t>
            </w:r>
          </w:p>
        </w:tc>
        <w:tc>
          <w:tcPr>
            <w:tcW w:w="1316" w:type="dxa"/>
            <w:noWrap/>
            <w:hideMark/>
          </w:tcPr>
          <w:p w14:paraId="7E69A20E" w14:textId="77777777" w:rsidR="00AC7F58" w:rsidRPr="00C21B42" w:rsidRDefault="00AC7F58" w:rsidP="00E9582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0.200</w:t>
            </w:r>
          </w:p>
        </w:tc>
      </w:tr>
      <w:tr w:rsidR="00AC7F58" w:rsidRPr="00C21B42" w14:paraId="0FFFCEF5" w14:textId="77777777" w:rsidTr="00E95822">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881" w:type="dxa"/>
            <w:noWrap/>
            <w:hideMark/>
          </w:tcPr>
          <w:p w14:paraId="4AA2FABC" w14:textId="77777777" w:rsidR="00AC7F58" w:rsidRPr="00C21B42" w:rsidRDefault="00AC7F58" w:rsidP="00E95822">
            <w:pPr>
              <w:spacing w:line="276" w:lineRule="auto"/>
              <w:jc w:val="right"/>
              <w:rPr>
                <w:rFonts w:ascii="Times New Roman" w:eastAsia="Times New Roman" w:hAnsi="Times New Roman" w:cs="Times New Roman"/>
                <w:b w:val="0"/>
                <w:bCs w:val="0"/>
              </w:rPr>
            </w:pPr>
            <w:r w:rsidRPr="00C21B42">
              <w:rPr>
                <w:rFonts w:ascii="Times New Roman" w:eastAsia="Times New Roman" w:hAnsi="Times New Roman" w:cs="Times New Roman"/>
                <w:b w:val="0"/>
                <w:bCs w:val="0"/>
              </w:rPr>
              <w:t>False Discovery Rate (FDR)</w:t>
            </w:r>
          </w:p>
        </w:tc>
        <w:tc>
          <w:tcPr>
            <w:tcW w:w="1281" w:type="dxa"/>
            <w:noWrap/>
            <w:hideMark/>
          </w:tcPr>
          <w:p w14:paraId="6979CC5F"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0.169</w:t>
            </w:r>
          </w:p>
        </w:tc>
        <w:tc>
          <w:tcPr>
            <w:tcW w:w="1298" w:type="dxa"/>
            <w:noWrap/>
            <w:hideMark/>
          </w:tcPr>
          <w:p w14:paraId="00A23CB2"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0.184</w:t>
            </w:r>
          </w:p>
        </w:tc>
        <w:tc>
          <w:tcPr>
            <w:tcW w:w="1379" w:type="dxa"/>
            <w:noWrap/>
            <w:hideMark/>
          </w:tcPr>
          <w:p w14:paraId="6AFF2685"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0.133</w:t>
            </w:r>
          </w:p>
        </w:tc>
        <w:tc>
          <w:tcPr>
            <w:tcW w:w="1316" w:type="dxa"/>
            <w:noWrap/>
            <w:hideMark/>
          </w:tcPr>
          <w:p w14:paraId="59759C73" w14:textId="77777777" w:rsidR="00AC7F58" w:rsidRPr="00C21B42" w:rsidRDefault="00AC7F58" w:rsidP="00E9582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0.186</w:t>
            </w:r>
          </w:p>
        </w:tc>
      </w:tr>
    </w:tbl>
    <w:p w14:paraId="35E3C2A0" w14:textId="77777777" w:rsidR="00EF266C" w:rsidRDefault="00EF266C" w:rsidP="00575E16">
      <w:pPr>
        <w:rPr>
          <w:rFonts w:ascii="Times New Roman" w:hAnsi="Times New Roman" w:cs="Times New Roman"/>
        </w:rPr>
      </w:pPr>
    </w:p>
    <w:p w14:paraId="757352D4" w14:textId="77777777" w:rsidR="00E11FB4" w:rsidRPr="00C21B42" w:rsidRDefault="00E11FB4" w:rsidP="00575E16">
      <w:pPr>
        <w:rPr>
          <w:rFonts w:ascii="Times New Roman" w:hAnsi="Times New Roman" w:cs="Times New Roman"/>
        </w:rPr>
      </w:pPr>
    </w:p>
    <w:tbl>
      <w:tblPr>
        <w:tblStyle w:val="PlainTable21"/>
        <w:tblW w:w="9355" w:type="dxa"/>
        <w:tblLook w:val="04A0" w:firstRow="1" w:lastRow="0" w:firstColumn="1" w:lastColumn="0" w:noHBand="0" w:noVBand="1"/>
      </w:tblPr>
      <w:tblGrid>
        <w:gridCol w:w="1420"/>
        <w:gridCol w:w="1218"/>
        <w:gridCol w:w="931"/>
        <w:gridCol w:w="1050"/>
        <w:gridCol w:w="931"/>
        <w:gridCol w:w="1402"/>
        <w:gridCol w:w="1243"/>
        <w:gridCol w:w="1261"/>
      </w:tblGrid>
      <w:tr w:rsidR="00AC7F58" w:rsidRPr="00C21B42" w14:paraId="2923F6AF" w14:textId="77777777" w:rsidTr="00E95822">
        <w:trPr>
          <w:cnfStyle w:val="100000000000" w:firstRow="1" w:lastRow="0" w:firstColumn="0" w:lastColumn="0" w:oddVBand="0" w:evenVBand="0" w:oddHBand="0"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9355" w:type="dxa"/>
            <w:gridSpan w:val="8"/>
            <w:noWrap/>
          </w:tcPr>
          <w:p w14:paraId="58EA21EA" w14:textId="14125F89" w:rsidR="00AC7F58" w:rsidRPr="00C21B42" w:rsidRDefault="004876DA" w:rsidP="00E95822">
            <w:pPr>
              <w:spacing w:line="276" w:lineRule="auto"/>
              <w:rPr>
                <w:rFonts w:ascii="Times New Roman" w:eastAsia="Times New Roman" w:hAnsi="Times New Roman" w:cs="Times New Roman"/>
                <w:b w:val="0"/>
                <w:bCs w:val="0"/>
              </w:rPr>
            </w:pPr>
            <w:bookmarkStart w:id="44" w:name="_Hlk138424789"/>
            <w:r w:rsidRPr="00C21B42">
              <w:rPr>
                <w:rFonts w:ascii="Times New Roman" w:hAnsi="Times New Roman" w:cs="Times New Roman"/>
              </w:rPr>
              <w:t>Table S1</w:t>
            </w:r>
            <w:r w:rsidR="00B35B3A">
              <w:rPr>
                <w:rFonts w:ascii="Times New Roman" w:hAnsi="Times New Roman" w:cs="Times New Roman"/>
              </w:rPr>
              <w:t>0</w:t>
            </w:r>
            <w:r w:rsidR="00AC7F58" w:rsidRPr="00C21B42">
              <w:rPr>
                <w:rFonts w:ascii="Times New Roman" w:eastAsia="Times New Roman" w:hAnsi="Times New Roman" w:cs="Times New Roman"/>
                <w:color w:val="000000"/>
              </w:rPr>
              <w:t>.</w:t>
            </w:r>
            <w:r w:rsidR="00DC732C" w:rsidRPr="00C21B42">
              <w:rPr>
                <w:rFonts w:ascii="Times New Roman" w:eastAsia="Times New Roman" w:hAnsi="Times New Roman" w:cs="Times New Roman"/>
                <w:color w:val="000000"/>
              </w:rPr>
              <w:t xml:space="preserve"> </w:t>
            </w:r>
            <w:r w:rsidR="00DC732C" w:rsidRPr="00C21B42">
              <w:rPr>
                <w:rFonts w:ascii="Times New Roman" w:eastAsia="Times New Roman" w:hAnsi="Times New Roman" w:cs="Times New Roman"/>
                <w:b w:val="0"/>
                <w:bCs w:val="0"/>
                <w:color w:val="000000"/>
              </w:rPr>
              <w:t>Correlation between i</w:t>
            </w:r>
            <w:r w:rsidR="00AC7F58" w:rsidRPr="00C21B42">
              <w:rPr>
                <w:rFonts w:ascii="Times New Roman" w:eastAsia="Times New Roman" w:hAnsi="Times New Roman" w:cs="Times New Roman"/>
                <w:b w:val="0"/>
                <w:bCs w:val="0"/>
              </w:rPr>
              <w:t xml:space="preserve">mmune infiltration levels </w:t>
            </w:r>
            <w:r w:rsidR="00DC732C" w:rsidRPr="00C21B42">
              <w:rPr>
                <w:rFonts w:ascii="Times New Roman" w:eastAsia="Times New Roman" w:hAnsi="Times New Roman" w:cs="Times New Roman"/>
                <w:b w:val="0"/>
                <w:bCs w:val="0"/>
              </w:rPr>
              <w:t xml:space="preserve">and the expressions </w:t>
            </w:r>
            <w:r w:rsidR="00AC7F58" w:rsidRPr="00C21B42">
              <w:rPr>
                <w:rFonts w:ascii="Times New Roman" w:eastAsia="Times New Roman" w:hAnsi="Times New Roman" w:cs="Times New Roman"/>
                <w:b w:val="0"/>
                <w:bCs w:val="0"/>
              </w:rPr>
              <w:t xml:space="preserve">of </w:t>
            </w:r>
            <w:r w:rsidR="00A91BCF">
              <w:rPr>
                <w:rFonts w:ascii="Times New Roman" w:eastAsia="Times New Roman" w:hAnsi="Times New Roman" w:cs="Times New Roman"/>
                <w:b w:val="0"/>
                <w:bCs w:val="0"/>
              </w:rPr>
              <w:t>sKGBs</w:t>
            </w:r>
            <w:r w:rsidR="00AC7F58" w:rsidRPr="00C21B42">
              <w:rPr>
                <w:rFonts w:ascii="Times New Roman" w:eastAsia="Times New Roman" w:hAnsi="Times New Roman" w:cs="Times New Roman"/>
                <w:b w:val="0"/>
                <w:bCs w:val="0"/>
              </w:rPr>
              <w:t xml:space="preserve"> in PC</w:t>
            </w:r>
            <w:bookmarkEnd w:id="44"/>
          </w:p>
        </w:tc>
      </w:tr>
      <w:tr w:rsidR="00AC7F58" w:rsidRPr="00C21B42" w14:paraId="0BE8B22C"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noWrap/>
            <w:hideMark/>
          </w:tcPr>
          <w:p w14:paraId="63BB67E5" w14:textId="7102E530" w:rsidR="00AC7F58" w:rsidRPr="00C21B42" w:rsidRDefault="00A91BCF" w:rsidP="00E95822">
            <w:pPr>
              <w:spacing w:line="276" w:lineRule="auto"/>
              <w:rPr>
                <w:rFonts w:ascii="Times New Roman" w:eastAsia="Times New Roman" w:hAnsi="Times New Roman" w:cs="Times New Roman"/>
              </w:rPr>
            </w:pPr>
            <w:r>
              <w:rPr>
                <w:rFonts w:ascii="Times New Roman" w:eastAsia="Times New Roman" w:hAnsi="Times New Roman" w:cs="Times New Roman"/>
              </w:rPr>
              <w:t>sKGBs</w:t>
            </w:r>
          </w:p>
        </w:tc>
        <w:tc>
          <w:tcPr>
            <w:tcW w:w="1198" w:type="dxa"/>
            <w:noWrap/>
            <w:hideMark/>
          </w:tcPr>
          <w:p w14:paraId="278DB19B"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Parameter</w:t>
            </w:r>
          </w:p>
        </w:tc>
        <w:tc>
          <w:tcPr>
            <w:tcW w:w="916" w:type="dxa"/>
            <w:noWrap/>
            <w:hideMark/>
          </w:tcPr>
          <w:p w14:paraId="01E352FE"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 xml:space="preserve">B </w:t>
            </w:r>
          </w:p>
          <w:p w14:paraId="08F378EC"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cell</w:t>
            </w:r>
          </w:p>
        </w:tc>
        <w:tc>
          <w:tcPr>
            <w:tcW w:w="1050" w:type="dxa"/>
            <w:noWrap/>
            <w:hideMark/>
          </w:tcPr>
          <w:p w14:paraId="7F72B460"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CD8+ T</w:t>
            </w:r>
          </w:p>
          <w:p w14:paraId="6E7EB203"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 xml:space="preserve"> cell</w:t>
            </w:r>
          </w:p>
        </w:tc>
        <w:tc>
          <w:tcPr>
            <w:tcW w:w="916" w:type="dxa"/>
            <w:noWrap/>
            <w:hideMark/>
          </w:tcPr>
          <w:p w14:paraId="0D80046B"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 xml:space="preserve">CD4+ T </w:t>
            </w:r>
          </w:p>
          <w:p w14:paraId="033642EF"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cell</w:t>
            </w:r>
          </w:p>
        </w:tc>
        <w:tc>
          <w:tcPr>
            <w:tcW w:w="1379" w:type="dxa"/>
            <w:noWrap/>
            <w:hideMark/>
          </w:tcPr>
          <w:p w14:paraId="53B277EE"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Macrophage</w:t>
            </w:r>
          </w:p>
        </w:tc>
        <w:tc>
          <w:tcPr>
            <w:tcW w:w="1223" w:type="dxa"/>
            <w:noWrap/>
            <w:hideMark/>
          </w:tcPr>
          <w:p w14:paraId="00AFCCA5"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Neutrophil</w:t>
            </w:r>
          </w:p>
        </w:tc>
        <w:tc>
          <w:tcPr>
            <w:tcW w:w="1250" w:type="dxa"/>
            <w:noWrap/>
            <w:hideMark/>
          </w:tcPr>
          <w:p w14:paraId="734A7EA0"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rPr>
            </w:pPr>
            <w:r w:rsidRPr="00C21B42">
              <w:rPr>
                <w:rFonts w:ascii="Times New Roman" w:eastAsia="Times New Roman" w:hAnsi="Times New Roman" w:cs="Times New Roman"/>
                <w:b/>
                <w:bCs/>
              </w:rPr>
              <w:t>Dendritic cell</w:t>
            </w:r>
          </w:p>
        </w:tc>
      </w:tr>
      <w:tr w:rsidR="00AC7F58" w:rsidRPr="00C21B42" w14:paraId="266EE65C" w14:textId="77777777" w:rsidTr="00E95822">
        <w:trPr>
          <w:trHeight w:val="259"/>
        </w:trPr>
        <w:tc>
          <w:tcPr>
            <w:cnfStyle w:val="001000000000" w:firstRow="0" w:lastRow="0" w:firstColumn="1" w:lastColumn="0" w:oddVBand="0" w:evenVBand="0" w:oddHBand="0" w:evenHBand="0" w:firstRowFirstColumn="0" w:firstRowLastColumn="0" w:lastRowFirstColumn="0" w:lastRowLastColumn="0"/>
            <w:tcW w:w="1420" w:type="dxa"/>
            <w:vMerge w:val="restart"/>
            <w:noWrap/>
            <w:hideMark/>
          </w:tcPr>
          <w:p w14:paraId="7907EC2A" w14:textId="77777777" w:rsidR="00AC7F58" w:rsidRPr="00C21B42" w:rsidRDefault="00AC7F58" w:rsidP="00E95822">
            <w:pPr>
              <w:spacing w:line="276" w:lineRule="auto"/>
              <w:rPr>
                <w:rFonts w:ascii="Times New Roman" w:eastAsia="Times New Roman" w:hAnsi="Times New Roman" w:cs="Times New Roman"/>
              </w:rPr>
            </w:pPr>
            <w:r w:rsidRPr="00C21B42">
              <w:rPr>
                <w:rFonts w:ascii="Times New Roman" w:eastAsia="Times New Roman" w:hAnsi="Times New Roman" w:cs="Times New Roman"/>
              </w:rPr>
              <w:t>CASP1</w:t>
            </w:r>
          </w:p>
          <w:p w14:paraId="3FFC1193"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443B1A3B" w14:textId="77777777" w:rsidR="00AC7F58" w:rsidRPr="00C21B42" w:rsidRDefault="00AC7F58" w:rsidP="00E958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rho</w:t>
            </w:r>
          </w:p>
        </w:tc>
        <w:tc>
          <w:tcPr>
            <w:tcW w:w="916" w:type="dxa"/>
            <w:noWrap/>
            <w:hideMark/>
          </w:tcPr>
          <w:p w14:paraId="2A6A1D81"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0.455</w:t>
            </w:r>
          </w:p>
        </w:tc>
        <w:tc>
          <w:tcPr>
            <w:tcW w:w="1050" w:type="dxa"/>
            <w:noWrap/>
            <w:hideMark/>
          </w:tcPr>
          <w:p w14:paraId="43FAB00F"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0.42</w:t>
            </w:r>
          </w:p>
        </w:tc>
        <w:tc>
          <w:tcPr>
            <w:tcW w:w="916" w:type="dxa"/>
            <w:noWrap/>
            <w:hideMark/>
          </w:tcPr>
          <w:p w14:paraId="03411342"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0.22</w:t>
            </w:r>
          </w:p>
        </w:tc>
        <w:tc>
          <w:tcPr>
            <w:tcW w:w="1379" w:type="dxa"/>
            <w:noWrap/>
            <w:hideMark/>
          </w:tcPr>
          <w:p w14:paraId="728C7C5A"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0.276</w:t>
            </w:r>
          </w:p>
        </w:tc>
        <w:tc>
          <w:tcPr>
            <w:tcW w:w="1223" w:type="dxa"/>
            <w:noWrap/>
            <w:hideMark/>
          </w:tcPr>
          <w:p w14:paraId="128B7D70"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0.511</w:t>
            </w:r>
          </w:p>
        </w:tc>
        <w:tc>
          <w:tcPr>
            <w:tcW w:w="1250" w:type="dxa"/>
            <w:noWrap/>
            <w:hideMark/>
          </w:tcPr>
          <w:p w14:paraId="0C57FC18"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0.531</w:t>
            </w:r>
          </w:p>
        </w:tc>
      </w:tr>
      <w:tr w:rsidR="00AC7F58" w:rsidRPr="00C21B42" w14:paraId="2A145EBA"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vMerge/>
            <w:noWrap/>
            <w:hideMark/>
          </w:tcPr>
          <w:p w14:paraId="07880F66"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09C36378"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P-value</w:t>
            </w:r>
          </w:p>
        </w:tc>
        <w:tc>
          <w:tcPr>
            <w:tcW w:w="916" w:type="dxa"/>
            <w:noWrap/>
            <w:hideMark/>
          </w:tcPr>
          <w:p w14:paraId="27CBBAE7"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3.97E-10</w:t>
            </w:r>
          </w:p>
        </w:tc>
        <w:tc>
          <w:tcPr>
            <w:tcW w:w="1050" w:type="dxa"/>
            <w:noWrap/>
            <w:hideMark/>
          </w:tcPr>
          <w:p w14:paraId="4DCDEE42"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1.09E-08</w:t>
            </w:r>
          </w:p>
        </w:tc>
        <w:tc>
          <w:tcPr>
            <w:tcW w:w="916" w:type="dxa"/>
            <w:noWrap/>
            <w:hideMark/>
          </w:tcPr>
          <w:p w14:paraId="703A389C"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0.00368</w:t>
            </w:r>
          </w:p>
        </w:tc>
        <w:tc>
          <w:tcPr>
            <w:tcW w:w="1379" w:type="dxa"/>
            <w:noWrap/>
            <w:hideMark/>
          </w:tcPr>
          <w:p w14:paraId="049AA253"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0.00026</w:t>
            </w:r>
          </w:p>
        </w:tc>
        <w:tc>
          <w:tcPr>
            <w:tcW w:w="1223" w:type="dxa"/>
            <w:noWrap/>
            <w:hideMark/>
          </w:tcPr>
          <w:p w14:paraId="3B520220"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9.74E-13</w:t>
            </w:r>
          </w:p>
        </w:tc>
        <w:tc>
          <w:tcPr>
            <w:tcW w:w="1250" w:type="dxa"/>
            <w:noWrap/>
            <w:hideMark/>
          </w:tcPr>
          <w:p w14:paraId="54285366"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8.19E-14</w:t>
            </w:r>
          </w:p>
        </w:tc>
      </w:tr>
      <w:tr w:rsidR="00AC7F58" w:rsidRPr="00C21B42" w14:paraId="05D4A079" w14:textId="77777777" w:rsidTr="00E95822">
        <w:trPr>
          <w:trHeight w:val="259"/>
        </w:trPr>
        <w:tc>
          <w:tcPr>
            <w:cnfStyle w:val="001000000000" w:firstRow="0" w:lastRow="0" w:firstColumn="1" w:lastColumn="0" w:oddVBand="0" w:evenVBand="0" w:oddHBand="0" w:evenHBand="0" w:firstRowFirstColumn="0" w:firstRowLastColumn="0" w:lastRowFirstColumn="0" w:lastRowLastColumn="0"/>
            <w:tcW w:w="1420" w:type="dxa"/>
            <w:vMerge w:val="restart"/>
            <w:noWrap/>
            <w:hideMark/>
          </w:tcPr>
          <w:p w14:paraId="6A82C3E9" w14:textId="77777777" w:rsidR="00AC7F58" w:rsidRPr="00C21B42" w:rsidRDefault="00AC7F58" w:rsidP="00E95822">
            <w:pPr>
              <w:spacing w:line="276" w:lineRule="auto"/>
              <w:rPr>
                <w:rFonts w:ascii="Times New Roman" w:eastAsia="Times New Roman" w:hAnsi="Times New Roman" w:cs="Times New Roman"/>
              </w:rPr>
            </w:pPr>
            <w:r w:rsidRPr="00C21B42">
              <w:rPr>
                <w:rFonts w:ascii="Times New Roman" w:eastAsia="Times New Roman" w:hAnsi="Times New Roman" w:cs="Times New Roman"/>
              </w:rPr>
              <w:t>GAPDH</w:t>
            </w:r>
          </w:p>
          <w:p w14:paraId="35A2A048"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3AEBAD71" w14:textId="77777777" w:rsidR="00AC7F58" w:rsidRPr="00C21B42" w:rsidRDefault="00AC7F58" w:rsidP="00E958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rho</w:t>
            </w:r>
          </w:p>
        </w:tc>
        <w:tc>
          <w:tcPr>
            <w:tcW w:w="916" w:type="dxa"/>
            <w:noWrap/>
            <w:hideMark/>
          </w:tcPr>
          <w:p w14:paraId="7E69A63B"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-0.158</w:t>
            </w:r>
          </w:p>
        </w:tc>
        <w:tc>
          <w:tcPr>
            <w:tcW w:w="1050" w:type="dxa"/>
            <w:noWrap/>
            <w:hideMark/>
          </w:tcPr>
          <w:p w14:paraId="361B3200"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-0.145</w:t>
            </w:r>
          </w:p>
        </w:tc>
        <w:tc>
          <w:tcPr>
            <w:tcW w:w="916" w:type="dxa"/>
            <w:noWrap/>
            <w:hideMark/>
          </w:tcPr>
          <w:p w14:paraId="4C59FA8C"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-0.227</w:t>
            </w:r>
          </w:p>
        </w:tc>
        <w:tc>
          <w:tcPr>
            <w:tcW w:w="1379" w:type="dxa"/>
            <w:noWrap/>
            <w:hideMark/>
          </w:tcPr>
          <w:p w14:paraId="32EDB0D1"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-0.184</w:t>
            </w:r>
          </w:p>
        </w:tc>
        <w:tc>
          <w:tcPr>
            <w:tcW w:w="1223" w:type="dxa"/>
            <w:noWrap/>
            <w:hideMark/>
          </w:tcPr>
          <w:p w14:paraId="63A5013D"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-0.127</w:t>
            </w:r>
          </w:p>
        </w:tc>
        <w:tc>
          <w:tcPr>
            <w:tcW w:w="1250" w:type="dxa"/>
            <w:noWrap/>
            <w:hideMark/>
          </w:tcPr>
          <w:p w14:paraId="4C2D6DA8"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-0.05</w:t>
            </w:r>
          </w:p>
        </w:tc>
      </w:tr>
      <w:tr w:rsidR="00AC7F58" w:rsidRPr="00C21B42" w14:paraId="466F3AD0"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vMerge/>
            <w:noWrap/>
            <w:hideMark/>
          </w:tcPr>
          <w:p w14:paraId="491CFEA6"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78620516"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P-value</w:t>
            </w:r>
          </w:p>
        </w:tc>
        <w:tc>
          <w:tcPr>
            <w:tcW w:w="916" w:type="dxa"/>
            <w:noWrap/>
            <w:hideMark/>
          </w:tcPr>
          <w:p w14:paraId="636A1493"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0.0394</w:t>
            </w:r>
          </w:p>
        </w:tc>
        <w:tc>
          <w:tcPr>
            <w:tcW w:w="1050" w:type="dxa"/>
            <w:noWrap/>
            <w:hideMark/>
          </w:tcPr>
          <w:p w14:paraId="77A447B5"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0.0593</w:t>
            </w:r>
          </w:p>
        </w:tc>
        <w:tc>
          <w:tcPr>
            <w:tcW w:w="916" w:type="dxa"/>
            <w:noWrap/>
            <w:hideMark/>
          </w:tcPr>
          <w:p w14:paraId="745FD1B4"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0.00296</w:t>
            </w:r>
          </w:p>
        </w:tc>
        <w:tc>
          <w:tcPr>
            <w:tcW w:w="1379" w:type="dxa"/>
            <w:noWrap/>
            <w:hideMark/>
          </w:tcPr>
          <w:p w14:paraId="1AFCD669"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0.0162</w:t>
            </w:r>
          </w:p>
        </w:tc>
        <w:tc>
          <w:tcPr>
            <w:tcW w:w="1223" w:type="dxa"/>
            <w:noWrap/>
            <w:hideMark/>
          </w:tcPr>
          <w:p w14:paraId="70BA42E6"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0.0983</w:t>
            </w:r>
          </w:p>
        </w:tc>
        <w:tc>
          <w:tcPr>
            <w:tcW w:w="1250" w:type="dxa"/>
            <w:noWrap/>
            <w:hideMark/>
          </w:tcPr>
          <w:p w14:paraId="34A559B5"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0.513</w:t>
            </w:r>
          </w:p>
        </w:tc>
      </w:tr>
      <w:tr w:rsidR="00AC7F58" w:rsidRPr="00C21B42" w14:paraId="5A72B44C" w14:textId="77777777" w:rsidTr="00E95822">
        <w:trPr>
          <w:trHeight w:val="259"/>
        </w:trPr>
        <w:tc>
          <w:tcPr>
            <w:cnfStyle w:val="001000000000" w:firstRow="0" w:lastRow="0" w:firstColumn="1" w:lastColumn="0" w:oddVBand="0" w:evenVBand="0" w:oddHBand="0" w:evenHBand="0" w:firstRowFirstColumn="0" w:firstRowLastColumn="0" w:lastRowFirstColumn="0" w:lastRowLastColumn="0"/>
            <w:tcW w:w="1420" w:type="dxa"/>
            <w:vMerge w:val="restart"/>
            <w:noWrap/>
            <w:hideMark/>
          </w:tcPr>
          <w:p w14:paraId="34301109" w14:textId="77777777" w:rsidR="00AC7F58" w:rsidRPr="00C21B42" w:rsidRDefault="00AC7F58" w:rsidP="00E95822">
            <w:pPr>
              <w:spacing w:line="276" w:lineRule="auto"/>
              <w:rPr>
                <w:rFonts w:ascii="Times New Roman" w:eastAsia="Times New Roman" w:hAnsi="Times New Roman" w:cs="Times New Roman"/>
              </w:rPr>
            </w:pPr>
            <w:r w:rsidRPr="00C21B42">
              <w:rPr>
                <w:rFonts w:ascii="Times New Roman" w:eastAsia="Times New Roman" w:hAnsi="Times New Roman" w:cs="Times New Roman"/>
              </w:rPr>
              <w:t>MYD88</w:t>
            </w:r>
          </w:p>
          <w:p w14:paraId="330A4715"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2C55CF0A" w14:textId="77777777" w:rsidR="00AC7F58" w:rsidRPr="00C21B42" w:rsidRDefault="00AC7F58" w:rsidP="00E958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rho</w:t>
            </w:r>
          </w:p>
        </w:tc>
        <w:tc>
          <w:tcPr>
            <w:tcW w:w="916" w:type="dxa"/>
            <w:noWrap/>
            <w:hideMark/>
          </w:tcPr>
          <w:p w14:paraId="72F48760"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0.182</w:t>
            </w:r>
          </w:p>
        </w:tc>
        <w:tc>
          <w:tcPr>
            <w:tcW w:w="1050" w:type="dxa"/>
            <w:noWrap/>
            <w:hideMark/>
          </w:tcPr>
          <w:p w14:paraId="29FA586D"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0.298</w:t>
            </w:r>
          </w:p>
        </w:tc>
        <w:tc>
          <w:tcPr>
            <w:tcW w:w="916" w:type="dxa"/>
            <w:noWrap/>
            <w:hideMark/>
          </w:tcPr>
          <w:p w14:paraId="041F0C77"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0.096</w:t>
            </w:r>
          </w:p>
        </w:tc>
        <w:tc>
          <w:tcPr>
            <w:tcW w:w="1379" w:type="dxa"/>
            <w:noWrap/>
            <w:hideMark/>
          </w:tcPr>
          <w:p w14:paraId="362DF3EB"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0.234</w:t>
            </w:r>
          </w:p>
        </w:tc>
        <w:tc>
          <w:tcPr>
            <w:tcW w:w="1223" w:type="dxa"/>
            <w:noWrap/>
            <w:hideMark/>
          </w:tcPr>
          <w:p w14:paraId="1BF34B2D"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0.434</w:t>
            </w:r>
          </w:p>
        </w:tc>
        <w:tc>
          <w:tcPr>
            <w:tcW w:w="1250" w:type="dxa"/>
            <w:noWrap/>
            <w:hideMark/>
          </w:tcPr>
          <w:p w14:paraId="5F97B7CA"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0.377</w:t>
            </w:r>
          </w:p>
        </w:tc>
      </w:tr>
      <w:tr w:rsidR="00AC7F58" w:rsidRPr="00C21B42" w14:paraId="19BA100E"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vMerge/>
            <w:noWrap/>
            <w:hideMark/>
          </w:tcPr>
          <w:p w14:paraId="7D7BA15F"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0AEAAA95"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P-value</w:t>
            </w:r>
          </w:p>
        </w:tc>
        <w:tc>
          <w:tcPr>
            <w:tcW w:w="916" w:type="dxa"/>
            <w:noWrap/>
            <w:hideMark/>
          </w:tcPr>
          <w:p w14:paraId="679ECD59"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0.0174</w:t>
            </w:r>
          </w:p>
        </w:tc>
        <w:tc>
          <w:tcPr>
            <w:tcW w:w="1050" w:type="dxa"/>
            <w:noWrap/>
            <w:hideMark/>
          </w:tcPr>
          <w:p w14:paraId="5238CA83"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0.000075</w:t>
            </w:r>
          </w:p>
        </w:tc>
        <w:tc>
          <w:tcPr>
            <w:tcW w:w="916" w:type="dxa"/>
            <w:noWrap/>
            <w:hideMark/>
          </w:tcPr>
          <w:p w14:paraId="67BDF51B"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0.216</w:t>
            </w:r>
          </w:p>
        </w:tc>
        <w:tc>
          <w:tcPr>
            <w:tcW w:w="1379" w:type="dxa"/>
            <w:noWrap/>
            <w:hideMark/>
          </w:tcPr>
          <w:p w14:paraId="7D70EDC3"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0.00204</w:t>
            </w:r>
          </w:p>
        </w:tc>
        <w:tc>
          <w:tcPr>
            <w:tcW w:w="1223" w:type="dxa"/>
            <w:noWrap/>
            <w:hideMark/>
          </w:tcPr>
          <w:p w14:paraId="705E53B0"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2.98E-09</w:t>
            </w:r>
          </w:p>
        </w:tc>
        <w:tc>
          <w:tcPr>
            <w:tcW w:w="1250" w:type="dxa"/>
            <w:noWrap/>
            <w:hideMark/>
          </w:tcPr>
          <w:p w14:paraId="6DBD7EE5"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0.00000038</w:t>
            </w:r>
          </w:p>
        </w:tc>
      </w:tr>
      <w:tr w:rsidR="00AC7F58" w:rsidRPr="00C21B42" w14:paraId="47579324" w14:textId="77777777" w:rsidTr="00E95822">
        <w:trPr>
          <w:trHeight w:val="259"/>
        </w:trPr>
        <w:tc>
          <w:tcPr>
            <w:cnfStyle w:val="001000000000" w:firstRow="0" w:lastRow="0" w:firstColumn="1" w:lastColumn="0" w:oddVBand="0" w:evenVBand="0" w:oddHBand="0" w:evenHBand="0" w:firstRowFirstColumn="0" w:firstRowLastColumn="0" w:lastRowFirstColumn="0" w:lastRowLastColumn="0"/>
            <w:tcW w:w="1420" w:type="dxa"/>
            <w:vMerge w:val="restart"/>
            <w:noWrap/>
            <w:hideMark/>
          </w:tcPr>
          <w:p w14:paraId="12069C1E" w14:textId="77777777" w:rsidR="00AC7F58" w:rsidRPr="00C21B42" w:rsidRDefault="00AC7F58" w:rsidP="00E95822">
            <w:pPr>
              <w:spacing w:line="276" w:lineRule="auto"/>
              <w:rPr>
                <w:rFonts w:ascii="Times New Roman" w:eastAsia="Times New Roman" w:hAnsi="Times New Roman" w:cs="Times New Roman"/>
              </w:rPr>
            </w:pPr>
            <w:r w:rsidRPr="00C21B42">
              <w:rPr>
                <w:rFonts w:ascii="Times New Roman" w:eastAsia="Times New Roman" w:hAnsi="Times New Roman" w:cs="Times New Roman"/>
              </w:rPr>
              <w:t>TIMP1</w:t>
            </w:r>
          </w:p>
          <w:p w14:paraId="229FD2C3"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68654E97" w14:textId="77777777" w:rsidR="00AC7F58" w:rsidRPr="00C21B42" w:rsidRDefault="00AC7F58" w:rsidP="00E958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rho</w:t>
            </w:r>
          </w:p>
        </w:tc>
        <w:tc>
          <w:tcPr>
            <w:tcW w:w="916" w:type="dxa"/>
            <w:noWrap/>
            <w:hideMark/>
          </w:tcPr>
          <w:p w14:paraId="1184E933"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0.109</w:t>
            </w:r>
          </w:p>
        </w:tc>
        <w:tc>
          <w:tcPr>
            <w:tcW w:w="1050" w:type="dxa"/>
            <w:noWrap/>
            <w:hideMark/>
          </w:tcPr>
          <w:p w14:paraId="32F3040C"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0.154</w:t>
            </w:r>
          </w:p>
        </w:tc>
        <w:tc>
          <w:tcPr>
            <w:tcW w:w="916" w:type="dxa"/>
            <w:noWrap/>
            <w:hideMark/>
          </w:tcPr>
          <w:p w14:paraId="2FEF14E1"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0.379</w:t>
            </w:r>
          </w:p>
        </w:tc>
        <w:tc>
          <w:tcPr>
            <w:tcW w:w="1379" w:type="dxa"/>
            <w:noWrap/>
            <w:hideMark/>
          </w:tcPr>
          <w:p w14:paraId="0200D163"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0.404</w:t>
            </w:r>
          </w:p>
        </w:tc>
        <w:tc>
          <w:tcPr>
            <w:tcW w:w="1223" w:type="dxa"/>
            <w:noWrap/>
            <w:hideMark/>
          </w:tcPr>
          <w:p w14:paraId="746D67AD"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0.396</w:t>
            </w:r>
          </w:p>
        </w:tc>
        <w:tc>
          <w:tcPr>
            <w:tcW w:w="1250" w:type="dxa"/>
            <w:noWrap/>
            <w:hideMark/>
          </w:tcPr>
          <w:p w14:paraId="242F5834"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0.338</w:t>
            </w:r>
          </w:p>
        </w:tc>
      </w:tr>
      <w:tr w:rsidR="00AC7F58" w:rsidRPr="00C21B42" w14:paraId="0CF87E81"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vMerge/>
            <w:noWrap/>
            <w:hideMark/>
          </w:tcPr>
          <w:p w14:paraId="05B4942A"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7BA4B8B1"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P-value</w:t>
            </w:r>
          </w:p>
        </w:tc>
        <w:tc>
          <w:tcPr>
            <w:tcW w:w="916" w:type="dxa"/>
            <w:noWrap/>
            <w:hideMark/>
          </w:tcPr>
          <w:p w14:paraId="794E494C"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0.155</w:t>
            </w:r>
          </w:p>
        </w:tc>
        <w:tc>
          <w:tcPr>
            <w:tcW w:w="1050" w:type="dxa"/>
            <w:noWrap/>
            <w:hideMark/>
          </w:tcPr>
          <w:p w14:paraId="4B5ED122"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0.0442</w:t>
            </w:r>
          </w:p>
        </w:tc>
        <w:tc>
          <w:tcPr>
            <w:tcW w:w="916" w:type="dxa"/>
            <w:noWrap/>
            <w:hideMark/>
          </w:tcPr>
          <w:p w14:paraId="0F89EE2E"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3.79E-07</w:t>
            </w:r>
          </w:p>
        </w:tc>
        <w:tc>
          <w:tcPr>
            <w:tcW w:w="1379" w:type="dxa"/>
            <w:noWrap/>
            <w:hideMark/>
          </w:tcPr>
          <w:p w14:paraId="3983129C"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4.21E-08</w:t>
            </w:r>
          </w:p>
        </w:tc>
        <w:tc>
          <w:tcPr>
            <w:tcW w:w="1223" w:type="dxa"/>
            <w:noWrap/>
            <w:hideMark/>
          </w:tcPr>
          <w:p w14:paraId="746DB17A"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8.13E-08</w:t>
            </w:r>
          </w:p>
        </w:tc>
        <w:tc>
          <w:tcPr>
            <w:tcW w:w="1250" w:type="dxa"/>
            <w:noWrap/>
            <w:hideMark/>
          </w:tcPr>
          <w:p w14:paraId="2F3E881D"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0.000006</w:t>
            </w:r>
          </w:p>
        </w:tc>
      </w:tr>
      <w:tr w:rsidR="00AC7F58" w:rsidRPr="00C21B42" w14:paraId="7B8665EC" w14:textId="77777777" w:rsidTr="00E95822">
        <w:trPr>
          <w:trHeight w:val="259"/>
        </w:trPr>
        <w:tc>
          <w:tcPr>
            <w:cnfStyle w:val="001000000000" w:firstRow="0" w:lastRow="0" w:firstColumn="1" w:lastColumn="0" w:oddVBand="0" w:evenVBand="0" w:oddHBand="0" w:evenHBand="0" w:firstRowFirstColumn="0" w:firstRowLastColumn="0" w:lastRowFirstColumn="0" w:lastRowLastColumn="0"/>
            <w:tcW w:w="1420" w:type="dxa"/>
            <w:vMerge w:val="restart"/>
            <w:noWrap/>
            <w:hideMark/>
          </w:tcPr>
          <w:p w14:paraId="3419D6A8" w14:textId="77777777" w:rsidR="00AC7F58" w:rsidRPr="00C21B42" w:rsidRDefault="00AC7F58" w:rsidP="00E95822">
            <w:pPr>
              <w:spacing w:line="276" w:lineRule="auto"/>
              <w:rPr>
                <w:rFonts w:ascii="Times New Roman" w:eastAsia="Times New Roman" w:hAnsi="Times New Roman" w:cs="Times New Roman"/>
              </w:rPr>
            </w:pPr>
            <w:r w:rsidRPr="00C21B42">
              <w:rPr>
                <w:rFonts w:ascii="Times New Roman" w:eastAsia="Times New Roman" w:hAnsi="Times New Roman" w:cs="Times New Roman"/>
              </w:rPr>
              <w:t>TNFRSF1A</w:t>
            </w:r>
          </w:p>
          <w:p w14:paraId="5E4CC2EC"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41DEB40C" w14:textId="77777777" w:rsidR="00AC7F58" w:rsidRPr="00C21B42" w:rsidRDefault="00AC7F58" w:rsidP="00E958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rho</w:t>
            </w:r>
          </w:p>
        </w:tc>
        <w:tc>
          <w:tcPr>
            <w:tcW w:w="916" w:type="dxa"/>
            <w:noWrap/>
            <w:hideMark/>
          </w:tcPr>
          <w:p w14:paraId="17AE01CF"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0.076</w:t>
            </w:r>
          </w:p>
        </w:tc>
        <w:tc>
          <w:tcPr>
            <w:tcW w:w="1050" w:type="dxa"/>
            <w:noWrap/>
            <w:hideMark/>
          </w:tcPr>
          <w:p w14:paraId="098826B0"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0.193</w:t>
            </w:r>
          </w:p>
        </w:tc>
        <w:tc>
          <w:tcPr>
            <w:tcW w:w="916" w:type="dxa"/>
            <w:noWrap/>
            <w:hideMark/>
          </w:tcPr>
          <w:p w14:paraId="4740E22A"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0.178</w:t>
            </w:r>
          </w:p>
        </w:tc>
        <w:tc>
          <w:tcPr>
            <w:tcW w:w="1379" w:type="dxa"/>
            <w:noWrap/>
            <w:hideMark/>
          </w:tcPr>
          <w:p w14:paraId="1F312FE4"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0.249</w:t>
            </w:r>
          </w:p>
        </w:tc>
        <w:tc>
          <w:tcPr>
            <w:tcW w:w="1223" w:type="dxa"/>
            <w:noWrap/>
            <w:hideMark/>
          </w:tcPr>
          <w:p w14:paraId="3D06EE02"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0.244</w:t>
            </w:r>
          </w:p>
        </w:tc>
        <w:tc>
          <w:tcPr>
            <w:tcW w:w="1250" w:type="dxa"/>
            <w:noWrap/>
            <w:hideMark/>
          </w:tcPr>
          <w:p w14:paraId="4DE594B3"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0.241</w:t>
            </w:r>
          </w:p>
        </w:tc>
      </w:tr>
      <w:tr w:rsidR="00AC7F58" w:rsidRPr="00C21B42" w14:paraId="478B63D2"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vMerge/>
            <w:noWrap/>
            <w:hideMark/>
          </w:tcPr>
          <w:p w14:paraId="6E011933"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3B30AD24"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P-value</w:t>
            </w:r>
          </w:p>
        </w:tc>
        <w:tc>
          <w:tcPr>
            <w:tcW w:w="916" w:type="dxa"/>
            <w:noWrap/>
            <w:hideMark/>
          </w:tcPr>
          <w:p w14:paraId="556F2268"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0.325</w:t>
            </w:r>
          </w:p>
        </w:tc>
        <w:tc>
          <w:tcPr>
            <w:tcW w:w="1050" w:type="dxa"/>
            <w:noWrap/>
            <w:hideMark/>
          </w:tcPr>
          <w:p w14:paraId="2387D1F0"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0.0112</w:t>
            </w:r>
          </w:p>
        </w:tc>
        <w:tc>
          <w:tcPr>
            <w:tcW w:w="916" w:type="dxa"/>
            <w:noWrap/>
            <w:hideMark/>
          </w:tcPr>
          <w:p w14:paraId="2C8DBC14"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0.0207</w:t>
            </w:r>
          </w:p>
        </w:tc>
        <w:tc>
          <w:tcPr>
            <w:tcW w:w="1379" w:type="dxa"/>
            <w:noWrap/>
            <w:hideMark/>
          </w:tcPr>
          <w:p w14:paraId="54752794"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0.00103</w:t>
            </w:r>
          </w:p>
        </w:tc>
        <w:tc>
          <w:tcPr>
            <w:tcW w:w="1223" w:type="dxa"/>
            <w:noWrap/>
            <w:hideMark/>
          </w:tcPr>
          <w:p w14:paraId="2D7C2A37"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0.00129</w:t>
            </w:r>
          </w:p>
        </w:tc>
        <w:tc>
          <w:tcPr>
            <w:tcW w:w="1250" w:type="dxa"/>
            <w:noWrap/>
            <w:hideMark/>
          </w:tcPr>
          <w:p w14:paraId="0F6C4478"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0.00148</w:t>
            </w:r>
          </w:p>
        </w:tc>
      </w:tr>
      <w:tr w:rsidR="00AC7F58" w:rsidRPr="00C21B42" w14:paraId="3FF5AC54" w14:textId="77777777" w:rsidTr="00E95822">
        <w:trPr>
          <w:trHeight w:val="259"/>
        </w:trPr>
        <w:tc>
          <w:tcPr>
            <w:cnfStyle w:val="001000000000" w:firstRow="0" w:lastRow="0" w:firstColumn="1" w:lastColumn="0" w:oddVBand="0" w:evenVBand="0" w:oddHBand="0" w:evenHBand="0" w:firstRowFirstColumn="0" w:firstRowLastColumn="0" w:lastRowFirstColumn="0" w:lastRowLastColumn="0"/>
            <w:tcW w:w="1420" w:type="dxa"/>
            <w:vMerge w:val="restart"/>
            <w:noWrap/>
            <w:hideMark/>
          </w:tcPr>
          <w:p w14:paraId="498139EB" w14:textId="77777777" w:rsidR="00AC7F58" w:rsidRPr="00C21B42" w:rsidRDefault="00AC7F58" w:rsidP="00E95822">
            <w:pPr>
              <w:spacing w:line="276" w:lineRule="auto"/>
              <w:rPr>
                <w:rFonts w:ascii="Times New Roman" w:eastAsia="Times New Roman" w:hAnsi="Times New Roman" w:cs="Times New Roman"/>
              </w:rPr>
            </w:pPr>
            <w:r w:rsidRPr="00C21B42">
              <w:rPr>
                <w:rFonts w:ascii="Times New Roman" w:eastAsia="Times New Roman" w:hAnsi="Times New Roman" w:cs="Times New Roman"/>
              </w:rPr>
              <w:t>TNFSF10</w:t>
            </w:r>
          </w:p>
          <w:p w14:paraId="7D97C2E9" w14:textId="77777777" w:rsidR="00AC7F58" w:rsidRPr="00C21B42" w:rsidRDefault="00AC7F58" w:rsidP="00E95822">
            <w:pPr>
              <w:spacing w:line="276" w:lineRule="auto"/>
              <w:rPr>
                <w:rFonts w:ascii="Times New Roman" w:eastAsia="Times New Roman" w:hAnsi="Times New Roman" w:cs="Times New Roman"/>
              </w:rPr>
            </w:pPr>
          </w:p>
        </w:tc>
        <w:tc>
          <w:tcPr>
            <w:tcW w:w="1198" w:type="dxa"/>
            <w:noWrap/>
            <w:hideMark/>
          </w:tcPr>
          <w:p w14:paraId="421D5CFB" w14:textId="77777777" w:rsidR="00AC7F58" w:rsidRPr="00C21B42" w:rsidRDefault="00AC7F58" w:rsidP="00E9582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rho</w:t>
            </w:r>
          </w:p>
        </w:tc>
        <w:tc>
          <w:tcPr>
            <w:tcW w:w="916" w:type="dxa"/>
            <w:noWrap/>
            <w:hideMark/>
          </w:tcPr>
          <w:p w14:paraId="7B84D83B"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0.226</w:t>
            </w:r>
          </w:p>
        </w:tc>
        <w:tc>
          <w:tcPr>
            <w:tcW w:w="1050" w:type="dxa"/>
            <w:noWrap/>
            <w:hideMark/>
          </w:tcPr>
          <w:p w14:paraId="3268417A"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0.34</w:t>
            </w:r>
          </w:p>
        </w:tc>
        <w:tc>
          <w:tcPr>
            <w:tcW w:w="916" w:type="dxa"/>
            <w:noWrap/>
            <w:hideMark/>
          </w:tcPr>
          <w:p w14:paraId="64A4AA7A"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0.204</w:t>
            </w:r>
          </w:p>
        </w:tc>
        <w:tc>
          <w:tcPr>
            <w:tcW w:w="1379" w:type="dxa"/>
            <w:noWrap/>
            <w:hideMark/>
          </w:tcPr>
          <w:p w14:paraId="1C2CFD43"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0.286</w:t>
            </w:r>
          </w:p>
        </w:tc>
        <w:tc>
          <w:tcPr>
            <w:tcW w:w="1223" w:type="dxa"/>
            <w:noWrap/>
            <w:hideMark/>
          </w:tcPr>
          <w:p w14:paraId="04FCBF3F"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0.474</w:t>
            </w:r>
          </w:p>
        </w:tc>
        <w:tc>
          <w:tcPr>
            <w:tcW w:w="1250" w:type="dxa"/>
            <w:noWrap/>
            <w:hideMark/>
          </w:tcPr>
          <w:p w14:paraId="6F41876F" w14:textId="77777777" w:rsidR="00AC7F58" w:rsidRPr="00C21B42" w:rsidRDefault="00AC7F58" w:rsidP="00E958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0.446</w:t>
            </w:r>
          </w:p>
        </w:tc>
      </w:tr>
      <w:tr w:rsidR="00AC7F58" w:rsidRPr="00C21B42" w14:paraId="4BC955C9"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20" w:type="dxa"/>
            <w:vMerge/>
            <w:noWrap/>
            <w:hideMark/>
          </w:tcPr>
          <w:p w14:paraId="4EE0E7DC" w14:textId="77777777" w:rsidR="00AC7F58" w:rsidRPr="00C21B42" w:rsidRDefault="00AC7F58" w:rsidP="00E95822">
            <w:pPr>
              <w:spacing w:line="276" w:lineRule="auto"/>
              <w:rPr>
                <w:rFonts w:ascii="Times New Roman" w:eastAsia="Times New Roman" w:hAnsi="Times New Roman" w:cs="Times New Roman"/>
                <w:b w:val="0"/>
                <w:bCs w:val="0"/>
              </w:rPr>
            </w:pPr>
          </w:p>
        </w:tc>
        <w:tc>
          <w:tcPr>
            <w:tcW w:w="1198" w:type="dxa"/>
            <w:noWrap/>
            <w:hideMark/>
          </w:tcPr>
          <w:p w14:paraId="252BB87E" w14:textId="77777777" w:rsidR="00AC7F58" w:rsidRPr="00C21B42" w:rsidRDefault="00AC7F58" w:rsidP="00E958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P-value</w:t>
            </w:r>
          </w:p>
        </w:tc>
        <w:tc>
          <w:tcPr>
            <w:tcW w:w="916" w:type="dxa"/>
            <w:noWrap/>
            <w:hideMark/>
          </w:tcPr>
          <w:p w14:paraId="19517DE3"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0.00297</w:t>
            </w:r>
          </w:p>
        </w:tc>
        <w:tc>
          <w:tcPr>
            <w:tcW w:w="1050" w:type="dxa"/>
            <w:noWrap/>
            <w:hideMark/>
          </w:tcPr>
          <w:p w14:paraId="66572536"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5.46E-06</w:t>
            </w:r>
          </w:p>
        </w:tc>
        <w:tc>
          <w:tcPr>
            <w:tcW w:w="916" w:type="dxa"/>
            <w:noWrap/>
            <w:hideMark/>
          </w:tcPr>
          <w:p w14:paraId="383B67DA"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0.00789</w:t>
            </w:r>
          </w:p>
        </w:tc>
        <w:tc>
          <w:tcPr>
            <w:tcW w:w="1379" w:type="dxa"/>
            <w:noWrap/>
            <w:hideMark/>
          </w:tcPr>
          <w:p w14:paraId="5A0BEADD"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0.000151</w:t>
            </w:r>
          </w:p>
        </w:tc>
        <w:tc>
          <w:tcPr>
            <w:tcW w:w="1223" w:type="dxa"/>
            <w:noWrap/>
            <w:hideMark/>
          </w:tcPr>
          <w:p w14:paraId="163E03DE"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5.65E-11</w:t>
            </w:r>
          </w:p>
        </w:tc>
        <w:tc>
          <w:tcPr>
            <w:tcW w:w="1250" w:type="dxa"/>
            <w:noWrap/>
            <w:hideMark/>
          </w:tcPr>
          <w:p w14:paraId="64271E7C" w14:textId="77777777" w:rsidR="00AC7F58" w:rsidRPr="00C21B42" w:rsidRDefault="00AC7F58" w:rsidP="00E958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1.01E-09</w:t>
            </w:r>
          </w:p>
        </w:tc>
      </w:tr>
    </w:tbl>
    <w:p w14:paraId="1AAC752E" w14:textId="77777777" w:rsidR="00E11FB4" w:rsidRDefault="00E11FB4" w:rsidP="00E11FB4"/>
    <w:p w14:paraId="3B8C026D" w14:textId="3428DBD6" w:rsidR="00E443F9" w:rsidRDefault="00190B63" w:rsidP="00190B63">
      <w:pPr>
        <w:tabs>
          <w:tab w:val="left" w:pos="3075"/>
        </w:tabs>
        <w:rPr>
          <w:rFonts w:ascii="Times New Roman" w:hAnsi="Times New Roman" w:cs="Times New Roman"/>
        </w:rPr>
      </w:pPr>
      <w:r>
        <w:rPr>
          <w:rFonts w:ascii="Times New Roman" w:hAnsi="Times New Roman" w:cs="Times New Roman"/>
        </w:rPr>
        <w:tab/>
      </w:r>
    </w:p>
    <w:p w14:paraId="2AE5CE4A" w14:textId="77777777" w:rsidR="00190B63" w:rsidRDefault="00190B63" w:rsidP="00190B63">
      <w:pPr>
        <w:tabs>
          <w:tab w:val="left" w:pos="3075"/>
        </w:tabs>
        <w:rPr>
          <w:rFonts w:ascii="Times New Roman" w:hAnsi="Times New Roman" w:cs="Times New Roman"/>
        </w:rPr>
      </w:pPr>
    </w:p>
    <w:p w14:paraId="4D95375A" w14:textId="77777777" w:rsidR="00190B63" w:rsidRDefault="00190B63" w:rsidP="00190B63">
      <w:pPr>
        <w:tabs>
          <w:tab w:val="left" w:pos="3075"/>
        </w:tabs>
        <w:rPr>
          <w:rFonts w:ascii="Times New Roman" w:hAnsi="Times New Roman" w:cs="Times New Roman"/>
        </w:rPr>
      </w:pPr>
    </w:p>
    <w:p w14:paraId="74B416EC" w14:textId="77777777" w:rsidR="00190B63" w:rsidRDefault="00190B63" w:rsidP="00190B63">
      <w:pPr>
        <w:tabs>
          <w:tab w:val="left" w:pos="3075"/>
        </w:tabs>
        <w:rPr>
          <w:rFonts w:ascii="Times New Roman" w:hAnsi="Times New Roman" w:cs="Times New Roman"/>
        </w:rPr>
      </w:pPr>
    </w:p>
    <w:p w14:paraId="40FAC666" w14:textId="77777777" w:rsidR="00190B63" w:rsidRPr="00C21B42" w:rsidRDefault="00190B63" w:rsidP="00190B63">
      <w:pPr>
        <w:tabs>
          <w:tab w:val="left" w:pos="3075"/>
        </w:tabs>
        <w:rPr>
          <w:rFonts w:ascii="Times New Roman" w:hAnsi="Times New Roman" w:cs="Times New Roman"/>
        </w:rPr>
      </w:pPr>
    </w:p>
    <w:tbl>
      <w:tblPr>
        <w:tblStyle w:val="GridTable1Light-Accent31"/>
        <w:tblW w:w="9463" w:type="dxa"/>
        <w:tblLook w:val="04A0" w:firstRow="1" w:lastRow="0" w:firstColumn="1" w:lastColumn="0" w:noHBand="0" w:noVBand="1"/>
      </w:tblPr>
      <w:tblGrid>
        <w:gridCol w:w="2419"/>
        <w:gridCol w:w="869"/>
        <w:gridCol w:w="910"/>
        <w:gridCol w:w="805"/>
        <w:gridCol w:w="805"/>
        <w:gridCol w:w="1142"/>
        <w:gridCol w:w="847"/>
        <w:gridCol w:w="974"/>
        <w:gridCol w:w="805"/>
      </w:tblGrid>
      <w:tr w:rsidR="00C87C27" w:rsidRPr="00C21B42" w14:paraId="0AF25FAB" w14:textId="77777777" w:rsidTr="00C87C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463" w:type="dxa"/>
            <w:gridSpan w:val="9"/>
            <w:noWrap/>
          </w:tcPr>
          <w:p w14:paraId="06411C96" w14:textId="4A06369A" w:rsidR="00C87C27" w:rsidRPr="00C21B42" w:rsidRDefault="00C87C27" w:rsidP="00C87C27">
            <w:pPr>
              <w:spacing w:after="160" w:line="259" w:lineRule="auto"/>
              <w:rPr>
                <w:rFonts w:ascii="Times New Roman" w:eastAsiaTheme="minorHAnsi" w:hAnsi="Times New Roman"/>
              </w:rPr>
            </w:pPr>
            <w:bookmarkStart w:id="45" w:name="_Hlk138424827"/>
            <w:r w:rsidRPr="00C21B42">
              <w:rPr>
                <w:rFonts w:ascii="Times New Roman" w:hAnsi="Times New Roman"/>
              </w:rPr>
              <w:lastRenderedPageBreak/>
              <w:t>Table S1</w:t>
            </w:r>
            <w:r w:rsidR="00B35B3A">
              <w:rPr>
                <w:rFonts w:ascii="Times New Roman" w:hAnsi="Times New Roman"/>
              </w:rPr>
              <w:t>1</w:t>
            </w:r>
            <w:r w:rsidR="004C6D28">
              <w:rPr>
                <w:rFonts w:ascii="Times New Roman" w:hAnsi="Times New Roman"/>
              </w:rPr>
              <w:t>.</w:t>
            </w:r>
            <w:r w:rsidR="00875B07">
              <w:rPr>
                <w:rFonts w:ascii="Times New Roman" w:hAnsi="Times New Roman"/>
              </w:rPr>
              <w:t xml:space="preserve"> </w:t>
            </w:r>
            <w:r w:rsidRPr="00C21B42">
              <w:rPr>
                <w:rFonts w:ascii="Times New Roman" w:hAnsi="Times New Roman"/>
              </w:rPr>
              <w:t xml:space="preserve"> </w:t>
            </w:r>
            <w:r w:rsidRPr="00C21B42">
              <w:rPr>
                <w:rFonts w:ascii="Times New Roman" w:hAnsi="Times New Roman"/>
                <w:b w:val="0"/>
                <w:bCs w:val="0"/>
              </w:rPr>
              <w:t>Docking/(binding affinity) scores (kcal/mol) between the proposed target genes/proteins (receptors) and top ordered 50 candidate drugs Out of 327).</w:t>
            </w:r>
            <w:bookmarkEnd w:id="45"/>
          </w:p>
        </w:tc>
      </w:tr>
      <w:tr w:rsidR="00C87C27" w:rsidRPr="00C21B42" w14:paraId="7B7924F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46418CF3"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 </w:t>
            </w:r>
          </w:p>
        </w:tc>
        <w:tc>
          <w:tcPr>
            <w:tcW w:w="893" w:type="dxa"/>
            <w:noWrap/>
            <w:hideMark/>
          </w:tcPr>
          <w:p w14:paraId="5BC910D4"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GAPDH</w:t>
            </w:r>
          </w:p>
        </w:tc>
        <w:tc>
          <w:tcPr>
            <w:tcW w:w="936" w:type="dxa"/>
            <w:noWrap/>
            <w:hideMark/>
          </w:tcPr>
          <w:p w14:paraId="4B978AF4"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TFAP2A</w:t>
            </w:r>
          </w:p>
        </w:tc>
        <w:tc>
          <w:tcPr>
            <w:tcW w:w="827" w:type="dxa"/>
            <w:noWrap/>
            <w:hideMark/>
          </w:tcPr>
          <w:p w14:paraId="0FBA88BD"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TIMP1</w:t>
            </w:r>
          </w:p>
        </w:tc>
        <w:tc>
          <w:tcPr>
            <w:tcW w:w="827" w:type="dxa"/>
            <w:noWrap/>
            <w:hideMark/>
          </w:tcPr>
          <w:p w14:paraId="021C62D3"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CASP1</w:t>
            </w:r>
          </w:p>
        </w:tc>
        <w:tc>
          <w:tcPr>
            <w:tcW w:w="1177" w:type="dxa"/>
            <w:noWrap/>
            <w:hideMark/>
          </w:tcPr>
          <w:p w14:paraId="1607F9EB"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TNFRSF1A</w:t>
            </w:r>
          </w:p>
        </w:tc>
        <w:tc>
          <w:tcPr>
            <w:tcW w:w="871" w:type="dxa"/>
            <w:noWrap/>
            <w:hideMark/>
          </w:tcPr>
          <w:p w14:paraId="4B0B67DE"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MYD88</w:t>
            </w:r>
          </w:p>
        </w:tc>
        <w:tc>
          <w:tcPr>
            <w:tcW w:w="1002" w:type="dxa"/>
            <w:noWrap/>
            <w:hideMark/>
          </w:tcPr>
          <w:p w14:paraId="0F9C82AC"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TNFSF10</w:t>
            </w:r>
          </w:p>
        </w:tc>
        <w:tc>
          <w:tcPr>
            <w:tcW w:w="827" w:type="dxa"/>
            <w:noWrap/>
            <w:hideMark/>
          </w:tcPr>
          <w:p w14:paraId="024DBDDB" w14:textId="77777777" w:rsidR="00C87C27" w:rsidRPr="00C21B42" w:rsidRDefault="00C87C27" w:rsidP="00C87C27">
            <w:pPr>
              <w:cnfStyle w:val="000000000000" w:firstRow="0" w:lastRow="0" w:firstColumn="0" w:lastColumn="0" w:oddVBand="0" w:evenVBand="0" w:oddHBand="0" w:evenHBand="0" w:firstRowFirstColumn="0" w:firstRowLastColumn="0" w:lastRowFirstColumn="0" w:lastRowLastColumn="0"/>
              <w:rPr>
                <w:rFonts w:ascii="Times New Roman" w:hAnsi="Times New Roman"/>
                <w:b/>
                <w:color w:val="000000"/>
                <w:sz w:val="18"/>
              </w:rPr>
            </w:pPr>
            <w:r w:rsidRPr="00C21B42">
              <w:rPr>
                <w:rFonts w:ascii="Times New Roman" w:hAnsi="Times New Roman"/>
                <w:b/>
                <w:color w:val="000000"/>
                <w:sz w:val="18"/>
              </w:rPr>
              <w:t>SP1</w:t>
            </w:r>
          </w:p>
        </w:tc>
      </w:tr>
      <w:tr w:rsidR="00C87C27" w:rsidRPr="00C21B42" w14:paraId="4793E6A4"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18C1097"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NVP.BHG712</w:t>
            </w:r>
          </w:p>
        </w:tc>
        <w:tc>
          <w:tcPr>
            <w:tcW w:w="893" w:type="dxa"/>
            <w:noWrap/>
            <w:hideMark/>
          </w:tcPr>
          <w:p w14:paraId="2565612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-10.1</w:t>
            </w:r>
          </w:p>
        </w:tc>
        <w:tc>
          <w:tcPr>
            <w:tcW w:w="936" w:type="dxa"/>
            <w:noWrap/>
            <w:hideMark/>
          </w:tcPr>
          <w:p w14:paraId="3D4DB99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-9.8</w:t>
            </w:r>
          </w:p>
        </w:tc>
        <w:tc>
          <w:tcPr>
            <w:tcW w:w="827" w:type="dxa"/>
            <w:noWrap/>
            <w:hideMark/>
          </w:tcPr>
          <w:p w14:paraId="69D693B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-9.8</w:t>
            </w:r>
          </w:p>
        </w:tc>
        <w:tc>
          <w:tcPr>
            <w:tcW w:w="827" w:type="dxa"/>
            <w:noWrap/>
            <w:hideMark/>
          </w:tcPr>
          <w:p w14:paraId="67ED27C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1177" w:type="dxa"/>
            <w:noWrap/>
            <w:hideMark/>
          </w:tcPr>
          <w:p w14:paraId="101C9AE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71" w:type="dxa"/>
            <w:noWrap/>
            <w:hideMark/>
          </w:tcPr>
          <w:p w14:paraId="3470131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-9.8</w:t>
            </w:r>
          </w:p>
        </w:tc>
        <w:tc>
          <w:tcPr>
            <w:tcW w:w="1002" w:type="dxa"/>
            <w:noWrap/>
            <w:hideMark/>
          </w:tcPr>
          <w:p w14:paraId="4A9964D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79BFA11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r>
      <w:tr w:rsidR="00C87C27" w:rsidRPr="00C21B42" w14:paraId="61BEE9C2"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0040204"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Irinotecan</w:t>
            </w:r>
          </w:p>
        </w:tc>
        <w:tc>
          <w:tcPr>
            <w:tcW w:w="893" w:type="dxa"/>
            <w:noWrap/>
            <w:hideMark/>
          </w:tcPr>
          <w:p w14:paraId="04CDFE2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-10.2</w:t>
            </w:r>
          </w:p>
        </w:tc>
        <w:tc>
          <w:tcPr>
            <w:tcW w:w="936" w:type="dxa"/>
            <w:noWrap/>
            <w:hideMark/>
          </w:tcPr>
          <w:p w14:paraId="6D9C594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-9.4</w:t>
            </w:r>
          </w:p>
        </w:tc>
        <w:tc>
          <w:tcPr>
            <w:tcW w:w="827" w:type="dxa"/>
            <w:noWrap/>
            <w:hideMark/>
          </w:tcPr>
          <w:p w14:paraId="22194E8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3FE6A68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1177" w:type="dxa"/>
            <w:noWrap/>
            <w:hideMark/>
          </w:tcPr>
          <w:p w14:paraId="0E8F4AD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71" w:type="dxa"/>
            <w:noWrap/>
            <w:hideMark/>
          </w:tcPr>
          <w:p w14:paraId="2A36934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1002" w:type="dxa"/>
            <w:noWrap/>
            <w:hideMark/>
          </w:tcPr>
          <w:p w14:paraId="0ABD436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27" w:type="dxa"/>
            <w:noWrap/>
            <w:hideMark/>
          </w:tcPr>
          <w:p w14:paraId="19D028E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r>
      <w:tr w:rsidR="00C87C27" w:rsidRPr="00C21B42" w14:paraId="0DED259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41A9343"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Timosaponin.AIII</w:t>
            </w:r>
          </w:p>
        </w:tc>
        <w:tc>
          <w:tcPr>
            <w:tcW w:w="893" w:type="dxa"/>
            <w:noWrap/>
            <w:hideMark/>
          </w:tcPr>
          <w:p w14:paraId="3A905EB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-10.3</w:t>
            </w:r>
          </w:p>
        </w:tc>
        <w:tc>
          <w:tcPr>
            <w:tcW w:w="936" w:type="dxa"/>
            <w:noWrap/>
            <w:hideMark/>
          </w:tcPr>
          <w:p w14:paraId="4F8F33A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43BC7F7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3172686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0D1CC49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71" w:type="dxa"/>
            <w:noWrap/>
            <w:hideMark/>
          </w:tcPr>
          <w:p w14:paraId="23AD8D2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1002" w:type="dxa"/>
            <w:noWrap/>
            <w:hideMark/>
          </w:tcPr>
          <w:p w14:paraId="540DA80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27" w:type="dxa"/>
            <w:noWrap/>
            <w:hideMark/>
          </w:tcPr>
          <w:p w14:paraId="2AF4D71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14E888F4"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DC7D238"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Linsitinib</w:t>
            </w:r>
          </w:p>
        </w:tc>
        <w:tc>
          <w:tcPr>
            <w:tcW w:w="893" w:type="dxa"/>
            <w:noWrap/>
            <w:hideMark/>
          </w:tcPr>
          <w:p w14:paraId="55D8894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936" w:type="dxa"/>
            <w:noWrap/>
            <w:hideMark/>
          </w:tcPr>
          <w:p w14:paraId="6F1862C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1593612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-9.8</w:t>
            </w:r>
          </w:p>
        </w:tc>
        <w:tc>
          <w:tcPr>
            <w:tcW w:w="827" w:type="dxa"/>
            <w:noWrap/>
            <w:hideMark/>
          </w:tcPr>
          <w:p w14:paraId="52024F8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1177" w:type="dxa"/>
            <w:noWrap/>
            <w:hideMark/>
          </w:tcPr>
          <w:p w14:paraId="3DB3049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17C4781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1002" w:type="dxa"/>
            <w:noWrap/>
            <w:hideMark/>
          </w:tcPr>
          <w:p w14:paraId="6740C72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27" w:type="dxa"/>
            <w:noWrap/>
            <w:hideMark/>
          </w:tcPr>
          <w:p w14:paraId="3B24FC1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r>
      <w:tr w:rsidR="00C87C27" w:rsidRPr="00C21B42" w14:paraId="461204B9"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7DAB6C2"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Herbacetin</w:t>
            </w:r>
          </w:p>
        </w:tc>
        <w:tc>
          <w:tcPr>
            <w:tcW w:w="893" w:type="dxa"/>
            <w:noWrap/>
            <w:hideMark/>
          </w:tcPr>
          <w:p w14:paraId="5CA1FA3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-9.7</w:t>
            </w:r>
          </w:p>
        </w:tc>
        <w:tc>
          <w:tcPr>
            <w:tcW w:w="936" w:type="dxa"/>
            <w:noWrap/>
            <w:hideMark/>
          </w:tcPr>
          <w:p w14:paraId="4D0892E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5CF884F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45125B9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1177" w:type="dxa"/>
            <w:noWrap/>
            <w:hideMark/>
          </w:tcPr>
          <w:p w14:paraId="6C50717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651ECD1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002" w:type="dxa"/>
            <w:noWrap/>
            <w:hideMark/>
          </w:tcPr>
          <w:p w14:paraId="69AF790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0BC2AA7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r>
      <w:tr w:rsidR="00C87C27" w:rsidRPr="00C21B42" w14:paraId="302F025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C4C0C37"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Gliquidone</w:t>
            </w:r>
          </w:p>
        </w:tc>
        <w:tc>
          <w:tcPr>
            <w:tcW w:w="893" w:type="dxa"/>
            <w:noWrap/>
            <w:hideMark/>
          </w:tcPr>
          <w:p w14:paraId="4C7D801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-8.9</w:t>
            </w:r>
          </w:p>
        </w:tc>
        <w:tc>
          <w:tcPr>
            <w:tcW w:w="936" w:type="dxa"/>
            <w:noWrap/>
            <w:hideMark/>
          </w:tcPr>
          <w:p w14:paraId="05A87BC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2BA05CD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827" w:type="dxa"/>
            <w:noWrap/>
            <w:hideMark/>
          </w:tcPr>
          <w:p w14:paraId="4215EFF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5EA353A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71" w:type="dxa"/>
            <w:noWrap/>
            <w:hideMark/>
          </w:tcPr>
          <w:p w14:paraId="3ACD431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002" w:type="dxa"/>
            <w:noWrap/>
            <w:hideMark/>
          </w:tcPr>
          <w:p w14:paraId="6F93111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27" w:type="dxa"/>
            <w:noWrap/>
            <w:hideMark/>
          </w:tcPr>
          <w:p w14:paraId="7803430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r>
      <w:tr w:rsidR="00C87C27" w:rsidRPr="00C21B42" w14:paraId="77DDF212"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6799043"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Momordin</w:t>
            </w:r>
          </w:p>
        </w:tc>
        <w:tc>
          <w:tcPr>
            <w:tcW w:w="893" w:type="dxa"/>
            <w:noWrap/>
            <w:hideMark/>
          </w:tcPr>
          <w:p w14:paraId="50A006D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936" w:type="dxa"/>
            <w:noWrap/>
            <w:hideMark/>
          </w:tcPr>
          <w:p w14:paraId="263388A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220D3B2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-8.9</w:t>
            </w:r>
          </w:p>
        </w:tc>
        <w:tc>
          <w:tcPr>
            <w:tcW w:w="827" w:type="dxa"/>
            <w:noWrap/>
            <w:hideMark/>
          </w:tcPr>
          <w:p w14:paraId="70A2A5D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1177" w:type="dxa"/>
            <w:noWrap/>
            <w:hideMark/>
          </w:tcPr>
          <w:p w14:paraId="2AC0700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71" w:type="dxa"/>
            <w:noWrap/>
            <w:hideMark/>
          </w:tcPr>
          <w:p w14:paraId="3395ED5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1002" w:type="dxa"/>
            <w:noWrap/>
            <w:hideMark/>
          </w:tcPr>
          <w:p w14:paraId="19BF230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27" w:type="dxa"/>
            <w:noWrap/>
            <w:hideMark/>
          </w:tcPr>
          <w:p w14:paraId="54AFD07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r>
      <w:tr w:rsidR="00C87C27" w:rsidRPr="00C21B42" w14:paraId="447AC0B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89C9241"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Olaparib</w:t>
            </w:r>
          </w:p>
        </w:tc>
        <w:tc>
          <w:tcPr>
            <w:tcW w:w="893" w:type="dxa"/>
            <w:noWrap/>
            <w:hideMark/>
          </w:tcPr>
          <w:p w14:paraId="49A388E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936" w:type="dxa"/>
            <w:noWrap/>
            <w:hideMark/>
          </w:tcPr>
          <w:p w14:paraId="21C6DB3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64D548D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-9.8</w:t>
            </w:r>
          </w:p>
        </w:tc>
        <w:tc>
          <w:tcPr>
            <w:tcW w:w="827" w:type="dxa"/>
            <w:noWrap/>
            <w:hideMark/>
          </w:tcPr>
          <w:p w14:paraId="6557405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177" w:type="dxa"/>
            <w:noWrap/>
            <w:hideMark/>
          </w:tcPr>
          <w:p w14:paraId="5F4CD95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223BE41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002" w:type="dxa"/>
            <w:noWrap/>
            <w:hideMark/>
          </w:tcPr>
          <w:p w14:paraId="6EA9D9E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27" w:type="dxa"/>
            <w:noWrap/>
            <w:hideMark/>
          </w:tcPr>
          <w:p w14:paraId="0519A92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r>
      <w:tr w:rsidR="00C87C27" w:rsidRPr="00C21B42" w14:paraId="194EA36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43F0E62"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Saponins</w:t>
            </w:r>
          </w:p>
        </w:tc>
        <w:tc>
          <w:tcPr>
            <w:tcW w:w="893" w:type="dxa"/>
            <w:noWrap/>
            <w:hideMark/>
          </w:tcPr>
          <w:p w14:paraId="7217956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0DCB550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4C8ABC3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0164A5A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177" w:type="dxa"/>
            <w:noWrap/>
            <w:hideMark/>
          </w:tcPr>
          <w:p w14:paraId="0D33358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0098872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7685E11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27" w:type="dxa"/>
            <w:noWrap/>
            <w:hideMark/>
          </w:tcPr>
          <w:p w14:paraId="0918D92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6A4DFCE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8DE724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CX5461</w:t>
            </w:r>
          </w:p>
        </w:tc>
        <w:tc>
          <w:tcPr>
            <w:tcW w:w="893" w:type="dxa"/>
            <w:noWrap/>
            <w:hideMark/>
          </w:tcPr>
          <w:p w14:paraId="08D3679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313AA6B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321A623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3935D5F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1177" w:type="dxa"/>
            <w:noWrap/>
            <w:hideMark/>
          </w:tcPr>
          <w:p w14:paraId="615ED26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871" w:type="dxa"/>
            <w:noWrap/>
            <w:hideMark/>
          </w:tcPr>
          <w:p w14:paraId="0DBA998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1002" w:type="dxa"/>
            <w:noWrap/>
            <w:hideMark/>
          </w:tcPr>
          <w:p w14:paraId="4AA191C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27" w:type="dxa"/>
            <w:noWrap/>
            <w:hideMark/>
          </w:tcPr>
          <w:p w14:paraId="3362A48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0812287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4CECC093"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Friedelin</w:t>
            </w:r>
          </w:p>
        </w:tc>
        <w:tc>
          <w:tcPr>
            <w:tcW w:w="893" w:type="dxa"/>
            <w:noWrap/>
            <w:hideMark/>
          </w:tcPr>
          <w:p w14:paraId="31A4B54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936" w:type="dxa"/>
            <w:noWrap/>
            <w:hideMark/>
          </w:tcPr>
          <w:p w14:paraId="16CA16A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61D45D5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2B0E77F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177" w:type="dxa"/>
            <w:noWrap/>
            <w:hideMark/>
          </w:tcPr>
          <w:p w14:paraId="651C83D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71" w:type="dxa"/>
            <w:noWrap/>
            <w:hideMark/>
          </w:tcPr>
          <w:p w14:paraId="11FA8B6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002" w:type="dxa"/>
            <w:noWrap/>
            <w:hideMark/>
          </w:tcPr>
          <w:p w14:paraId="53C3908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27" w:type="dxa"/>
            <w:noWrap/>
            <w:hideMark/>
          </w:tcPr>
          <w:p w14:paraId="108CE3F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r>
      <w:tr w:rsidR="00C87C27" w:rsidRPr="00C21B42" w14:paraId="710F884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BA622E2"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Saridegib</w:t>
            </w:r>
          </w:p>
        </w:tc>
        <w:tc>
          <w:tcPr>
            <w:tcW w:w="893" w:type="dxa"/>
            <w:noWrap/>
            <w:hideMark/>
          </w:tcPr>
          <w:p w14:paraId="6F951BE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936" w:type="dxa"/>
            <w:noWrap/>
            <w:hideMark/>
          </w:tcPr>
          <w:p w14:paraId="465C6B0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628293A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4666682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1177" w:type="dxa"/>
            <w:noWrap/>
            <w:hideMark/>
          </w:tcPr>
          <w:p w14:paraId="61B6396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71" w:type="dxa"/>
            <w:noWrap/>
            <w:hideMark/>
          </w:tcPr>
          <w:p w14:paraId="26C59FE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069344B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5ABF1ED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64D1D93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BEB1780"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Flavonoid</w:t>
            </w:r>
          </w:p>
        </w:tc>
        <w:tc>
          <w:tcPr>
            <w:tcW w:w="893" w:type="dxa"/>
            <w:noWrap/>
            <w:hideMark/>
          </w:tcPr>
          <w:p w14:paraId="04F18D4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936" w:type="dxa"/>
            <w:noWrap/>
            <w:hideMark/>
          </w:tcPr>
          <w:p w14:paraId="41C689E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78A649D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1E6AFFB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09E1D8A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3840E36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002" w:type="dxa"/>
            <w:noWrap/>
            <w:hideMark/>
          </w:tcPr>
          <w:p w14:paraId="2C606F0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0A9081D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r>
      <w:tr w:rsidR="00C87C27" w:rsidRPr="00C21B42" w14:paraId="72132E4F"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186F117"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Isoquinoline Alkaloid</w:t>
            </w:r>
          </w:p>
        </w:tc>
        <w:tc>
          <w:tcPr>
            <w:tcW w:w="893" w:type="dxa"/>
            <w:noWrap/>
            <w:hideMark/>
          </w:tcPr>
          <w:p w14:paraId="10DBDE9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5DF71B8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-9.4</w:t>
            </w:r>
          </w:p>
        </w:tc>
        <w:tc>
          <w:tcPr>
            <w:tcW w:w="827" w:type="dxa"/>
            <w:noWrap/>
            <w:hideMark/>
          </w:tcPr>
          <w:p w14:paraId="6BE7C74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27" w:type="dxa"/>
            <w:noWrap/>
            <w:hideMark/>
          </w:tcPr>
          <w:p w14:paraId="35D4182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1177" w:type="dxa"/>
            <w:noWrap/>
            <w:hideMark/>
          </w:tcPr>
          <w:p w14:paraId="24B0511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71" w:type="dxa"/>
            <w:noWrap/>
            <w:hideMark/>
          </w:tcPr>
          <w:p w14:paraId="1B23918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002" w:type="dxa"/>
            <w:noWrap/>
            <w:hideMark/>
          </w:tcPr>
          <w:p w14:paraId="3E93E94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4B680EF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5E47282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4E49451"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Bromocriptine</w:t>
            </w:r>
          </w:p>
        </w:tc>
        <w:tc>
          <w:tcPr>
            <w:tcW w:w="893" w:type="dxa"/>
            <w:noWrap/>
            <w:hideMark/>
          </w:tcPr>
          <w:p w14:paraId="301ADEF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936" w:type="dxa"/>
            <w:noWrap/>
            <w:hideMark/>
          </w:tcPr>
          <w:p w14:paraId="11E76C2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762D4BF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42C8323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177" w:type="dxa"/>
            <w:noWrap/>
            <w:hideMark/>
          </w:tcPr>
          <w:p w14:paraId="153B995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2A764FE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002" w:type="dxa"/>
            <w:noWrap/>
            <w:hideMark/>
          </w:tcPr>
          <w:p w14:paraId="17E4650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3005818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2EE50BEE"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ADB5F24"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Taraxasterol</w:t>
            </w:r>
          </w:p>
        </w:tc>
        <w:tc>
          <w:tcPr>
            <w:tcW w:w="893" w:type="dxa"/>
            <w:noWrap/>
            <w:hideMark/>
          </w:tcPr>
          <w:p w14:paraId="7CDDCA2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936" w:type="dxa"/>
            <w:noWrap/>
            <w:hideMark/>
          </w:tcPr>
          <w:p w14:paraId="63A157E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3FB5AD4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827" w:type="dxa"/>
            <w:noWrap/>
            <w:hideMark/>
          </w:tcPr>
          <w:p w14:paraId="37C65D4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1177" w:type="dxa"/>
            <w:noWrap/>
            <w:hideMark/>
          </w:tcPr>
          <w:p w14:paraId="4FF4713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6FA8F6D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1002" w:type="dxa"/>
            <w:noWrap/>
            <w:hideMark/>
          </w:tcPr>
          <w:p w14:paraId="4012937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23AFEB5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7DF74B83"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24076555"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Glimepiride</w:t>
            </w:r>
          </w:p>
        </w:tc>
        <w:tc>
          <w:tcPr>
            <w:tcW w:w="893" w:type="dxa"/>
            <w:noWrap/>
            <w:hideMark/>
          </w:tcPr>
          <w:p w14:paraId="4AC7266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936" w:type="dxa"/>
            <w:noWrap/>
            <w:hideMark/>
          </w:tcPr>
          <w:p w14:paraId="5518091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1620A30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7D19F7F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684A84B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871" w:type="dxa"/>
            <w:noWrap/>
            <w:hideMark/>
          </w:tcPr>
          <w:p w14:paraId="0DD22D2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002" w:type="dxa"/>
            <w:noWrap/>
            <w:hideMark/>
          </w:tcPr>
          <w:p w14:paraId="531A443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31B8148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35A49274"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318D8B4"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Taraxerone</w:t>
            </w:r>
          </w:p>
        </w:tc>
        <w:tc>
          <w:tcPr>
            <w:tcW w:w="893" w:type="dxa"/>
            <w:noWrap/>
            <w:hideMark/>
          </w:tcPr>
          <w:p w14:paraId="3B3E2B7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-9.5</w:t>
            </w:r>
          </w:p>
        </w:tc>
        <w:tc>
          <w:tcPr>
            <w:tcW w:w="936" w:type="dxa"/>
            <w:noWrap/>
            <w:hideMark/>
          </w:tcPr>
          <w:p w14:paraId="5B161EF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7AADCB8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7866F5C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1177" w:type="dxa"/>
            <w:noWrap/>
            <w:hideMark/>
          </w:tcPr>
          <w:p w14:paraId="20EFC26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71" w:type="dxa"/>
            <w:noWrap/>
            <w:hideMark/>
          </w:tcPr>
          <w:p w14:paraId="29021E5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002" w:type="dxa"/>
            <w:noWrap/>
            <w:hideMark/>
          </w:tcPr>
          <w:p w14:paraId="5153EF6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c>
          <w:tcPr>
            <w:tcW w:w="827" w:type="dxa"/>
            <w:noWrap/>
            <w:hideMark/>
          </w:tcPr>
          <w:p w14:paraId="1C1390B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44217A4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5934649"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Namide</w:t>
            </w:r>
          </w:p>
        </w:tc>
        <w:tc>
          <w:tcPr>
            <w:tcW w:w="893" w:type="dxa"/>
            <w:noWrap/>
            <w:hideMark/>
          </w:tcPr>
          <w:p w14:paraId="7DFBFF5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936" w:type="dxa"/>
            <w:noWrap/>
            <w:hideMark/>
          </w:tcPr>
          <w:p w14:paraId="477F758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7FCBF26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4E1EAAF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177" w:type="dxa"/>
            <w:noWrap/>
            <w:hideMark/>
          </w:tcPr>
          <w:p w14:paraId="099187E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871" w:type="dxa"/>
            <w:noWrap/>
            <w:hideMark/>
          </w:tcPr>
          <w:p w14:paraId="2F171E9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002" w:type="dxa"/>
            <w:noWrap/>
            <w:hideMark/>
          </w:tcPr>
          <w:p w14:paraId="24FCEB0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15D2696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0D871DE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35D50BC"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Navitoclax</w:t>
            </w:r>
          </w:p>
        </w:tc>
        <w:tc>
          <w:tcPr>
            <w:tcW w:w="893" w:type="dxa"/>
            <w:noWrap/>
            <w:hideMark/>
          </w:tcPr>
          <w:p w14:paraId="3DEF0CB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16C6DEA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6659A72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186D88B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3D2375C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71" w:type="dxa"/>
            <w:noWrap/>
            <w:hideMark/>
          </w:tcPr>
          <w:p w14:paraId="146A393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1002" w:type="dxa"/>
            <w:noWrap/>
            <w:hideMark/>
          </w:tcPr>
          <w:p w14:paraId="4A210E3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712AAEF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2148AB7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39347F1"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XL765</w:t>
            </w:r>
          </w:p>
        </w:tc>
        <w:tc>
          <w:tcPr>
            <w:tcW w:w="893" w:type="dxa"/>
            <w:noWrap/>
            <w:hideMark/>
          </w:tcPr>
          <w:p w14:paraId="143BA94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936" w:type="dxa"/>
            <w:noWrap/>
            <w:hideMark/>
          </w:tcPr>
          <w:p w14:paraId="4FDA535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05BB700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02C533A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1177" w:type="dxa"/>
            <w:noWrap/>
            <w:hideMark/>
          </w:tcPr>
          <w:p w14:paraId="625A69B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71" w:type="dxa"/>
            <w:noWrap/>
            <w:hideMark/>
          </w:tcPr>
          <w:p w14:paraId="4196CDE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1002" w:type="dxa"/>
            <w:noWrap/>
            <w:hideMark/>
          </w:tcPr>
          <w:p w14:paraId="5166E74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827" w:type="dxa"/>
            <w:noWrap/>
            <w:hideMark/>
          </w:tcPr>
          <w:p w14:paraId="73C32AA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r>
      <w:tr w:rsidR="00C87C27" w:rsidRPr="00C21B42" w14:paraId="17760C8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BE73A90"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Tinyatoxin</w:t>
            </w:r>
          </w:p>
        </w:tc>
        <w:tc>
          <w:tcPr>
            <w:tcW w:w="893" w:type="dxa"/>
            <w:noWrap/>
            <w:hideMark/>
          </w:tcPr>
          <w:p w14:paraId="70BE9EF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-9.6</w:t>
            </w:r>
          </w:p>
        </w:tc>
        <w:tc>
          <w:tcPr>
            <w:tcW w:w="936" w:type="dxa"/>
            <w:noWrap/>
            <w:hideMark/>
          </w:tcPr>
          <w:p w14:paraId="5BE494D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27" w:type="dxa"/>
            <w:noWrap/>
            <w:hideMark/>
          </w:tcPr>
          <w:p w14:paraId="6B2EB75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-9.5</w:t>
            </w:r>
          </w:p>
        </w:tc>
        <w:tc>
          <w:tcPr>
            <w:tcW w:w="827" w:type="dxa"/>
            <w:noWrap/>
            <w:hideMark/>
          </w:tcPr>
          <w:p w14:paraId="7A3DAB5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2AE36EA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71" w:type="dxa"/>
            <w:noWrap/>
            <w:hideMark/>
          </w:tcPr>
          <w:p w14:paraId="7218666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1002" w:type="dxa"/>
            <w:noWrap/>
            <w:hideMark/>
          </w:tcPr>
          <w:p w14:paraId="2D1DCC5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6B3626A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2B42F3F9"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26CC00BF"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GLP</w:t>
            </w:r>
          </w:p>
        </w:tc>
        <w:tc>
          <w:tcPr>
            <w:tcW w:w="893" w:type="dxa"/>
            <w:noWrap/>
            <w:hideMark/>
          </w:tcPr>
          <w:p w14:paraId="7B45677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-9.4</w:t>
            </w:r>
          </w:p>
        </w:tc>
        <w:tc>
          <w:tcPr>
            <w:tcW w:w="936" w:type="dxa"/>
            <w:noWrap/>
            <w:hideMark/>
          </w:tcPr>
          <w:p w14:paraId="309F366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66F6856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1A68898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1177" w:type="dxa"/>
            <w:noWrap/>
            <w:hideMark/>
          </w:tcPr>
          <w:p w14:paraId="3771A47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71" w:type="dxa"/>
            <w:noWrap/>
            <w:hideMark/>
          </w:tcPr>
          <w:p w14:paraId="1DC0271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002" w:type="dxa"/>
            <w:noWrap/>
            <w:hideMark/>
          </w:tcPr>
          <w:p w14:paraId="6FA7F1A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18EF314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r>
      <w:tr w:rsidR="00C87C27" w:rsidRPr="00C21B42" w14:paraId="446B1DE6"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4296563F"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Polysaccharides</w:t>
            </w:r>
          </w:p>
        </w:tc>
        <w:tc>
          <w:tcPr>
            <w:tcW w:w="893" w:type="dxa"/>
            <w:noWrap/>
            <w:hideMark/>
          </w:tcPr>
          <w:p w14:paraId="1C7790F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936" w:type="dxa"/>
            <w:noWrap/>
            <w:hideMark/>
          </w:tcPr>
          <w:p w14:paraId="32014B0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76A7B8E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1B6CAD8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1177" w:type="dxa"/>
            <w:noWrap/>
            <w:hideMark/>
          </w:tcPr>
          <w:p w14:paraId="334A4F4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71" w:type="dxa"/>
            <w:noWrap/>
            <w:hideMark/>
          </w:tcPr>
          <w:p w14:paraId="44D0A0A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1002" w:type="dxa"/>
            <w:noWrap/>
            <w:hideMark/>
          </w:tcPr>
          <w:p w14:paraId="12AFE72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27" w:type="dxa"/>
            <w:noWrap/>
            <w:hideMark/>
          </w:tcPr>
          <w:p w14:paraId="0144B89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02FF2BB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C66E99B"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Sirolimus</w:t>
            </w:r>
          </w:p>
        </w:tc>
        <w:tc>
          <w:tcPr>
            <w:tcW w:w="893" w:type="dxa"/>
            <w:noWrap/>
            <w:hideMark/>
          </w:tcPr>
          <w:p w14:paraId="731CB79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936" w:type="dxa"/>
            <w:noWrap/>
            <w:hideMark/>
          </w:tcPr>
          <w:p w14:paraId="2FBB5B3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-8.9</w:t>
            </w:r>
          </w:p>
        </w:tc>
        <w:tc>
          <w:tcPr>
            <w:tcW w:w="827" w:type="dxa"/>
            <w:noWrap/>
            <w:hideMark/>
          </w:tcPr>
          <w:p w14:paraId="41A64A1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2374D4F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1177" w:type="dxa"/>
            <w:noWrap/>
            <w:hideMark/>
          </w:tcPr>
          <w:p w14:paraId="541A7FD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71" w:type="dxa"/>
            <w:noWrap/>
            <w:hideMark/>
          </w:tcPr>
          <w:p w14:paraId="17A8185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1002" w:type="dxa"/>
            <w:noWrap/>
            <w:hideMark/>
          </w:tcPr>
          <w:p w14:paraId="26BB111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718B2B0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r>
      <w:tr w:rsidR="00C87C27" w:rsidRPr="00C21B42" w14:paraId="08C40B8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23D333F"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Cabozantinib</w:t>
            </w:r>
          </w:p>
        </w:tc>
        <w:tc>
          <w:tcPr>
            <w:tcW w:w="893" w:type="dxa"/>
            <w:noWrap/>
            <w:hideMark/>
          </w:tcPr>
          <w:p w14:paraId="50E3C5F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4D2E698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827" w:type="dxa"/>
            <w:noWrap/>
            <w:hideMark/>
          </w:tcPr>
          <w:p w14:paraId="0894116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336B70D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177" w:type="dxa"/>
            <w:noWrap/>
            <w:hideMark/>
          </w:tcPr>
          <w:p w14:paraId="3BD476D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71" w:type="dxa"/>
            <w:noWrap/>
            <w:hideMark/>
          </w:tcPr>
          <w:p w14:paraId="60E0F42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1002" w:type="dxa"/>
            <w:noWrap/>
            <w:hideMark/>
          </w:tcPr>
          <w:p w14:paraId="3104077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029E2A2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020187F4"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3FB59C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Glyburide</w:t>
            </w:r>
          </w:p>
        </w:tc>
        <w:tc>
          <w:tcPr>
            <w:tcW w:w="893" w:type="dxa"/>
            <w:noWrap/>
            <w:hideMark/>
          </w:tcPr>
          <w:p w14:paraId="3CB0951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936" w:type="dxa"/>
            <w:noWrap/>
            <w:hideMark/>
          </w:tcPr>
          <w:p w14:paraId="5D550B9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22AA977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27" w:type="dxa"/>
            <w:noWrap/>
            <w:hideMark/>
          </w:tcPr>
          <w:p w14:paraId="05809FF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3286BA3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71" w:type="dxa"/>
            <w:noWrap/>
            <w:hideMark/>
          </w:tcPr>
          <w:p w14:paraId="75A30C9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1002" w:type="dxa"/>
            <w:noWrap/>
            <w:hideMark/>
          </w:tcPr>
          <w:p w14:paraId="0B26448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561F18A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5AB6C73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FC9417C"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Alpha Amyrin</w:t>
            </w:r>
          </w:p>
        </w:tc>
        <w:tc>
          <w:tcPr>
            <w:tcW w:w="893" w:type="dxa"/>
            <w:noWrap/>
            <w:hideMark/>
          </w:tcPr>
          <w:p w14:paraId="36E1DB1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-8.9</w:t>
            </w:r>
          </w:p>
        </w:tc>
        <w:tc>
          <w:tcPr>
            <w:tcW w:w="936" w:type="dxa"/>
            <w:noWrap/>
            <w:hideMark/>
          </w:tcPr>
          <w:p w14:paraId="119FA05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-9.5</w:t>
            </w:r>
          </w:p>
        </w:tc>
        <w:tc>
          <w:tcPr>
            <w:tcW w:w="827" w:type="dxa"/>
            <w:noWrap/>
            <w:hideMark/>
          </w:tcPr>
          <w:p w14:paraId="33D6AA9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4D5AD77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1177" w:type="dxa"/>
            <w:noWrap/>
            <w:hideMark/>
          </w:tcPr>
          <w:p w14:paraId="3108D90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71" w:type="dxa"/>
            <w:noWrap/>
            <w:hideMark/>
          </w:tcPr>
          <w:p w14:paraId="3B7BCC5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175B392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27" w:type="dxa"/>
            <w:noWrap/>
            <w:hideMark/>
          </w:tcPr>
          <w:p w14:paraId="21ABE68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2DAA398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10484F5"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Withaferin A</w:t>
            </w:r>
          </w:p>
        </w:tc>
        <w:tc>
          <w:tcPr>
            <w:tcW w:w="893" w:type="dxa"/>
            <w:noWrap/>
            <w:hideMark/>
          </w:tcPr>
          <w:p w14:paraId="156D82E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2543678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25E6915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19616E8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49DACB7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69BBC56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002" w:type="dxa"/>
            <w:noWrap/>
            <w:hideMark/>
          </w:tcPr>
          <w:p w14:paraId="6390FD5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4C532B2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r>
      <w:tr w:rsidR="00C87C27" w:rsidRPr="00C21B42" w14:paraId="5DE53EAC"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66DADC8"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Sorafenib</w:t>
            </w:r>
          </w:p>
        </w:tc>
        <w:tc>
          <w:tcPr>
            <w:tcW w:w="893" w:type="dxa"/>
            <w:noWrap/>
            <w:hideMark/>
          </w:tcPr>
          <w:p w14:paraId="68B0C54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608CCC6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148A20D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827" w:type="dxa"/>
            <w:noWrap/>
            <w:hideMark/>
          </w:tcPr>
          <w:p w14:paraId="121AFCB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1177" w:type="dxa"/>
            <w:noWrap/>
            <w:hideMark/>
          </w:tcPr>
          <w:p w14:paraId="305E218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2638BCC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002" w:type="dxa"/>
            <w:noWrap/>
            <w:hideMark/>
          </w:tcPr>
          <w:p w14:paraId="69AE6FA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63FF8D8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0291315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EA22307"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Oleanoic Acid</w:t>
            </w:r>
          </w:p>
        </w:tc>
        <w:tc>
          <w:tcPr>
            <w:tcW w:w="893" w:type="dxa"/>
            <w:noWrap/>
            <w:hideMark/>
          </w:tcPr>
          <w:p w14:paraId="6D26958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-9.7</w:t>
            </w:r>
          </w:p>
        </w:tc>
        <w:tc>
          <w:tcPr>
            <w:tcW w:w="936" w:type="dxa"/>
            <w:noWrap/>
            <w:hideMark/>
          </w:tcPr>
          <w:p w14:paraId="7C42B7D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27" w:type="dxa"/>
            <w:noWrap/>
            <w:hideMark/>
          </w:tcPr>
          <w:p w14:paraId="26940A6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185ED92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1177" w:type="dxa"/>
            <w:noWrap/>
            <w:hideMark/>
          </w:tcPr>
          <w:p w14:paraId="09BE2DB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5FECE9A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1ECC5E2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214581C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1F5EB9F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71EECB1"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Silymarin</w:t>
            </w:r>
          </w:p>
        </w:tc>
        <w:tc>
          <w:tcPr>
            <w:tcW w:w="893" w:type="dxa"/>
            <w:noWrap/>
            <w:hideMark/>
          </w:tcPr>
          <w:p w14:paraId="186AEF1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5963E77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68B4192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-9.5</w:t>
            </w:r>
          </w:p>
        </w:tc>
        <w:tc>
          <w:tcPr>
            <w:tcW w:w="827" w:type="dxa"/>
            <w:noWrap/>
            <w:hideMark/>
          </w:tcPr>
          <w:p w14:paraId="60359AD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177" w:type="dxa"/>
            <w:noWrap/>
            <w:hideMark/>
          </w:tcPr>
          <w:p w14:paraId="0383559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6076A5D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c>
          <w:tcPr>
            <w:tcW w:w="1002" w:type="dxa"/>
            <w:noWrap/>
            <w:hideMark/>
          </w:tcPr>
          <w:p w14:paraId="42C5273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207E10F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0921F608"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010FC78"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Sonidegib</w:t>
            </w:r>
          </w:p>
        </w:tc>
        <w:tc>
          <w:tcPr>
            <w:tcW w:w="893" w:type="dxa"/>
            <w:noWrap/>
            <w:hideMark/>
          </w:tcPr>
          <w:p w14:paraId="76B242D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936" w:type="dxa"/>
            <w:noWrap/>
            <w:hideMark/>
          </w:tcPr>
          <w:p w14:paraId="2FBBE5C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566A3CC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44AAC7C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177" w:type="dxa"/>
            <w:noWrap/>
            <w:hideMark/>
          </w:tcPr>
          <w:p w14:paraId="66BF188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71" w:type="dxa"/>
            <w:noWrap/>
            <w:hideMark/>
          </w:tcPr>
          <w:p w14:paraId="4C1DAB5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002" w:type="dxa"/>
            <w:noWrap/>
            <w:hideMark/>
          </w:tcPr>
          <w:p w14:paraId="29432BC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10F459B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r>
      <w:tr w:rsidR="00C87C27" w:rsidRPr="00C21B42" w14:paraId="5B570CA8"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6E847C0"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Sennoside A</w:t>
            </w:r>
          </w:p>
        </w:tc>
        <w:tc>
          <w:tcPr>
            <w:tcW w:w="893" w:type="dxa"/>
            <w:noWrap/>
            <w:hideMark/>
          </w:tcPr>
          <w:p w14:paraId="48158F7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936" w:type="dxa"/>
            <w:noWrap/>
            <w:hideMark/>
          </w:tcPr>
          <w:p w14:paraId="7E2D34F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27561A8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2D43D65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1177" w:type="dxa"/>
            <w:noWrap/>
            <w:hideMark/>
          </w:tcPr>
          <w:p w14:paraId="1E830E7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24CEC7E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002" w:type="dxa"/>
            <w:noWrap/>
            <w:hideMark/>
          </w:tcPr>
          <w:p w14:paraId="2BD8504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27" w:type="dxa"/>
            <w:noWrap/>
            <w:hideMark/>
          </w:tcPr>
          <w:p w14:paraId="248D49D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r>
      <w:tr w:rsidR="00C87C27" w:rsidRPr="00C21B42" w14:paraId="323FDE7C"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58D686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Maslinic Acid</w:t>
            </w:r>
          </w:p>
        </w:tc>
        <w:tc>
          <w:tcPr>
            <w:tcW w:w="893" w:type="dxa"/>
            <w:noWrap/>
            <w:hideMark/>
          </w:tcPr>
          <w:p w14:paraId="0CEB8D1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936" w:type="dxa"/>
            <w:noWrap/>
            <w:hideMark/>
          </w:tcPr>
          <w:p w14:paraId="43916CD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27" w:type="dxa"/>
            <w:noWrap/>
            <w:hideMark/>
          </w:tcPr>
          <w:p w14:paraId="3D0A90F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27" w:type="dxa"/>
            <w:noWrap/>
            <w:hideMark/>
          </w:tcPr>
          <w:p w14:paraId="5968011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1177" w:type="dxa"/>
            <w:noWrap/>
            <w:hideMark/>
          </w:tcPr>
          <w:p w14:paraId="05FD988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71" w:type="dxa"/>
            <w:noWrap/>
            <w:hideMark/>
          </w:tcPr>
          <w:p w14:paraId="6CD16B7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002" w:type="dxa"/>
            <w:noWrap/>
            <w:hideMark/>
          </w:tcPr>
          <w:p w14:paraId="3914170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52C387D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r>
      <w:tr w:rsidR="00C87C27" w:rsidRPr="00C21B42" w14:paraId="15C6EF09"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7471389"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Ginsenoside Rg3</w:t>
            </w:r>
          </w:p>
        </w:tc>
        <w:tc>
          <w:tcPr>
            <w:tcW w:w="893" w:type="dxa"/>
            <w:noWrap/>
            <w:hideMark/>
          </w:tcPr>
          <w:p w14:paraId="5CC55C7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936" w:type="dxa"/>
            <w:noWrap/>
            <w:hideMark/>
          </w:tcPr>
          <w:p w14:paraId="1A79181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329D586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59548C6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1B9A4AD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71" w:type="dxa"/>
            <w:noWrap/>
            <w:hideMark/>
          </w:tcPr>
          <w:p w14:paraId="0935FFA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1002" w:type="dxa"/>
            <w:noWrap/>
            <w:hideMark/>
          </w:tcPr>
          <w:p w14:paraId="779CC86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54C146D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r>
      <w:tr w:rsidR="00C87C27" w:rsidRPr="00C21B42" w14:paraId="6FCFC8AC"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BCCF2B5"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Silibinin</w:t>
            </w:r>
          </w:p>
        </w:tc>
        <w:tc>
          <w:tcPr>
            <w:tcW w:w="893" w:type="dxa"/>
            <w:noWrap/>
            <w:hideMark/>
          </w:tcPr>
          <w:p w14:paraId="5087B35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936" w:type="dxa"/>
            <w:noWrap/>
            <w:hideMark/>
          </w:tcPr>
          <w:p w14:paraId="00F7E32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-8.9</w:t>
            </w:r>
          </w:p>
        </w:tc>
        <w:tc>
          <w:tcPr>
            <w:tcW w:w="827" w:type="dxa"/>
            <w:noWrap/>
            <w:hideMark/>
          </w:tcPr>
          <w:p w14:paraId="40D315A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827" w:type="dxa"/>
            <w:noWrap/>
            <w:hideMark/>
          </w:tcPr>
          <w:p w14:paraId="7CF1AAF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1177" w:type="dxa"/>
            <w:noWrap/>
            <w:hideMark/>
          </w:tcPr>
          <w:p w14:paraId="5E39879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6014C53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17DDA7E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c>
          <w:tcPr>
            <w:tcW w:w="827" w:type="dxa"/>
            <w:noWrap/>
            <w:hideMark/>
          </w:tcPr>
          <w:p w14:paraId="2D7EAD6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0C251659"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152506B"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Hesperidin</w:t>
            </w:r>
          </w:p>
        </w:tc>
        <w:tc>
          <w:tcPr>
            <w:tcW w:w="893" w:type="dxa"/>
            <w:noWrap/>
            <w:hideMark/>
          </w:tcPr>
          <w:p w14:paraId="1DE3DBE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936" w:type="dxa"/>
            <w:noWrap/>
            <w:hideMark/>
          </w:tcPr>
          <w:p w14:paraId="4979291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482ABD0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-9.5</w:t>
            </w:r>
          </w:p>
        </w:tc>
        <w:tc>
          <w:tcPr>
            <w:tcW w:w="827" w:type="dxa"/>
            <w:noWrap/>
            <w:hideMark/>
          </w:tcPr>
          <w:p w14:paraId="2AA1EB8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1177" w:type="dxa"/>
            <w:noWrap/>
            <w:hideMark/>
          </w:tcPr>
          <w:p w14:paraId="20D4EF1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23E5DBF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002" w:type="dxa"/>
            <w:noWrap/>
            <w:hideMark/>
          </w:tcPr>
          <w:p w14:paraId="44336D1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03EBE7B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r>
      <w:tr w:rsidR="00C87C27" w:rsidRPr="00C21B42" w14:paraId="29785E55"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5D71706" w14:textId="77777777" w:rsidR="00C87C27" w:rsidRPr="00C21B42" w:rsidRDefault="00C87C27" w:rsidP="00C87C27">
            <w:pPr>
              <w:rPr>
                <w:rFonts w:ascii="Times New Roman" w:hAnsi="Times New Roman"/>
                <w:color w:val="000000"/>
              </w:rPr>
            </w:pPr>
            <w:r w:rsidRPr="00C21B42">
              <w:rPr>
                <w:rFonts w:ascii="Times New Roman" w:hAnsi="Times New Roman"/>
                <w:color w:val="000000"/>
              </w:rPr>
              <w:lastRenderedPageBreak/>
              <w:t>Diosmin</w:t>
            </w:r>
          </w:p>
        </w:tc>
        <w:tc>
          <w:tcPr>
            <w:tcW w:w="893" w:type="dxa"/>
            <w:noWrap/>
            <w:hideMark/>
          </w:tcPr>
          <w:p w14:paraId="279AE79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936" w:type="dxa"/>
            <w:noWrap/>
            <w:hideMark/>
          </w:tcPr>
          <w:p w14:paraId="7CB4793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w:t>
            </w:r>
          </w:p>
        </w:tc>
        <w:tc>
          <w:tcPr>
            <w:tcW w:w="827" w:type="dxa"/>
            <w:noWrap/>
            <w:hideMark/>
          </w:tcPr>
          <w:p w14:paraId="329AB3C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73F0BFA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1177" w:type="dxa"/>
            <w:noWrap/>
            <w:hideMark/>
          </w:tcPr>
          <w:p w14:paraId="75F6218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71" w:type="dxa"/>
            <w:noWrap/>
            <w:hideMark/>
          </w:tcPr>
          <w:p w14:paraId="7E70C4D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002" w:type="dxa"/>
            <w:noWrap/>
            <w:hideMark/>
          </w:tcPr>
          <w:p w14:paraId="473CE1C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05AF19A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17F334C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9C7B8F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Tannin</w:t>
            </w:r>
          </w:p>
        </w:tc>
        <w:tc>
          <w:tcPr>
            <w:tcW w:w="893" w:type="dxa"/>
            <w:noWrap/>
            <w:hideMark/>
          </w:tcPr>
          <w:p w14:paraId="4E0FF6F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-9.7</w:t>
            </w:r>
          </w:p>
        </w:tc>
        <w:tc>
          <w:tcPr>
            <w:tcW w:w="936" w:type="dxa"/>
            <w:noWrap/>
            <w:hideMark/>
          </w:tcPr>
          <w:p w14:paraId="5582E2C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1944010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-9.4</w:t>
            </w:r>
          </w:p>
        </w:tc>
        <w:tc>
          <w:tcPr>
            <w:tcW w:w="827" w:type="dxa"/>
            <w:noWrap/>
            <w:hideMark/>
          </w:tcPr>
          <w:p w14:paraId="60E9587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177" w:type="dxa"/>
            <w:noWrap/>
            <w:hideMark/>
          </w:tcPr>
          <w:p w14:paraId="72F3BA0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71" w:type="dxa"/>
            <w:noWrap/>
            <w:hideMark/>
          </w:tcPr>
          <w:p w14:paraId="0B346E7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1002" w:type="dxa"/>
            <w:noWrap/>
            <w:hideMark/>
          </w:tcPr>
          <w:p w14:paraId="757FAA6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c>
          <w:tcPr>
            <w:tcW w:w="827" w:type="dxa"/>
            <w:noWrap/>
            <w:hideMark/>
          </w:tcPr>
          <w:p w14:paraId="3DB9B21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601D119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83D07F1"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Rutin</w:t>
            </w:r>
          </w:p>
        </w:tc>
        <w:tc>
          <w:tcPr>
            <w:tcW w:w="893" w:type="dxa"/>
            <w:noWrap/>
            <w:hideMark/>
          </w:tcPr>
          <w:p w14:paraId="08668B3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-9.6</w:t>
            </w:r>
          </w:p>
        </w:tc>
        <w:tc>
          <w:tcPr>
            <w:tcW w:w="936" w:type="dxa"/>
            <w:noWrap/>
            <w:hideMark/>
          </w:tcPr>
          <w:p w14:paraId="60F838B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2DA5907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43A4DF7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1177" w:type="dxa"/>
            <w:noWrap/>
            <w:hideMark/>
          </w:tcPr>
          <w:p w14:paraId="271E43E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71" w:type="dxa"/>
            <w:noWrap/>
            <w:hideMark/>
          </w:tcPr>
          <w:p w14:paraId="4F1EF28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002" w:type="dxa"/>
            <w:noWrap/>
            <w:hideMark/>
          </w:tcPr>
          <w:p w14:paraId="714B963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7BCF708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-6.2</w:t>
            </w:r>
          </w:p>
        </w:tc>
      </w:tr>
      <w:tr w:rsidR="00C87C27" w:rsidRPr="00C21B42" w14:paraId="77DA0452"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6395F6B"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Larotrectinib</w:t>
            </w:r>
          </w:p>
        </w:tc>
        <w:tc>
          <w:tcPr>
            <w:tcW w:w="893" w:type="dxa"/>
            <w:noWrap/>
            <w:hideMark/>
          </w:tcPr>
          <w:p w14:paraId="720E6C3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936" w:type="dxa"/>
            <w:noWrap/>
            <w:hideMark/>
          </w:tcPr>
          <w:p w14:paraId="2E5ADD8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6EF1C35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4BDF89A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59B12D4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7D22D38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002" w:type="dxa"/>
            <w:noWrap/>
            <w:hideMark/>
          </w:tcPr>
          <w:p w14:paraId="3C1AFBD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723BB6A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57C081F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1E4A2B9"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Dihydrosanguinarine</w:t>
            </w:r>
          </w:p>
        </w:tc>
        <w:tc>
          <w:tcPr>
            <w:tcW w:w="893" w:type="dxa"/>
            <w:noWrap/>
            <w:hideMark/>
          </w:tcPr>
          <w:p w14:paraId="3B433A1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936" w:type="dxa"/>
            <w:noWrap/>
            <w:hideMark/>
          </w:tcPr>
          <w:p w14:paraId="1D188EF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5231D8A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5D512B4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177" w:type="dxa"/>
            <w:noWrap/>
            <w:hideMark/>
          </w:tcPr>
          <w:p w14:paraId="0DF5130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0DE72EF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002" w:type="dxa"/>
            <w:noWrap/>
            <w:hideMark/>
          </w:tcPr>
          <w:p w14:paraId="79024BA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681DBBF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2DCF7E9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F45CF86"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Ursolic Acid</w:t>
            </w:r>
          </w:p>
        </w:tc>
        <w:tc>
          <w:tcPr>
            <w:tcW w:w="893" w:type="dxa"/>
            <w:noWrap/>
            <w:hideMark/>
          </w:tcPr>
          <w:p w14:paraId="0436FA6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-9.6</w:t>
            </w:r>
          </w:p>
        </w:tc>
        <w:tc>
          <w:tcPr>
            <w:tcW w:w="936" w:type="dxa"/>
            <w:noWrap/>
            <w:hideMark/>
          </w:tcPr>
          <w:p w14:paraId="4C31407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1884246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2074415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1177" w:type="dxa"/>
            <w:noWrap/>
            <w:hideMark/>
          </w:tcPr>
          <w:p w14:paraId="26FC08A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71" w:type="dxa"/>
            <w:noWrap/>
            <w:hideMark/>
          </w:tcPr>
          <w:p w14:paraId="2DE53BF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002" w:type="dxa"/>
            <w:noWrap/>
            <w:hideMark/>
          </w:tcPr>
          <w:p w14:paraId="4E3A8D9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37575E7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12D05CA6"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C38BA75"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Temsirolimus</w:t>
            </w:r>
          </w:p>
        </w:tc>
        <w:tc>
          <w:tcPr>
            <w:tcW w:w="893" w:type="dxa"/>
            <w:noWrap/>
            <w:hideMark/>
          </w:tcPr>
          <w:p w14:paraId="7755CC2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936" w:type="dxa"/>
            <w:noWrap/>
            <w:hideMark/>
          </w:tcPr>
          <w:p w14:paraId="3186EAF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27" w:type="dxa"/>
            <w:noWrap/>
            <w:hideMark/>
          </w:tcPr>
          <w:p w14:paraId="1FF0A8B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827" w:type="dxa"/>
            <w:noWrap/>
            <w:hideMark/>
          </w:tcPr>
          <w:p w14:paraId="6E85946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159A188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71" w:type="dxa"/>
            <w:noWrap/>
            <w:hideMark/>
          </w:tcPr>
          <w:p w14:paraId="53AC551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1002" w:type="dxa"/>
            <w:noWrap/>
            <w:hideMark/>
          </w:tcPr>
          <w:p w14:paraId="1549A0A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44A5418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r>
      <w:tr w:rsidR="00C87C27" w:rsidRPr="00C21B42" w14:paraId="669AFAE5"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E7EF60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Demethylpedalitin</w:t>
            </w:r>
          </w:p>
        </w:tc>
        <w:tc>
          <w:tcPr>
            <w:tcW w:w="893" w:type="dxa"/>
            <w:noWrap/>
            <w:hideMark/>
          </w:tcPr>
          <w:p w14:paraId="47B1BE2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-8.9</w:t>
            </w:r>
          </w:p>
        </w:tc>
        <w:tc>
          <w:tcPr>
            <w:tcW w:w="936" w:type="dxa"/>
            <w:noWrap/>
            <w:hideMark/>
          </w:tcPr>
          <w:p w14:paraId="08D8431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6B93C02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-9.3</w:t>
            </w:r>
          </w:p>
        </w:tc>
        <w:tc>
          <w:tcPr>
            <w:tcW w:w="827" w:type="dxa"/>
            <w:noWrap/>
            <w:hideMark/>
          </w:tcPr>
          <w:p w14:paraId="1E3F3B0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c>
          <w:tcPr>
            <w:tcW w:w="1177" w:type="dxa"/>
            <w:noWrap/>
            <w:hideMark/>
          </w:tcPr>
          <w:p w14:paraId="7AC7A76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586DCE9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1002" w:type="dxa"/>
            <w:noWrap/>
            <w:hideMark/>
          </w:tcPr>
          <w:p w14:paraId="079A7AB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4C61FFB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r>
      <w:tr w:rsidR="00C87C27" w:rsidRPr="00C21B42" w14:paraId="1CA07E9D"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2981BF9"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Tetrandrine</w:t>
            </w:r>
          </w:p>
        </w:tc>
        <w:tc>
          <w:tcPr>
            <w:tcW w:w="893" w:type="dxa"/>
            <w:noWrap/>
            <w:hideMark/>
          </w:tcPr>
          <w:p w14:paraId="0076182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936" w:type="dxa"/>
            <w:noWrap/>
            <w:hideMark/>
          </w:tcPr>
          <w:p w14:paraId="4D89F50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4088D08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5BB3991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1177" w:type="dxa"/>
            <w:noWrap/>
            <w:hideMark/>
          </w:tcPr>
          <w:p w14:paraId="1404D1F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17F8871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1002" w:type="dxa"/>
            <w:noWrap/>
            <w:hideMark/>
          </w:tcPr>
          <w:p w14:paraId="34634F5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60E7186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1736202F"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4261A49"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Itraconazole</w:t>
            </w:r>
          </w:p>
        </w:tc>
        <w:tc>
          <w:tcPr>
            <w:tcW w:w="893" w:type="dxa"/>
            <w:noWrap/>
            <w:hideMark/>
          </w:tcPr>
          <w:p w14:paraId="54CB46C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936" w:type="dxa"/>
            <w:noWrap/>
            <w:hideMark/>
          </w:tcPr>
          <w:p w14:paraId="1566F51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827" w:type="dxa"/>
            <w:noWrap/>
            <w:hideMark/>
          </w:tcPr>
          <w:p w14:paraId="29D65BE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27" w:type="dxa"/>
            <w:noWrap/>
            <w:hideMark/>
          </w:tcPr>
          <w:p w14:paraId="1F90D59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177" w:type="dxa"/>
            <w:noWrap/>
            <w:hideMark/>
          </w:tcPr>
          <w:p w14:paraId="125E8A1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4FE4BA2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-6.3</w:t>
            </w:r>
          </w:p>
        </w:tc>
        <w:tc>
          <w:tcPr>
            <w:tcW w:w="1002" w:type="dxa"/>
            <w:noWrap/>
            <w:hideMark/>
          </w:tcPr>
          <w:p w14:paraId="14C702B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31BF694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7F7C35BD"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127D73AF"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Canagliflozin</w:t>
            </w:r>
          </w:p>
        </w:tc>
        <w:tc>
          <w:tcPr>
            <w:tcW w:w="893" w:type="dxa"/>
            <w:noWrap/>
            <w:hideMark/>
          </w:tcPr>
          <w:p w14:paraId="71CBB46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936" w:type="dxa"/>
            <w:noWrap/>
            <w:hideMark/>
          </w:tcPr>
          <w:p w14:paraId="2ED587C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50C5959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470958B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177" w:type="dxa"/>
            <w:noWrap/>
            <w:hideMark/>
          </w:tcPr>
          <w:p w14:paraId="4C9E270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71" w:type="dxa"/>
            <w:noWrap/>
            <w:hideMark/>
          </w:tcPr>
          <w:p w14:paraId="6A4CCFC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002" w:type="dxa"/>
            <w:noWrap/>
            <w:hideMark/>
          </w:tcPr>
          <w:p w14:paraId="1FCBC5A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676A98F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191F1664"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B26A253"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Kolaviron</w:t>
            </w:r>
          </w:p>
        </w:tc>
        <w:tc>
          <w:tcPr>
            <w:tcW w:w="893" w:type="dxa"/>
            <w:noWrap/>
            <w:hideMark/>
          </w:tcPr>
          <w:p w14:paraId="742E1DF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936" w:type="dxa"/>
            <w:noWrap/>
            <w:hideMark/>
          </w:tcPr>
          <w:p w14:paraId="2841A34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79223E3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31B90F1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177" w:type="dxa"/>
            <w:noWrap/>
            <w:hideMark/>
          </w:tcPr>
          <w:p w14:paraId="2384697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871" w:type="dxa"/>
            <w:noWrap/>
            <w:hideMark/>
          </w:tcPr>
          <w:p w14:paraId="29CF46C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1002" w:type="dxa"/>
            <w:noWrap/>
            <w:hideMark/>
          </w:tcPr>
          <w:p w14:paraId="0FDB623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6E539F9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40D8B073"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8AAB166"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Lupeol</w:t>
            </w:r>
          </w:p>
        </w:tc>
        <w:tc>
          <w:tcPr>
            <w:tcW w:w="893" w:type="dxa"/>
            <w:noWrap/>
            <w:hideMark/>
          </w:tcPr>
          <w:p w14:paraId="2764834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936" w:type="dxa"/>
            <w:noWrap/>
            <w:hideMark/>
          </w:tcPr>
          <w:p w14:paraId="560DF45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827" w:type="dxa"/>
            <w:noWrap/>
            <w:hideMark/>
          </w:tcPr>
          <w:p w14:paraId="70649A5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-8.6</w:t>
            </w:r>
          </w:p>
        </w:tc>
        <w:tc>
          <w:tcPr>
            <w:tcW w:w="827" w:type="dxa"/>
            <w:noWrap/>
            <w:hideMark/>
          </w:tcPr>
          <w:p w14:paraId="5E82779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4E32B04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71" w:type="dxa"/>
            <w:noWrap/>
            <w:hideMark/>
          </w:tcPr>
          <w:p w14:paraId="09A248A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1002" w:type="dxa"/>
            <w:noWrap/>
            <w:hideMark/>
          </w:tcPr>
          <w:p w14:paraId="31C9D78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-6.2</w:t>
            </w:r>
          </w:p>
        </w:tc>
        <w:tc>
          <w:tcPr>
            <w:tcW w:w="827" w:type="dxa"/>
            <w:noWrap/>
            <w:hideMark/>
          </w:tcPr>
          <w:p w14:paraId="275D497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r>
      <w:tr w:rsidR="00C87C27" w:rsidRPr="00C21B42" w14:paraId="2862E26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53F61187"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Glycosides</w:t>
            </w:r>
          </w:p>
        </w:tc>
        <w:tc>
          <w:tcPr>
            <w:tcW w:w="893" w:type="dxa"/>
            <w:noWrap/>
            <w:hideMark/>
          </w:tcPr>
          <w:p w14:paraId="220B5B8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936" w:type="dxa"/>
            <w:noWrap/>
            <w:hideMark/>
          </w:tcPr>
          <w:p w14:paraId="28C2608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43FE97E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827" w:type="dxa"/>
            <w:noWrap/>
            <w:hideMark/>
          </w:tcPr>
          <w:p w14:paraId="19173A5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177" w:type="dxa"/>
            <w:noWrap/>
            <w:hideMark/>
          </w:tcPr>
          <w:p w14:paraId="2B26BE6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71" w:type="dxa"/>
            <w:noWrap/>
            <w:hideMark/>
          </w:tcPr>
          <w:p w14:paraId="08634D3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002" w:type="dxa"/>
            <w:noWrap/>
            <w:hideMark/>
          </w:tcPr>
          <w:p w14:paraId="6496CC2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27" w:type="dxa"/>
            <w:noWrap/>
            <w:hideMark/>
          </w:tcPr>
          <w:p w14:paraId="082256A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r>
      <w:tr w:rsidR="00C87C27" w:rsidRPr="00C21B42" w14:paraId="22106757"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494DA9D"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MK2206</w:t>
            </w:r>
          </w:p>
        </w:tc>
        <w:tc>
          <w:tcPr>
            <w:tcW w:w="893" w:type="dxa"/>
            <w:noWrap/>
            <w:hideMark/>
          </w:tcPr>
          <w:p w14:paraId="0D93BEA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936" w:type="dxa"/>
            <w:noWrap/>
            <w:hideMark/>
          </w:tcPr>
          <w:p w14:paraId="7805219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77E6AEC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67CB7A6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1177" w:type="dxa"/>
            <w:noWrap/>
            <w:hideMark/>
          </w:tcPr>
          <w:p w14:paraId="0424B71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c>
          <w:tcPr>
            <w:tcW w:w="871" w:type="dxa"/>
            <w:noWrap/>
            <w:hideMark/>
          </w:tcPr>
          <w:p w14:paraId="0F909AC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398E078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c>
          <w:tcPr>
            <w:tcW w:w="827" w:type="dxa"/>
            <w:noWrap/>
            <w:hideMark/>
          </w:tcPr>
          <w:p w14:paraId="18C393F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68275391"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A592AB4"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Apigenin7Glucoside</w:t>
            </w:r>
          </w:p>
        </w:tc>
        <w:tc>
          <w:tcPr>
            <w:tcW w:w="893" w:type="dxa"/>
            <w:noWrap/>
            <w:hideMark/>
          </w:tcPr>
          <w:p w14:paraId="79C81AC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-9.7</w:t>
            </w:r>
          </w:p>
        </w:tc>
        <w:tc>
          <w:tcPr>
            <w:tcW w:w="936" w:type="dxa"/>
            <w:noWrap/>
            <w:hideMark/>
          </w:tcPr>
          <w:p w14:paraId="0CB8008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09F9631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27" w:type="dxa"/>
            <w:noWrap/>
            <w:hideMark/>
          </w:tcPr>
          <w:p w14:paraId="3F5BECC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177" w:type="dxa"/>
            <w:noWrap/>
            <w:hideMark/>
          </w:tcPr>
          <w:p w14:paraId="4496A22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71" w:type="dxa"/>
            <w:noWrap/>
            <w:hideMark/>
          </w:tcPr>
          <w:p w14:paraId="61D847B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1002" w:type="dxa"/>
            <w:noWrap/>
            <w:hideMark/>
          </w:tcPr>
          <w:p w14:paraId="4143967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58EF1C8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556B060C"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47BDD5A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Astragaloside.IV</w:t>
            </w:r>
          </w:p>
        </w:tc>
        <w:tc>
          <w:tcPr>
            <w:tcW w:w="893" w:type="dxa"/>
            <w:noWrap/>
            <w:hideMark/>
          </w:tcPr>
          <w:p w14:paraId="58BABB7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936" w:type="dxa"/>
            <w:noWrap/>
            <w:hideMark/>
          </w:tcPr>
          <w:p w14:paraId="0EB7975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34365BF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24721D3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1177" w:type="dxa"/>
            <w:noWrap/>
            <w:hideMark/>
          </w:tcPr>
          <w:p w14:paraId="48D8B48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871" w:type="dxa"/>
            <w:noWrap/>
            <w:hideMark/>
          </w:tcPr>
          <w:p w14:paraId="3C938E0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c>
          <w:tcPr>
            <w:tcW w:w="1002" w:type="dxa"/>
            <w:noWrap/>
            <w:hideMark/>
          </w:tcPr>
          <w:p w14:paraId="03BD096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061E59E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-6.2</w:t>
            </w:r>
          </w:p>
        </w:tc>
      </w:tr>
      <w:tr w:rsidR="00C87C27" w:rsidRPr="00C21B42" w14:paraId="627B3FFD"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05D3D720"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Darglitazone</w:t>
            </w:r>
          </w:p>
        </w:tc>
        <w:tc>
          <w:tcPr>
            <w:tcW w:w="893" w:type="dxa"/>
            <w:noWrap/>
            <w:hideMark/>
          </w:tcPr>
          <w:p w14:paraId="2AF0952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936" w:type="dxa"/>
            <w:noWrap/>
            <w:hideMark/>
          </w:tcPr>
          <w:p w14:paraId="6A96F1A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3BC1708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0705E0B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1177" w:type="dxa"/>
            <w:noWrap/>
            <w:hideMark/>
          </w:tcPr>
          <w:p w14:paraId="078B0D9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71" w:type="dxa"/>
            <w:noWrap/>
            <w:hideMark/>
          </w:tcPr>
          <w:p w14:paraId="7C94773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1002" w:type="dxa"/>
            <w:noWrap/>
            <w:hideMark/>
          </w:tcPr>
          <w:p w14:paraId="66AFAA9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827" w:type="dxa"/>
            <w:noWrap/>
            <w:hideMark/>
          </w:tcPr>
          <w:p w14:paraId="7C3042A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r>
      <w:tr w:rsidR="00C87C27" w:rsidRPr="00C21B42" w14:paraId="6FE2B168"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2D52B609"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AlphaAmyrinAcetate</w:t>
            </w:r>
          </w:p>
        </w:tc>
        <w:tc>
          <w:tcPr>
            <w:tcW w:w="893" w:type="dxa"/>
            <w:noWrap/>
            <w:hideMark/>
          </w:tcPr>
          <w:p w14:paraId="591E4B0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936" w:type="dxa"/>
            <w:noWrap/>
            <w:hideMark/>
          </w:tcPr>
          <w:p w14:paraId="7A319B5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827" w:type="dxa"/>
            <w:noWrap/>
            <w:hideMark/>
          </w:tcPr>
          <w:p w14:paraId="5C2066B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621150B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1177" w:type="dxa"/>
            <w:noWrap/>
            <w:hideMark/>
          </w:tcPr>
          <w:p w14:paraId="4D52A5A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71" w:type="dxa"/>
            <w:noWrap/>
            <w:hideMark/>
          </w:tcPr>
          <w:p w14:paraId="76AA708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002" w:type="dxa"/>
            <w:noWrap/>
            <w:hideMark/>
          </w:tcPr>
          <w:p w14:paraId="03AAE77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c>
          <w:tcPr>
            <w:tcW w:w="827" w:type="dxa"/>
            <w:noWrap/>
            <w:hideMark/>
          </w:tcPr>
          <w:p w14:paraId="4E7EC1E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34E8308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6BCDCD6"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IsoangustoneA</w:t>
            </w:r>
          </w:p>
        </w:tc>
        <w:tc>
          <w:tcPr>
            <w:tcW w:w="893" w:type="dxa"/>
            <w:noWrap/>
            <w:hideMark/>
          </w:tcPr>
          <w:p w14:paraId="7670F9E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936" w:type="dxa"/>
            <w:noWrap/>
            <w:hideMark/>
          </w:tcPr>
          <w:p w14:paraId="672FC59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-8.5</w:t>
            </w:r>
          </w:p>
        </w:tc>
        <w:tc>
          <w:tcPr>
            <w:tcW w:w="827" w:type="dxa"/>
            <w:noWrap/>
            <w:hideMark/>
          </w:tcPr>
          <w:p w14:paraId="2EBB43C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-8.7</w:t>
            </w:r>
          </w:p>
        </w:tc>
        <w:tc>
          <w:tcPr>
            <w:tcW w:w="827" w:type="dxa"/>
            <w:noWrap/>
            <w:hideMark/>
          </w:tcPr>
          <w:p w14:paraId="6124566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1177" w:type="dxa"/>
            <w:noWrap/>
            <w:hideMark/>
          </w:tcPr>
          <w:p w14:paraId="4A12915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71" w:type="dxa"/>
            <w:noWrap/>
            <w:hideMark/>
          </w:tcPr>
          <w:p w14:paraId="455EA91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1002" w:type="dxa"/>
            <w:noWrap/>
            <w:hideMark/>
          </w:tcPr>
          <w:p w14:paraId="5B89EC8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5544366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6F9ED2E9"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4A9AE22B"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Lupen.3.one</w:t>
            </w:r>
          </w:p>
        </w:tc>
        <w:tc>
          <w:tcPr>
            <w:tcW w:w="893" w:type="dxa"/>
            <w:noWrap/>
            <w:hideMark/>
          </w:tcPr>
          <w:p w14:paraId="32E362C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936" w:type="dxa"/>
            <w:noWrap/>
            <w:hideMark/>
          </w:tcPr>
          <w:p w14:paraId="5850B63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-9.2</w:t>
            </w:r>
          </w:p>
        </w:tc>
        <w:tc>
          <w:tcPr>
            <w:tcW w:w="827" w:type="dxa"/>
            <w:noWrap/>
            <w:hideMark/>
          </w:tcPr>
          <w:p w14:paraId="2B6A707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27" w:type="dxa"/>
            <w:noWrap/>
            <w:hideMark/>
          </w:tcPr>
          <w:p w14:paraId="2D691F9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1177" w:type="dxa"/>
            <w:noWrap/>
            <w:hideMark/>
          </w:tcPr>
          <w:p w14:paraId="34EE54C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871" w:type="dxa"/>
            <w:noWrap/>
            <w:hideMark/>
          </w:tcPr>
          <w:p w14:paraId="3636229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1002" w:type="dxa"/>
            <w:noWrap/>
            <w:hideMark/>
          </w:tcPr>
          <w:p w14:paraId="55DACB3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-6.1</w:t>
            </w:r>
          </w:p>
        </w:tc>
        <w:tc>
          <w:tcPr>
            <w:tcW w:w="827" w:type="dxa"/>
            <w:noWrap/>
            <w:hideMark/>
          </w:tcPr>
          <w:p w14:paraId="45B298D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r>
      <w:tr w:rsidR="00C87C27" w:rsidRPr="00C21B42" w14:paraId="65D1AFE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B0E2E2E"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Luteolin.7.o.glucoside</w:t>
            </w:r>
          </w:p>
        </w:tc>
        <w:tc>
          <w:tcPr>
            <w:tcW w:w="893" w:type="dxa"/>
            <w:noWrap/>
            <w:hideMark/>
          </w:tcPr>
          <w:p w14:paraId="2A0E662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-9.6</w:t>
            </w:r>
          </w:p>
        </w:tc>
        <w:tc>
          <w:tcPr>
            <w:tcW w:w="936" w:type="dxa"/>
            <w:noWrap/>
            <w:hideMark/>
          </w:tcPr>
          <w:p w14:paraId="05722FB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089DBD9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827" w:type="dxa"/>
            <w:noWrap/>
            <w:hideMark/>
          </w:tcPr>
          <w:p w14:paraId="267E836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c>
          <w:tcPr>
            <w:tcW w:w="1177" w:type="dxa"/>
            <w:noWrap/>
            <w:hideMark/>
          </w:tcPr>
          <w:p w14:paraId="5E84A9F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71" w:type="dxa"/>
            <w:noWrap/>
            <w:hideMark/>
          </w:tcPr>
          <w:p w14:paraId="2279398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1002" w:type="dxa"/>
            <w:noWrap/>
            <w:hideMark/>
          </w:tcPr>
          <w:p w14:paraId="1F9FDC5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c>
          <w:tcPr>
            <w:tcW w:w="827" w:type="dxa"/>
            <w:noWrap/>
            <w:hideMark/>
          </w:tcPr>
          <w:p w14:paraId="52D58EB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r>
      <w:tr w:rsidR="00C87C27" w:rsidRPr="00C21B42" w14:paraId="3D9037C2"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8569A3F"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Acacetin</w:t>
            </w:r>
          </w:p>
        </w:tc>
        <w:tc>
          <w:tcPr>
            <w:tcW w:w="893" w:type="dxa"/>
            <w:noWrap/>
            <w:hideMark/>
          </w:tcPr>
          <w:p w14:paraId="6D682E7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936" w:type="dxa"/>
            <w:noWrap/>
            <w:hideMark/>
          </w:tcPr>
          <w:p w14:paraId="50CC55D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4A04F5B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3B5234B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c>
          <w:tcPr>
            <w:tcW w:w="1177" w:type="dxa"/>
            <w:noWrap/>
            <w:hideMark/>
          </w:tcPr>
          <w:p w14:paraId="5BBCE07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c>
          <w:tcPr>
            <w:tcW w:w="871" w:type="dxa"/>
            <w:noWrap/>
            <w:hideMark/>
          </w:tcPr>
          <w:p w14:paraId="77FB1CF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002" w:type="dxa"/>
            <w:noWrap/>
            <w:hideMark/>
          </w:tcPr>
          <w:p w14:paraId="7793790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-6.5</w:t>
            </w:r>
          </w:p>
        </w:tc>
        <w:tc>
          <w:tcPr>
            <w:tcW w:w="827" w:type="dxa"/>
            <w:noWrap/>
            <w:hideMark/>
          </w:tcPr>
          <w:p w14:paraId="6F98375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r>
      <w:tr w:rsidR="00C87C27" w:rsidRPr="00C21B42" w14:paraId="696DF963"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0B7F301"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Isaglitazone</w:t>
            </w:r>
          </w:p>
        </w:tc>
        <w:tc>
          <w:tcPr>
            <w:tcW w:w="893" w:type="dxa"/>
            <w:noWrap/>
            <w:hideMark/>
          </w:tcPr>
          <w:p w14:paraId="0BF24BE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-8.3</w:t>
            </w:r>
          </w:p>
        </w:tc>
        <w:tc>
          <w:tcPr>
            <w:tcW w:w="936" w:type="dxa"/>
            <w:noWrap/>
            <w:hideMark/>
          </w:tcPr>
          <w:p w14:paraId="69577F6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-8.1</w:t>
            </w:r>
          </w:p>
        </w:tc>
        <w:tc>
          <w:tcPr>
            <w:tcW w:w="827" w:type="dxa"/>
            <w:noWrap/>
            <w:hideMark/>
          </w:tcPr>
          <w:p w14:paraId="5CBFE7D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492CFC6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1177" w:type="dxa"/>
            <w:noWrap/>
            <w:hideMark/>
          </w:tcPr>
          <w:p w14:paraId="5DDB5C6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871" w:type="dxa"/>
            <w:noWrap/>
            <w:hideMark/>
          </w:tcPr>
          <w:p w14:paraId="4374874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-7.6</w:t>
            </w:r>
          </w:p>
        </w:tc>
        <w:tc>
          <w:tcPr>
            <w:tcW w:w="1002" w:type="dxa"/>
            <w:noWrap/>
            <w:hideMark/>
          </w:tcPr>
          <w:p w14:paraId="6875860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c>
          <w:tcPr>
            <w:tcW w:w="827" w:type="dxa"/>
            <w:noWrap/>
            <w:hideMark/>
          </w:tcPr>
          <w:p w14:paraId="7FA49ED3"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r>
      <w:tr w:rsidR="00C87C27" w:rsidRPr="00C21B42" w14:paraId="0D85DBFE"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3B054B2B"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Troglitazone</w:t>
            </w:r>
          </w:p>
        </w:tc>
        <w:tc>
          <w:tcPr>
            <w:tcW w:w="893" w:type="dxa"/>
            <w:noWrap/>
            <w:hideMark/>
          </w:tcPr>
          <w:p w14:paraId="5521824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-9.1</w:t>
            </w:r>
          </w:p>
        </w:tc>
        <w:tc>
          <w:tcPr>
            <w:tcW w:w="936" w:type="dxa"/>
            <w:noWrap/>
            <w:hideMark/>
          </w:tcPr>
          <w:p w14:paraId="019050A4"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18724B7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27" w:type="dxa"/>
            <w:noWrap/>
            <w:hideMark/>
          </w:tcPr>
          <w:p w14:paraId="73C4F9C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1177" w:type="dxa"/>
            <w:noWrap/>
            <w:hideMark/>
          </w:tcPr>
          <w:p w14:paraId="66B02B5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71" w:type="dxa"/>
            <w:noWrap/>
            <w:hideMark/>
          </w:tcPr>
          <w:p w14:paraId="0F7A8BA2"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-7.3</w:t>
            </w:r>
          </w:p>
        </w:tc>
        <w:tc>
          <w:tcPr>
            <w:tcW w:w="1002" w:type="dxa"/>
            <w:noWrap/>
            <w:hideMark/>
          </w:tcPr>
          <w:p w14:paraId="6B4B8B1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-6.1</w:t>
            </w:r>
          </w:p>
        </w:tc>
        <w:tc>
          <w:tcPr>
            <w:tcW w:w="827" w:type="dxa"/>
            <w:noWrap/>
            <w:hideMark/>
          </w:tcPr>
          <w:p w14:paraId="4C239E8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-6.4</w:t>
            </w:r>
          </w:p>
        </w:tc>
      </w:tr>
      <w:tr w:rsidR="00C87C27" w:rsidRPr="00C21B42" w14:paraId="4AD67C4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63555A2A"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IsorhamnetinRutinoside</w:t>
            </w:r>
          </w:p>
        </w:tc>
        <w:tc>
          <w:tcPr>
            <w:tcW w:w="893" w:type="dxa"/>
            <w:noWrap/>
            <w:hideMark/>
          </w:tcPr>
          <w:p w14:paraId="5C70F49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-8.8</w:t>
            </w:r>
          </w:p>
        </w:tc>
        <w:tc>
          <w:tcPr>
            <w:tcW w:w="936" w:type="dxa"/>
            <w:noWrap/>
            <w:hideMark/>
          </w:tcPr>
          <w:p w14:paraId="746538C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6A40DD6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827" w:type="dxa"/>
            <w:noWrap/>
            <w:hideMark/>
          </w:tcPr>
          <w:p w14:paraId="557B670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177" w:type="dxa"/>
            <w:noWrap/>
            <w:hideMark/>
          </w:tcPr>
          <w:p w14:paraId="7A2D505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871" w:type="dxa"/>
            <w:noWrap/>
            <w:hideMark/>
          </w:tcPr>
          <w:p w14:paraId="3770D62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c>
          <w:tcPr>
            <w:tcW w:w="1002" w:type="dxa"/>
            <w:noWrap/>
            <w:hideMark/>
          </w:tcPr>
          <w:p w14:paraId="7ED566D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-6.7</w:t>
            </w:r>
          </w:p>
        </w:tc>
        <w:tc>
          <w:tcPr>
            <w:tcW w:w="827" w:type="dxa"/>
            <w:noWrap/>
            <w:hideMark/>
          </w:tcPr>
          <w:p w14:paraId="5BD6646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r>
      <w:tr w:rsidR="00C87C27" w:rsidRPr="00C21B42" w14:paraId="314211BA"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216AF78E"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Glipizide</w:t>
            </w:r>
          </w:p>
        </w:tc>
        <w:tc>
          <w:tcPr>
            <w:tcW w:w="893" w:type="dxa"/>
            <w:noWrap/>
            <w:hideMark/>
          </w:tcPr>
          <w:p w14:paraId="1FA7BFCE"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-8.2</w:t>
            </w:r>
          </w:p>
        </w:tc>
        <w:tc>
          <w:tcPr>
            <w:tcW w:w="936" w:type="dxa"/>
            <w:noWrap/>
            <w:hideMark/>
          </w:tcPr>
          <w:p w14:paraId="017604A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279E153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-7.8</w:t>
            </w:r>
          </w:p>
        </w:tc>
        <w:tc>
          <w:tcPr>
            <w:tcW w:w="827" w:type="dxa"/>
            <w:noWrap/>
            <w:hideMark/>
          </w:tcPr>
          <w:p w14:paraId="76A10445"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1177" w:type="dxa"/>
            <w:noWrap/>
            <w:hideMark/>
          </w:tcPr>
          <w:p w14:paraId="1A2DCB3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71" w:type="dxa"/>
            <w:noWrap/>
            <w:hideMark/>
          </w:tcPr>
          <w:p w14:paraId="69DA77E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002" w:type="dxa"/>
            <w:noWrap/>
            <w:hideMark/>
          </w:tcPr>
          <w:p w14:paraId="7D3731E8"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827" w:type="dxa"/>
            <w:noWrap/>
            <w:hideMark/>
          </w:tcPr>
          <w:p w14:paraId="498292AF"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-6.6</w:t>
            </w:r>
          </w:p>
        </w:tc>
      </w:tr>
      <w:tr w:rsidR="00C87C27" w:rsidRPr="00C21B42" w14:paraId="2C52BC5B"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4EAED15B"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Wogonin</w:t>
            </w:r>
          </w:p>
        </w:tc>
        <w:tc>
          <w:tcPr>
            <w:tcW w:w="893" w:type="dxa"/>
            <w:noWrap/>
            <w:hideMark/>
          </w:tcPr>
          <w:p w14:paraId="23A2602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936" w:type="dxa"/>
            <w:noWrap/>
            <w:hideMark/>
          </w:tcPr>
          <w:p w14:paraId="274FBF0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-8.4</w:t>
            </w:r>
          </w:p>
        </w:tc>
        <w:tc>
          <w:tcPr>
            <w:tcW w:w="827" w:type="dxa"/>
            <w:noWrap/>
            <w:hideMark/>
          </w:tcPr>
          <w:p w14:paraId="3960BAA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827" w:type="dxa"/>
            <w:noWrap/>
            <w:hideMark/>
          </w:tcPr>
          <w:p w14:paraId="4EE642BB"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1177" w:type="dxa"/>
            <w:noWrap/>
            <w:hideMark/>
          </w:tcPr>
          <w:p w14:paraId="729AEF8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871" w:type="dxa"/>
            <w:noWrap/>
            <w:hideMark/>
          </w:tcPr>
          <w:p w14:paraId="3CE2ED19"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w:t>
            </w:r>
          </w:p>
        </w:tc>
        <w:tc>
          <w:tcPr>
            <w:tcW w:w="1002" w:type="dxa"/>
            <w:noWrap/>
            <w:hideMark/>
          </w:tcPr>
          <w:p w14:paraId="68AEABA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-6.9</w:t>
            </w:r>
          </w:p>
        </w:tc>
        <w:tc>
          <w:tcPr>
            <w:tcW w:w="827" w:type="dxa"/>
            <w:noWrap/>
            <w:hideMark/>
          </w:tcPr>
          <w:p w14:paraId="0FFB0746"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-7.1</w:t>
            </w:r>
          </w:p>
        </w:tc>
      </w:tr>
      <w:tr w:rsidR="00C87C27" w:rsidRPr="00C21B42" w14:paraId="39942F53" w14:textId="77777777" w:rsidTr="00C87C27">
        <w:trPr>
          <w:trHeight w:val="300"/>
        </w:trPr>
        <w:tc>
          <w:tcPr>
            <w:cnfStyle w:val="001000000000" w:firstRow="0" w:lastRow="0" w:firstColumn="1" w:lastColumn="0" w:oddVBand="0" w:evenVBand="0" w:oddHBand="0" w:evenHBand="0" w:firstRowFirstColumn="0" w:firstRowLastColumn="0" w:lastRowFirstColumn="0" w:lastRowLastColumn="0"/>
            <w:tcW w:w="2103" w:type="dxa"/>
            <w:noWrap/>
            <w:hideMark/>
          </w:tcPr>
          <w:p w14:paraId="7D10C42C" w14:textId="77777777" w:rsidR="00C87C27" w:rsidRPr="00C21B42" w:rsidRDefault="00C87C27" w:rsidP="00C87C27">
            <w:pPr>
              <w:rPr>
                <w:rFonts w:ascii="Times New Roman" w:hAnsi="Times New Roman"/>
                <w:color w:val="000000"/>
              </w:rPr>
            </w:pPr>
            <w:r w:rsidRPr="00C21B42">
              <w:rPr>
                <w:rFonts w:ascii="Times New Roman" w:hAnsi="Times New Roman"/>
                <w:color w:val="000000"/>
              </w:rPr>
              <w:t>Linagliptin</w:t>
            </w:r>
          </w:p>
        </w:tc>
        <w:tc>
          <w:tcPr>
            <w:tcW w:w="893" w:type="dxa"/>
            <w:noWrap/>
            <w:hideMark/>
          </w:tcPr>
          <w:p w14:paraId="0742D961"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-7.9</w:t>
            </w:r>
          </w:p>
        </w:tc>
        <w:tc>
          <w:tcPr>
            <w:tcW w:w="936" w:type="dxa"/>
            <w:noWrap/>
            <w:hideMark/>
          </w:tcPr>
          <w:p w14:paraId="2A9A086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-8</w:t>
            </w:r>
          </w:p>
        </w:tc>
        <w:tc>
          <w:tcPr>
            <w:tcW w:w="827" w:type="dxa"/>
            <w:noWrap/>
            <w:hideMark/>
          </w:tcPr>
          <w:p w14:paraId="7241FB30"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c>
          <w:tcPr>
            <w:tcW w:w="827" w:type="dxa"/>
            <w:noWrap/>
            <w:hideMark/>
          </w:tcPr>
          <w:p w14:paraId="684E461D"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-7.4</w:t>
            </w:r>
          </w:p>
        </w:tc>
        <w:tc>
          <w:tcPr>
            <w:tcW w:w="1177" w:type="dxa"/>
            <w:noWrap/>
            <w:hideMark/>
          </w:tcPr>
          <w:p w14:paraId="1DE4B31C"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-6.8</w:t>
            </w:r>
          </w:p>
        </w:tc>
        <w:tc>
          <w:tcPr>
            <w:tcW w:w="871" w:type="dxa"/>
            <w:noWrap/>
            <w:hideMark/>
          </w:tcPr>
          <w:p w14:paraId="69B7F437"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-7.7</w:t>
            </w:r>
          </w:p>
        </w:tc>
        <w:tc>
          <w:tcPr>
            <w:tcW w:w="1002" w:type="dxa"/>
            <w:noWrap/>
            <w:hideMark/>
          </w:tcPr>
          <w:p w14:paraId="5120C0E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-7.5</w:t>
            </w:r>
          </w:p>
        </w:tc>
        <w:tc>
          <w:tcPr>
            <w:tcW w:w="827" w:type="dxa"/>
            <w:noWrap/>
            <w:hideMark/>
          </w:tcPr>
          <w:p w14:paraId="7095B02A" w14:textId="77777777" w:rsidR="00C87C27" w:rsidRPr="00C21B42" w:rsidRDefault="00C87C27" w:rsidP="00C87C27">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rPr>
            </w:pPr>
            <w:r w:rsidRPr="00C21B42">
              <w:rPr>
                <w:rFonts w:ascii="Times New Roman" w:hAnsi="Times New Roman"/>
                <w:color w:val="000000"/>
              </w:rPr>
              <w:t>-7.2</w:t>
            </w:r>
          </w:p>
        </w:tc>
      </w:tr>
    </w:tbl>
    <w:p w14:paraId="0347D83B" w14:textId="005672E3" w:rsidR="00C87C27" w:rsidRDefault="00C87C27" w:rsidP="00575E16">
      <w:pPr>
        <w:rPr>
          <w:rFonts w:ascii="Times New Roman" w:hAnsi="Times New Roman" w:cs="Times New Roman"/>
        </w:rPr>
      </w:pPr>
    </w:p>
    <w:p w14:paraId="3A3D4250" w14:textId="77777777" w:rsidR="00190B63" w:rsidRDefault="00190B63" w:rsidP="00575E16">
      <w:pPr>
        <w:rPr>
          <w:rFonts w:ascii="Times New Roman" w:hAnsi="Times New Roman" w:cs="Times New Roman"/>
        </w:rPr>
      </w:pPr>
    </w:p>
    <w:p w14:paraId="48182C02" w14:textId="77777777" w:rsidR="00190B63" w:rsidRDefault="00190B63" w:rsidP="00575E16">
      <w:pPr>
        <w:rPr>
          <w:rFonts w:ascii="Times New Roman" w:hAnsi="Times New Roman" w:cs="Times New Roman"/>
        </w:rPr>
      </w:pPr>
    </w:p>
    <w:p w14:paraId="46130981" w14:textId="77777777" w:rsidR="00190B63" w:rsidRDefault="00190B63" w:rsidP="00575E16">
      <w:pPr>
        <w:rPr>
          <w:rFonts w:ascii="Times New Roman" w:hAnsi="Times New Roman" w:cs="Times New Roman"/>
        </w:rPr>
      </w:pPr>
    </w:p>
    <w:p w14:paraId="6A91992B" w14:textId="77777777" w:rsidR="00190B63" w:rsidRDefault="00190B63" w:rsidP="00575E16">
      <w:pPr>
        <w:rPr>
          <w:rFonts w:ascii="Times New Roman" w:hAnsi="Times New Roman" w:cs="Times New Roman"/>
        </w:rPr>
      </w:pPr>
    </w:p>
    <w:p w14:paraId="164B0183" w14:textId="77777777" w:rsidR="00190B63" w:rsidRDefault="00190B63" w:rsidP="00575E16">
      <w:pPr>
        <w:rPr>
          <w:rFonts w:ascii="Times New Roman" w:hAnsi="Times New Roman" w:cs="Times New Roman"/>
        </w:rPr>
      </w:pPr>
    </w:p>
    <w:p w14:paraId="6EC97CD3" w14:textId="77777777" w:rsidR="00190B63" w:rsidRDefault="00190B63" w:rsidP="00575E16">
      <w:pPr>
        <w:rPr>
          <w:rFonts w:ascii="Times New Roman" w:hAnsi="Times New Roman" w:cs="Times New Roman"/>
        </w:rPr>
      </w:pPr>
    </w:p>
    <w:bookmarkEnd w:id="3"/>
    <w:p w14:paraId="26796ED3" w14:textId="77777777" w:rsidR="009D3CAF" w:rsidRPr="00C21B42" w:rsidRDefault="009D3CAF" w:rsidP="00200F32">
      <w:pPr>
        <w:rPr>
          <w:rFonts w:ascii="Times New Roman" w:hAnsi="Times New Roman" w:cs="Times New Roman"/>
        </w:rPr>
      </w:pPr>
    </w:p>
    <w:tbl>
      <w:tblPr>
        <w:tblStyle w:val="PlainTable21"/>
        <w:tblW w:w="5414" w:type="pct"/>
        <w:tblLayout w:type="fixed"/>
        <w:tblLook w:val="04A0" w:firstRow="1" w:lastRow="0" w:firstColumn="1" w:lastColumn="0" w:noHBand="0" w:noVBand="1"/>
      </w:tblPr>
      <w:tblGrid>
        <w:gridCol w:w="1602"/>
        <w:gridCol w:w="1259"/>
        <w:gridCol w:w="958"/>
        <w:gridCol w:w="1211"/>
        <w:gridCol w:w="1282"/>
        <w:gridCol w:w="1000"/>
        <w:gridCol w:w="971"/>
        <w:gridCol w:w="1018"/>
        <w:gridCol w:w="1068"/>
      </w:tblGrid>
      <w:tr w:rsidR="00630A47" w:rsidRPr="00C21B42" w14:paraId="38E88367" w14:textId="77777777" w:rsidTr="00C21B42">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5000" w:type="pct"/>
            <w:gridSpan w:val="9"/>
          </w:tcPr>
          <w:p w14:paraId="01807A82" w14:textId="7740961F" w:rsidR="00630A47" w:rsidRPr="00C21B42" w:rsidRDefault="00630A47" w:rsidP="00E95822">
            <w:pPr>
              <w:spacing w:before="120" w:after="120" w:line="276" w:lineRule="auto"/>
              <w:rPr>
                <w:rFonts w:ascii="Times New Roman" w:eastAsia="Times New Roman" w:hAnsi="Times New Roman" w:cs="Times New Roman"/>
              </w:rPr>
            </w:pPr>
            <w:bookmarkStart w:id="46" w:name="_Hlk138424844"/>
            <w:r w:rsidRPr="00C21B42">
              <w:rPr>
                <w:rFonts w:ascii="Times New Roman" w:hAnsi="Times New Roman" w:cs="Times New Roman"/>
              </w:rPr>
              <w:lastRenderedPageBreak/>
              <w:t>Table S1</w:t>
            </w:r>
            <w:r w:rsidR="00B35B3A">
              <w:rPr>
                <w:rFonts w:ascii="Times New Roman" w:hAnsi="Times New Roman" w:cs="Times New Roman"/>
              </w:rPr>
              <w:t>2</w:t>
            </w:r>
            <w:r w:rsidRPr="00C21B42">
              <w:rPr>
                <w:rFonts w:ascii="Times New Roman" w:hAnsi="Times New Roman" w:cs="Times New Roman"/>
              </w:rPr>
              <w:t>.</w:t>
            </w:r>
            <w:r w:rsidRPr="00C21B42">
              <w:rPr>
                <w:rFonts w:ascii="Times New Roman" w:hAnsi="Times New Roman" w:cs="Times New Roman"/>
                <w:b w:val="0"/>
                <w:bCs w:val="0"/>
              </w:rPr>
              <w:t xml:space="preserve"> Drug-likeness profile of top-ranked eight drugs</w:t>
            </w:r>
            <w:bookmarkEnd w:id="46"/>
          </w:p>
        </w:tc>
      </w:tr>
      <w:tr w:rsidR="00630A47" w:rsidRPr="00C21B42" w14:paraId="0FC8CC08" w14:textId="77777777" w:rsidTr="00C21B42">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773" w:type="pct"/>
            <w:vMerge w:val="restart"/>
          </w:tcPr>
          <w:p w14:paraId="4B05C668" w14:textId="77777777" w:rsidR="00630A47" w:rsidRPr="00C21B42" w:rsidRDefault="00630A47" w:rsidP="00E95822">
            <w:pPr>
              <w:spacing w:before="120" w:after="120" w:line="276" w:lineRule="auto"/>
              <w:jc w:val="both"/>
              <w:rPr>
                <w:rFonts w:ascii="Times New Roman" w:eastAsia="Times New Roman" w:hAnsi="Times New Roman" w:cs="Times New Roman"/>
                <w:sz w:val="20"/>
                <w:szCs w:val="20"/>
              </w:rPr>
            </w:pPr>
            <w:r w:rsidRPr="00C21B42">
              <w:rPr>
                <w:rFonts w:ascii="Times New Roman" w:eastAsia="Times New Roman" w:hAnsi="Times New Roman" w:cs="Times New Roman"/>
                <w:sz w:val="20"/>
                <w:szCs w:val="20"/>
              </w:rPr>
              <w:t>Compounds</w:t>
            </w:r>
          </w:p>
        </w:tc>
        <w:tc>
          <w:tcPr>
            <w:tcW w:w="607" w:type="pct"/>
            <w:vMerge w:val="restart"/>
          </w:tcPr>
          <w:p w14:paraId="37996DBB"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hAnsi="Times New Roman" w:cs="Times New Roman"/>
                <w:sz w:val="20"/>
                <w:szCs w:val="20"/>
              </w:rPr>
              <w:t>Molecular weight</w:t>
            </w:r>
          </w:p>
        </w:tc>
        <w:tc>
          <w:tcPr>
            <w:tcW w:w="462" w:type="pct"/>
            <w:vMerge w:val="restart"/>
          </w:tcPr>
          <w:p w14:paraId="141372A2"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hAnsi="Times New Roman" w:cs="Times New Roman"/>
                <w:sz w:val="20"/>
                <w:szCs w:val="20"/>
              </w:rPr>
              <w:t>LogP</w:t>
            </w:r>
          </w:p>
        </w:tc>
        <w:tc>
          <w:tcPr>
            <w:tcW w:w="584" w:type="pct"/>
            <w:vMerge w:val="restart"/>
          </w:tcPr>
          <w:p w14:paraId="49216035"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hAnsi="Times New Roman" w:cs="Times New Roman"/>
                <w:sz w:val="20"/>
                <w:szCs w:val="20"/>
              </w:rPr>
              <w:t>Water Solubility (ESOL)</w:t>
            </w:r>
          </w:p>
        </w:tc>
        <w:tc>
          <w:tcPr>
            <w:tcW w:w="618" w:type="pct"/>
            <w:vMerge w:val="restart"/>
          </w:tcPr>
          <w:p w14:paraId="2074A34D"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hAnsi="Times New Roman" w:cs="Times New Roman"/>
                <w:sz w:val="20"/>
                <w:szCs w:val="20"/>
              </w:rPr>
              <w:t>GI absorption</w:t>
            </w:r>
          </w:p>
        </w:tc>
        <w:tc>
          <w:tcPr>
            <w:tcW w:w="482" w:type="pct"/>
            <w:vMerge w:val="restart"/>
          </w:tcPr>
          <w:p w14:paraId="35A996D7"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21B42">
              <w:rPr>
                <w:rFonts w:ascii="Times New Roman" w:hAnsi="Times New Roman" w:cs="Times New Roman"/>
                <w:sz w:val="20"/>
                <w:szCs w:val="20"/>
              </w:rPr>
              <w:t>Log Kp</w:t>
            </w:r>
          </w:p>
          <w:p w14:paraId="460C9617"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hAnsi="Times New Roman" w:cs="Times New Roman"/>
                <w:sz w:val="20"/>
                <w:szCs w:val="20"/>
              </w:rPr>
              <w:t>(Cm/S)</w:t>
            </w:r>
          </w:p>
        </w:tc>
        <w:tc>
          <w:tcPr>
            <w:tcW w:w="959" w:type="pct"/>
            <w:gridSpan w:val="2"/>
          </w:tcPr>
          <w:p w14:paraId="6BE6BDFB"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hAnsi="Times New Roman" w:cs="Times New Roman"/>
                <w:sz w:val="20"/>
                <w:szCs w:val="20"/>
              </w:rPr>
              <w:t>Lipinski rule</w:t>
            </w:r>
          </w:p>
        </w:tc>
        <w:tc>
          <w:tcPr>
            <w:tcW w:w="515" w:type="pct"/>
            <w:vMerge w:val="restart"/>
          </w:tcPr>
          <w:p w14:paraId="0E1326EB" w14:textId="77777777" w:rsidR="00630A47" w:rsidRPr="00C21B42" w:rsidRDefault="00630A47" w:rsidP="00E95822">
            <w:pPr>
              <w:spacing w:before="120" w:after="12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C21B42">
              <w:rPr>
                <w:rFonts w:ascii="Times New Roman" w:eastAsia="Times New Roman" w:hAnsi="Times New Roman" w:cs="Times New Roman"/>
                <w:sz w:val="20"/>
                <w:szCs w:val="20"/>
              </w:rPr>
              <w:t>Synthetic accessibility</w:t>
            </w:r>
          </w:p>
        </w:tc>
      </w:tr>
      <w:tr w:rsidR="00630A47" w:rsidRPr="00C21B42" w14:paraId="709E1869" w14:textId="77777777" w:rsidTr="00C21B42">
        <w:trPr>
          <w:trHeight w:val="229"/>
        </w:trPr>
        <w:tc>
          <w:tcPr>
            <w:cnfStyle w:val="001000000000" w:firstRow="0" w:lastRow="0" w:firstColumn="1" w:lastColumn="0" w:oddVBand="0" w:evenVBand="0" w:oddHBand="0" w:evenHBand="0" w:firstRowFirstColumn="0" w:firstRowLastColumn="0" w:lastRowFirstColumn="0" w:lastRowLastColumn="0"/>
            <w:tcW w:w="773" w:type="pct"/>
            <w:vMerge/>
          </w:tcPr>
          <w:p w14:paraId="25480D66" w14:textId="77777777" w:rsidR="00630A47" w:rsidRPr="00C21B42" w:rsidRDefault="00630A47" w:rsidP="00E95822">
            <w:pPr>
              <w:spacing w:before="120" w:after="120" w:line="276" w:lineRule="auto"/>
              <w:jc w:val="both"/>
              <w:rPr>
                <w:rFonts w:ascii="Times New Roman" w:eastAsia="Times New Roman" w:hAnsi="Times New Roman" w:cs="Times New Roman"/>
              </w:rPr>
            </w:pPr>
          </w:p>
        </w:tc>
        <w:tc>
          <w:tcPr>
            <w:tcW w:w="607" w:type="pct"/>
            <w:vMerge/>
          </w:tcPr>
          <w:p w14:paraId="5836C843"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62" w:type="pct"/>
            <w:vMerge/>
          </w:tcPr>
          <w:p w14:paraId="48AD93BF"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pct"/>
            <w:vMerge/>
          </w:tcPr>
          <w:p w14:paraId="4609E552"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18" w:type="pct"/>
            <w:vMerge/>
          </w:tcPr>
          <w:p w14:paraId="04AF59F4"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2" w:type="pct"/>
            <w:vMerge/>
          </w:tcPr>
          <w:p w14:paraId="561A8CFA"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68" w:type="pct"/>
          </w:tcPr>
          <w:p w14:paraId="539F3A85"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Follow</w:t>
            </w:r>
          </w:p>
        </w:tc>
        <w:tc>
          <w:tcPr>
            <w:tcW w:w="490" w:type="pct"/>
          </w:tcPr>
          <w:p w14:paraId="1E94E925"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21B42">
              <w:rPr>
                <w:rFonts w:ascii="Times New Roman" w:hAnsi="Times New Roman" w:cs="Times New Roman"/>
              </w:rPr>
              <w:t>Violation</w:t>
            </w:r>
          </w:p>
        </w:tc>
        <w:tc>
          <w:tcPr>
            <w:tcW w:w="515" w:type="pct"/>
            <w:vMerge/>
          </w:tcPr>
          <w:p w14:paraId="51C0E856" w14:textId="77777777" w:rsidR="00630A47" w:rsidRPr="00C21B42" w:rsidRDefault="00630A47" w:rsidP="00E95822">
            <w:pPr>
              <w:spacing w:before="120" w:after="12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r>
      <w:tr w:rsidR="00630A47" w:rsidRPr="00C21B42" w14:paraId="5487E0EB" w14:textId="77777777" w:rsidTr="00C21B42">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773" w:type="pct"/>
          </w:tcPr>
          <w:p w14:paraId="7C1B66EE"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NVP-BHG712</w:t>
            </w:r>
          </w:p>
        </w:tc>
        <w:tc>
          <w:tcPr>
            <w:tcW w:w="607" w:type="pct"/>
          </w:tcPr>
          <w:p w14:paraId="4248C327"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503.48</w:t>
            </w:r>
          </w:p>
        </w:tc>
        <w:tc>
          <w:tcPr>
            <w:tcW w:w="462" w:type="pct"/>
          </w:tcPr>
          <w:p w14:paraId="7C739165"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5.559</w:t>
            </w:r>
          </w:p>
        </w:tc>
        <w:tc>
          <w:tcPr>
            <w:tcW w:w="584" w:type="pct"/>
          </w:tcPr>
          <w:p w14:paraId="789DD4E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-6.03</w:t>
            </w:r>
          </w:p>
        </w:tc>
        <w:tc>
          <w:tcPr>
            <w:tcW w:w="618" w:type="pct"/>
          </w:tcPr>
          <w:p w14:paraId="59FDED5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Low</w:t>
            </w:r>
          </w:p>
        </w:tc>
        <w:tc>
          <w:tcPr>
            <w:tcW w:w="482" w:type="pct"/>
          </w:tcPr>
          <w:p w14:paraId="7D874F2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-6.01</w:t>
            </w:r>
          </w:p>
        </w:tc>
        <w:tc>
          <w:tcPr>
            <w:tcW w:w="468" w:type="pct"/>
          </w:tcPr>
          <w:p w14:paraId="4AF4E44F"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w:t>
            </w:r>
          </w:p>
        </w:tc>
        <w:tc>
          <w:tcPr>
            <w:tcW w:w="490" w:type="pct"/>
          </w:tcPr>
          <w:p w14:paraId="2FE793D3"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w:t>
            </w:r>
          </w:p>
        </w:tc>
        <w:tc>
          <w:tcPr>
            <w:tcW w:w="515" w:type="pct"/>
          </w:tcPr>
          <w:p w14:paraId="621ED96C"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3.58</w:t>
            </w:r>
          </w:p>
        </w:tc>
      </w:tr>
      <w:tr w:rsidR="00630A47" w:rsidRPr="00C21B42" w14:paraId="0837ECD1" w14:textId="77777777" w:rsidTr="00C21B42">
        <w:trPr>
          <w:trHeight w:val="463"/>
        </w:trPr>
        <w:tc>
          <w:tcPr>
            <w:cnfStyle w:val="001000000000" w:firstRow="0" w:lastRow="0" w:firstColumn="1" w:lastColumn="0" w:oddVBand="0" w:evenVBand="0" w:oddHBand="0" w:evenHBand="0" w:firstRowFirstColumn="0" w:firstRowLastColumn="0" w:lastRowFirstColumn="0" w:lastRowLastColumn="0"/>
            <w:tcW w:w="773" w:type="pct"/>
          </w:tcPr>
          <w:p w14:paraId="7BCC8BA8"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Irinotecan</w:t>
            </w:r>
          </w:p>
        </w:tc>
        <w:tc>
          <w:tcPr>
            <w:tcW w:w="607" w:type="pct"/>
          </w:tcPr>
          <w:p w14:paraId="7116A8A2"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586.68</w:t>
            </w:r>
          </w:p>
        </w:tc>
        <w:tc>
          <w:tcPr>
            <w:tcW w:w="462" w:type="pct"/>
          </w:tcPr>
          <w:p w14:paraId="0D5051C1"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3.705</w:t>
            </w:r>
          </w:p>
        </w:tc>
        <w:tc>
          <w:tcPr>
            <w:tcW w:w="584" w:type="pct"/>
          </w:tcPr>
          <w:p w14:paraId="5D5D192D"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-5.71</w:t>
            </w:r>
          </w:p>
        </w:tc>
        <w:tc>
          <w:tcPr>
            <w:tcW w:w="618" w:type="pct"/>
          </w:tcPr>
          <w:p w14:paraId="579BB8CD"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High</w:t>
            </w:r>
          </w:p>
        </w:tc>
        <w:tc>
          <w:tcPr>
            <w:tcW w:w="482" w:type="pct"/>
          </w:tcPr>
          <w:p w14:paraId="0C0D6811"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-7.22</w:t>
            </w:r>
          </w:p>
        </w:tc>
        <w:tc>
          <w:tcPr>
            <w:tcW w:w="468" w:type="pct"/>
          </w:tcPr>
          <w:p w14:paraId="795E149C"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w:t>
            </w:r>
          </w:p>
        </w:tc>
        <w:tc>
          <w:tcPr>
            <w:tcW w:w="490" w:type="pct"/>
          </w:tcPr>
          <w:p w14:paraId="2949ACF8"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w:t>
            </w:r>
          </w:p>
        </w:tc>
        <w:tc>
          <w:tcPr>
            <w:tcW w:w="515" w:type="pct"/>
          </w:tcPr>
          <w:p w14:paraId="0A7D6928"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5.59</w:t>
            </w:r>
          </w:p>
        </w:tc>
      </w:tr>
      <w:tr w:rsidR="00630A47" w:rsidRPr="00C21B42" w14:paraId="632F8D71" w14:textId="77777777" w:rsidTr="00C21B4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773" w:type="pct"/>
          </w:tcPr>
          <w:p w14:paraId="6484B3C3"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Olaparib</w:t>
            </w:r>
          </w:p>
        </w:tc>
        <w:tc>
          <w:tcPr>
            <w:tcW w:w="607" w:type="pct"/>
          </w:tcPr>
          <w:p w14:paraId="51F135A0"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434.5</w:t>
            </w:r>
          </w:p>
        </w:tc>
        <w:tc>
          <w:tcPr>
            <w:tcW w:w="462" w:type="pct"/>
          </w:tcPr>
          <w:p w14:paraId="2DA329A5"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2.211</w:t>
            </w:r>
          </w:p>
        </w:tc>
        <w:tc>
          <w:tcPr>
            <w:tcW w:w="584" w:type="pct"/>
          </w:tcPr>
          <w:p w14:paraId="678175B5"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-3.7</w:t>
            </w:r>
          </w:p>
        </w:tc>
        <w:tc>
          <w:tcPr>
            <w:tcW w:w="618" w:type="pct"/>
          </w:tcPr>
          <w:p w14:paraId="6C8D87A1"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High</w:t>
            </w:r>
          </w:p>
        </w:tc>
        <w:tc>
          <w:tcPr>
            <w:tcW w:w="482" w:type="pct"/>
          </w:tcPr>
          <w:p w14:paraId="0C991464"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-7.6</w:t>
            </w:r>
          </w:p>
        </w:tc>
        <w:tc>
          <w:tcPr>
            <w:tcW w:w="468" w:type="pct"/>
          </w:tcPr>
          <w:p w14:paraId="67AFFF31"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w:t>
            </w:r>
          </w:p>
        </w:tc>
        <w:tc>
          <w:tcPr>
            <w:tcW w:w="490" w:type="pct"/>
          </w:tcPr>
          <w:p w14:paraId="65DDE3D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w:t>
            </w:r>
          </w:p>
        </w:tc>
        <w:tc>
          <w:tcPr>
            <w:tcW w:w="515" w:type="pct"/>
          </w:tcPr>
          <w:p w14:paraId="0C7AEF00"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3.15</w:t>
            </w:r>
          </w:p>
        </w:tc>
      </w:tr>
      <w:tr w:rsidR="00630A47" w:rsidRPr="00C21B42" w14:paraId="73DE9672" w14:textId="77777777" w:rsidTr="00C21B42">
        <w:trPr>
          <w:trHeight w:val="463"/>
        </w:trPr>
        <w:tc>
          <w:tcPr>
            <w:cnfStyle w:val="001000000000" w:firstRow="0" w:lastRow="0" w:firstColumn="1" w:lastColumn="0" w:oddVBand="0" w:evenVBand="0" w:oddHBand="0" w:evenHBand="0" w:firstRowFirstColumn="0" w:firstRowLastColumn="0" w:lastRowFirstColumn="0" w:lastRowLastColumn="0"/>
            <w:tcW w:w="773" w:type="pct"/>
          </w:tcPr>
          <w:p w14:paraId="32521BF7"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Timosaponin AIII</w:t>
            </w:r>
          </w:p>
        </w:tc>
        <w:tc>
          <w:tcPr>
            <w:tcW w:w="607" w:type="pct"/>
          </w:tcPr>
          <w:p w14:paraId="1307AC7F"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740.9</w:t>
            </w:r>
          </w:p>
        </w:tc>
        <w:tc>
          <w:tcPr>
            <w:tcW w:w="462" w:type="pct"/>
          </w:tcPr>
          <w:p w14:paraId="28714ED8"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1.443</w:t>
            </w:r>
          </w:p>
        </w:tc>
        <w:tc>
          <w:tcPr>
            <w:tcW w:w="584" w:type="pct"/>
          </w:tcPr>
          <w:p w14:paraId="1DEA6B9E"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-6.12</w:t>
            </w:r>
          </w:p>
        </w:tc>
        <w:tc>
          <w:tcPr>
            <w:tcW w:w="618" w:type="pct"/>
          </w:tcPr>
          <w:p w14:paraId="452F5A40"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Low</w:t>
            </w:r>
          </w:p>
        </w:tc>
        <w:tc>
          <w:tcPr>
            <w:tcW w:w="482" w:type="pct"/>
          </w:tcPr>
          <w:p w14:paraId="44A61886"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-8.48</w:t>
            </w:r>
          </w:p>
        </w:tc>
        <w:tc>
          <w:tcPr>
            <w:tcW w:w="468" w:type="pct"/>
          </w:tcPr>
          <w:p w14:paraId="3307AD43"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2</w:t>
            </w:r>
          </w:p>
        </w:tc>
        <w:tc>
          <w:tcPr>
            <w:tcW w:w="490" w:type="pct"/>
          </w:tcPr>
          <w:p w14:paraId="488EC259"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w:t>
            </w:r>
          </w:p>
        </w:tc>
        <w:tc>
          <w:tcPr>
            <w:tcW w:w="515" w:type="pct"/>
          </w:tcPr>
          <w:p w14:paraId="27C2B676"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9.24</w:t>
            </w:r>
          </w:p>
        </w:tc>
      </w:tr>
      <w:tr w:rsidR="00630A47" w:rsidRPr="00C21B42" w14:paraId="7781ED89" w14:textId="77777777" w:rsidTr="00C21B42">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773" w:type="pct"/>
          </w:tcPr>
          <w:p w14:paraId="3D3E7B7D"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Gliquidone</w:t>
            </w:r>
          </w:p>
        </w:tc>
        <w:tc>
          <w:tcPr>
            <w:tcW w:w="607" w:type="pct"/>
          </w:tcPr>
          <w:p w14:paraId="21144FCA"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927.6</w:t>
            </w:r>
          </w:p>
        </w:tc>
        <w:tc>
          <w:tcPr>
            <w:tcW w:w="462" w:type="pct"/>
          </w:tcPr>
          <w:p w14:paraId="2345C902"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4.599</w:t>
            </w:r>
          </w:p>
        </w:tc>
        <w:tc>
          <w:tcPr>
            <w:tcW w:w="584" w:type="pct"/>
          </w:tcPr>
          <w:p w14:paraId="473D164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-5.67</w:t>
            </w:r>
          </w:p>
        </w:tc>
        <w:tc>
          <w:tcPr>
            <w:tcW w:w="618" w:type="pct"/>
          </w:tcPr>
          <w:p w14:paraId="0D8CD014"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Low</w:t>
            </w:r>
          </w:p>
        </w:tc>
        <w:tc>
          <w:tcPr>
            <w:tcW w:w="482" w:type="pct"/>
          </w:tcPr>
          <w:p w14:paraId="6E1755C5"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-6.23</w:t>
            </w:r>
          </w:p>
        </w:tc>
        <w:tc>
          <w:tcPr>
            <w:tcW w:w="468" w:type="pct"/>
          </w:tcPr>
          <w:p w14:paraId="104263DA"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w:t>
            </w:r>
          </w:p>
        </w:tc>
        <w:tc>
          <w:tcPr>
            <w:tcW w:w="490" w:type="pct"/>
          </w:tcPr>
          <w:p w14:paraId="5DFD4A48"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1</w:t>
            </w:r>
          </w:p>
        </w:tc>
        <w:tc>
          <w:tcPr>
            <w:tcW w:w="515" w:type="pct"/>
          </w:tcPr>
          <w:p w14:paraId="59178CD0"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3.83</w:t>
            </w:r>
          </w:p>
        </w:tc>
      </w:tr>
      <w:tr w:rsidR="00630A47" w:rsidRPr="00C21B42" w14:paraId="4B1389CE" w14:textId="77777777" w:rsidTr="00C21B42">
        <w:trPr>
          <w:trHeight w:val="463"/>
        </w:trPr>
        <w:tc>
          <w:tcPr>
            <w:cnfStyle w:val="001000000000" w:firstRow="0" w:lastRow="0" w:firstColumn="1" w:lastColumn="0" w:oddVBand="0" w:evenVBand="0" w:oddHBand="0" w:evenHBand="0" w:firstRowFirstColumn="0" w:firstRowLastColumn="0" w:lastRowFirstColumn="0" w:lastRowLastColumn="0"/>
            <w:tcW w:w="773" w:type="pct"/>
          </w:tcPr>
          <w:p w14:paraId="4E82A923"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Herbacetin</w:t>
            </w:r>
          </w:p>
        </w:tc>
        <w:tc>
          <w:tcPr>
            <w:tcW w:w="607" w:type="pct"/>
          </w:tcPr>
          <w:p w14:paraId="059F9409"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302</w:t>
            </w:r>
          </w:p>
        </w:tc>
        <w:tc>
          <w:tcPr>
            <w:tcW w:w="462" w:type="pct"/>
          </w:tcPr>
          <w:p w14:paraId="55FEDB76" w14:textId="2581AE1C" w:rsidR="00630A47" w:rsidRPr="00C21B42" w:rsidRDefault="00DE2450"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eastAsia="Times New Roman" w:hAnsi="Times New Roman" w:cs="Times New Roman"/>
              </w:rPr>
              <w:t>1.988</w:t>
            </w:r>
          </w:p>
        </w:tc>
        <w:tc>
          <w:tcPr>
            <w:tcW w:w="584" w:type="pct"/>
          </w:tcPr>
          <w:p w14:paraId="2D360E91"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-3.55</w:t>
            </w:r>
          </w:p>
        </w:tc>
        <w:tc>
          <w:tcPr>
            <w:tcW w:w="618" w:type="pct"/>
          </w:tcPr>
          <w:p w14:paraId="0DD99C35"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High</w:t>
            </w:r>
          </w:p>
        </w:tc>
        <w:tc>
          <w:tcPr>
            <w:tcW w:w="482" w:type="pct"/>
          </w:tcPr>
          <w:p w14:paraId="704A5453"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-6.6</w:t>
            </w:r>
          </w:p>
        </w:tc>
        <w:tc>
          <w:tcPr>
            <w:tcW w:w="468" w:type="pct"/>
          </w:tcPr>
          <w:p w14:paraId="6E91E165"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w:t>
            </w:r>
          </w:p>
        </w:tc>
        <w:tc>
          <w:tcPr>
            <w:tcW w:w="490" w:type="pct"/>
          </w:tcPr>
          <w:p w14:paraId="6D80D999"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w:t>
            </w:r>
          </w:p>
        </w:tc>
        <w:tc>
          <w:tcPr>
            <w:tcW w:w="515" w:type="pct"/>
          </w:tcPr>
          <w:p w14:paraId="0328B0CE"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3.2</w:t>
            </w:r>
          </w:p>
        </w:tc>
      </w:tr>
      <w:tr w:rsidR="00630A47" w:rsidRPr="00C21B42" w14:paraId="7B17013C" w14:textId="77777777" w:rsidTr="00C21B42">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773" w:type="pct"/>
          </w:tcPr>
          <w:p w14:paraId="479A7BCE"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Linsitinib</w:t>
            </w:r>
          </w:p>
        </w:tc>
        <w:tc>
          <w:tcPr>
            <w:tcW w:w="607" w:type="pct"/>
          </w:tcPr>
          <w:p w14:paraId="0C8C61C2"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421.49</w:t>
            </w:r>
          </w:p>
        </w:tc>
        <w:tc>
          <w:tcPr>
            <w:tcW w:w="462" w:type="pct"/>
          </w:tcPr>
          <w:p w14:paraId="008F13BE"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4.442</w:t>
            </w:r>
          </w:p>
        </w:tc>
        <w:tc>
          <w:tcPr>
            <w:tcW w:w="584" w:type="pct"/>
          </w:tcPr>
          <w:p w14:paraId="0BF4FF5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-5.46</w:t>
            </w:r>
          </w:p>
        </w:tc>
        <w:tc>
          <w:tcPr>
            <w:tcW w:w="618" w:type="pct"/>
          </w:tcPr>
          <w:p w14:paraId="50F4A9F6"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High</w:t>
            </w:r>
          </w:p>
        </w:tc>
        <w:tc>
          <w:tcPr>
            <w:tcW w:w="482" w:type="pct"/>
          </w:tcPr>
          <w:p w14:paraId="55292349"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-5.91</w:t>
            </w:r>
          </w:p>
        </w:tc>
        <w:tc>
          <w:tcPr>
            <w:tcW w:w="468" w:type="pct"/>
          </w:tcPr>
          <w:p w14:paraId="263B92AB"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5</w:t>
            </w:r>
          </w:p>
        </w:tc>
        <w:tc>
          <w:tcPr>
            <w:tcW w:w="490" w:type="pct"/>
          </w:tcPr>
          <w:p w14:paraId="56767A38"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0</w:t>
            </w:r>
          </w:p>
        </w:tc>
        <w:tc>
          <w:tcPr>
            <w:tcW w:w="515" w:type="pct"/>
          </w:tcPr>
          <w:p w14:paraId="1A3B96DB" w14:textId="77777777" w:rsidR="00630A47" w:rsidRPr="00C21B42" w:rsidRDefault="00630A47" w:rsidP="00E95822">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4.21</w:t>
            </w:r>
          </w:p>
        </w:tc>
      </w:tr>
      <w:tr w:rsidR="00630A47" w:rsidRPr="00C21B42" w14:paraId="713687F9" w14:textId="77777777" w:rsidTr="00C21B42">
        <w:trPr>
          <w:trHeight w:val="454"/>
        </w:trPr>
        <w:tc>
          <w:tcPr>
            <w:cnfStyle w:val="001000000000" w:firstRow="0" w:lastRow="0" w:firstColumn="1" w:lastColumn="0" w:oddVBand="0" w:evenVBand="0" w:oddHBand="0" w:evenHBand="0" w:firstRowFirstColumn="0" w:firstRowLastColumn="0" w:lastRowFirstColumn="0" w:lastRowLastColumn="0"/>
            <w:tcW w:w="773" w:type="pct"/>
          </w:tcPr>
          <w:p w14:paraId="3C97450C" w14:textId="77777777" w:rsidR="00630A47" w:rsidRPr="00C21B42" w:rsidRDefault="00630A47" w:rsidP="00E95822">
            <w:pPr>
              <w:spacing w:before="120" w:after="120" w:line="276" w:lineRule="auto"/>
              <w:jc w:val="both"/>
              <w:rPr>
                <w:rFonts w:ascii="Times New Roman" w:eastAsia="Times New Roman" w:hAnsi="Times New Roman" w:cs="Times New Roman"/>
              </w:rPr>
            </w:pPr>
            <w:r w:rsidRPr="00C21B42">
              <w:rPr>
                <w:rFonts w:ascii="Times New Roman" w:hAnsi="Times New Roman" w:cs="Times New Roman"/>
              </w:rPr>
              <w:t>Momordin</w:t>
            </w:r>
          </w:p>
        </w:tc>
        <w:tc>
          <w:tcPr>
            <w:tcW w:w="607" w:type="pct"/>
          </w:tcPr>
          <w:p w14:paraId="1240A6B8"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764.94</w:t>
            </w:r>
          </w:p>
        </w:tc>
        <w:tc>
          <w:tcPr>
            <w:tcW w:w="462" w:type="pct"/>
          </w:tcPr>
          <w:p w14:paraId="55488DA6"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2.734</w:t>
            </w:r>
          </w:p>
        </w:tc>
        <w:tc>
          <w:tcPr>
            <w:tcW w:w="584" w:type="pct"/>
          </w:tcPr>
          <w:p w14:paraId="5B6F0AF8"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-7.09</w:t>
            </w:r>
          </w:p>
        </w:tc>
        <w:tc>
          <w:tcPr>
            <w:tcW w:w="618" w:type="pct"/>
          </w:tcPr>
          <w:p w14:paraId="4E04BAFD"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Low</w:t>
            </w:r>
          </w:p>
        </w:tc>
        <w:tc>
          <w:tcPr>
            <w:tcW w:w="482" w:type="pct"/>
          </w:tcPr>
          <w:p w14:paraId="26864F28"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-7.69</w:t>
            </w:r>
          </w:p>
        </w:tc>
        <w:tc>
          <w:tcPr>
            <w:tcW w:w="468" w:type="pct"/>
          </w:tcPr>
          <w:p w14:paraId="099783CE"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2</w:t>
            </w:r>
          </w:p>
        </w:tc>
        <w:tc>
          <w:tcPr>
            <w:tcW w:w="490" w:type="pct"/>
          </w:tcPr>
          <w:p w14:paraId="14A83A40"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3</w:t>
            </w:r>
          </w:p>
        </w:tc>
        <w:tc>
          <w:tcPr>
            <w:tcW w:w="515" w:type="pct"/>
          </w:tcPr>
          <w:p w14:paraId="14CF5682" w14:textId="77777777" w:rsidR="00630A47" w:rsidRPr="00C21B42" w:rsidRDefault="00630A47" w:rsidP="00E95822">
            <w:pP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C21B42">
              <w:rPr>
                <w:rFonts w:ascii="Times New Roman" w:hAnsi="Times New Roman" w:cs="Times New Roman"/>
              </w:rPr>
              <w:t>8.65</w:t>
            </w:r>
          </w:p>
        </w:tc>
      </w:tr>
    </w:tbl>
    <w:p w14:paraId="7C57E67C" w14:textId="77777777" w:rsidR="009D3CAF" w:rsidRPr="00C21B42" w:rsidRDefault="009D3CAF" w:rsidP="00200F32">
      <w:pPr>
        <w:rPr>
          <w:rFonts w:ascii="Times New Roman" w:hAnsi="Times New Roman" w:cs="Times New Roman"/>
        </w:rPr>
      </w:pPr>
    </w:p>
    <w:p w14:paraId="43B8F46E" w14:textId="77777777" w:rsidR="009D3CAF" w:rsidRPr="00C21B42" w:rsidRDefault="009D3CAF" w:rsidP="00200F32">
      <w:pPr>
        <w:rPr>
          <w:rFonts w:ascii="Times New Roman" w:hAnsi="Times New Roman" w:cs="Times New Roman"/>
        </w:rPr>
      </w:pPr>
    </w:p>
    <w:p w14:paraId="42A505C6" w14:textId="4FDB4C47" w:rsidR="00881D2E" w:rsidRDefault="00881D2E" w:rsidP="00200F32">
      <w:pPr>
        <w:rPr>
          <w:rFonts w:ascii="Times New Roman" w:hAnsi="Times New Roman" w:cs="Times New Roman"/>
        </w:rPr>
      </w:pPr>
    </w:p>
    <w:p w14:paraId="26616854" w14:textId="77777777" w:rsidR="00CA6131" w:rsidRDefault="00CA6131" w:rsidP="00200F32">
      <w:pPr>
        <w:rPr>
          <w:rFonts w:ascii="Times New Roman" w:hAnsi="Times New Roman" w:cs="Times New Roman"/>
        </w:rPr>
      </w:pPr>
    </w:p>
    <w:p w14:paraId="509FFD64" w14:textId="77777777" w:rsidR="00CA6131" w:rsidRDefault="00CA6131" w:rsidP="00200F32">
      <w:pPr>
        <w:rPr>
          <w:rFonts w:ascii="Times New Roman" w:hAnsi="Times New Roman" w:cs="Times New Roman"/>
        </w:rPr>
      </w:pPr>
    </w:p>
    <w:p w14:paraId="51A8E486" w14:textId="77777777" w:rsidR="00CA6131" w:rsidRDefault="00CA6131" w:rsidP="00200F32">
      <w:pPr>
        <w:rPr>
          <w:rFonts w:ascii="Times New Roman" w:hAnsi="Times New Roman" w:cs="Times New Roman"/>
        </w:rPr>
      </w:pPr>
    </w:p>
    <w:p w14:paraId="6B0F4A83" w14:textId="77777777" w:rsidR="00CA6131" w:rsidRDefault="00CA6131" w:rsidP="00200F32">
      <w:pPr>
        <w:rPr>
          <w:rFonts w:ascii="Times New Roman" w:hAnsi="Times New Roman" w:cs="Times New Roman"/>
        </w:rPr>
      </w:pPr>
    </w:p>
    <w:p w14:paraId="37A7D7B9" w14:textId="77777777" w:rsidR="00CA6131" w:rsidRDefault="00CA6131" w:rsidP="00200F32">
      <w:pPr>
        <w:rPr>
          <w:rFonts w:ascii="Times New Roman" w:hAnsi="Times New Roman" w:cs="Times New Roman"/>
        </w:rPr>
      </w:pPr>
    </w:p>
    <w:p w14:paraId="6FC0E7D3" w14:textId="77777777" w:rsidR="00CA6131" w:rsidRDefault="00CA6131" w:rsidP="00200F32">
      <w:pPr>
        <w:rPr>
          <w:rFonts w:ascii="Times New Roman" w:hAnsi="Times New Roman" w:cs="Times New Roman"/>
        </w:rPr>
      </w:pPr>
    </w:p>
    <w:p w14:paraId="7014F7BE" w14:textId="77777777" w:rsidR="00CA6131" w:rsidRDefault="00CA6131" w:rsidP="00200F32">
      <w:pPr>
        <w:rPr>
          <w:rFonts w:ascii="Times New Roman" w:hAnsi="Times New Roman" w:cs="Times New Roman"/>
        </w:rPr>
      </w:pPr>
    </w:p>
    <w:p w14:paraId="263D284A" w14:textId="77777777" w:rsidR="00CA6131" w:rsidRDefault="00CA6131" w:rsidP="00200F32">
      <w:pPr>
        <w:rPr>
          <w:rFonts w:ascii="Times New Roman" w:hAnsi="Times New Roman" w:cs="Times New Roman"/>
        </w:rPr>
      </w:pPr>
    </w:p>
    <w:p w14:paraId="05B93E78" w14:textId="77777777" w:rsidR="00CA6131" w:rsidRDefault="00CA6131" w:rsidP="00200F32">
      <w:pPr>
        <w:rPr>
          <w:rFonts w:ascii="Times New Roman" w:hAnsi="Times New Roman" w:cs="Times New Roman"/>
        </w:rPr>
      </w:pPr>
    </w:p>
    <w:p w14:paraId="062CF5C8" w14:textId="77777777" w:rsidR="00CA6131" w:rsidRDefault="00CA6131" w:rsidP="00200F32">
      <w:pPr>
        <w:rPr>
          <w:rFonts w:ascii="Times New Roman" w:hAnsi="Times New Roman" w:cs="Times New Roman"/>
        </w:rPr>
      </w:pPr>
    </w:p>
    <w:p w14:paraId="144EA22A" w14:textId="77777777" w:rsidR="00290A30" w:rsidRPr="00C21B42" w:rsidRDefault="00290A30" w:rsidP="00200F32">
      <w:pPr>
        <w:rPr>
          <w:rFonts w:ascii="Times New Roman" w:hAnsi="Times New Roman" w:cs="Times New Roman"/>
        </w:rPr>
      </w:pPr>
    </w:p>
    <w:tbl>
      <w:tblPr>
        <w:tblStyle w:val="PlainTable210"/>
        <w:tblW w:w="5418" w:type="pct"/>
        <w:tblInd w:w="-20" w:type="dxa"/>
        <w:tblLayout w:type="fixed"/>
        <w:tblLook w:val="0000" w:firstRow="0" w:lastRow="0" w:firstColumn="0" w:lastColumn="0" w:noHBand="0" w:noVBand="0"/>
      </w:tblPr>
      <w:tblGrid>
        <w:gridCol w:w="1874"/>
        <w:gridCol w:w="868"/>
        <w:gridCol w:w="930"/>
        <w:gridCol w:w="859"/>
        <w:gridCol w:w="861"/>
        <w:gridCol w:w="940"/>
        <w:gridCol w:w="857"/>
        <w:gridCol w:w="853"/>
        <w:gridCol w:w="685"/>
        <w:gridCol w:w="853"/>
        <w:gridCol w:w="797"/>
      </w:tblGrid>
      <w:tr w:rsidR="00DE2450" w:rsidRPr="00C21B42" w14:paraId="1FD918FD" w14:textId="77777777" w:rsidTr="00E95822">
        <w:trPr>
          <w:cnfStyle w:val="000000100000" w:firstRow="0" w:lastRow="0" w:firstColumn="0" w:lastColumn="0" w:oddVBand="0" w:evenVBand="0" w:oddHBand="1" w:evenHBand="0" w:firstRowFirstColumn="0" w:firstRowLastColumn="0" w:lastRowFirstColumn="0" w:lastRowLastColumn="0"/>
          <w:trHeight w:val="157"/>
        </w:trPr>
        <w:tc>
          <w:tcPr>
            <w:cnfStyle w:val="000010000000" w:firstRow="0" w:lastRow="0" w:firstColumn="0" w:lastColumn="0" w:oddVBand="1" w:evenVBand="0" w:oddHBand="0" w:evenHBand="0" w:firstRowFirstColumn="0" w:firstRowLastColumn="0" w:lastRowFirstColumn="0" w:lastRowLastColumn="0"/>
            <w:tcW w:w="5000" w:type="pct"/>
            <w:gridSpan w:val="11"/>
          </w:tcPr>
          <w:p w14:paraId="32FC9B28" w14:textId="53EC9148" w:rsidR="00DE2450" w:rsidRPr="00C21B42" w:rsidRDefault="00DE2450" w:rsidP="00E95822">
            <w:pPr>
              <w:spacing w:before="120" w:after="120" w:line="360" w:lineRule="auto"/>
              <w:rPr>
                <w:rFonts w:ascii="Times New Roman" w:eastAsia="Times New Roman" w:hAnsi="Times New Roman" w:cs="Times New Roman"/>
              </w:rPr>
            </w:pPr>
            <w:bookmarkStart w:id="47" w:name="_Hlk138424854"/>
            <w:r w:rsidRPr="00C21B42">
              <w:rPr>
                <w:rFonts w:ascii="Times New Roman" w:hAnsi="Times New Roman" w:cs="Times New Roman"/>
                <w:b/>
                <w:bCs/>
              </w:rPr>
              <w:lastRenderedPageBreak/>
              <w:t xml:space="preserve">Table </w:t>
            </w:r>
            <w:r w:rsidR="00E95822" w:rsidRPr="00C21B42">
              <w:rPr>
                <w:rFonts w:ascii="Times New Roman" w:hAnsi="Times New Roman" w:cs="Times New Roman"/>
                <w:b/>
                <w:bCs/>
              </w:rPr>
              <w:t>S1</w:t>
            </w:r>
            <w:r w:rsidR="00B35B3A">
              <w:rPr>
                <w:rFonts w:ascii="Times New Roman" w:hAnsi="Times New Roman" w:cs="Times New Roman"/>
                <w:b/>
                <w:bCs/>
              </w:rPr>
              <w:t>3</w:t>
            </w:r>
            <w:r w:rsidRPr="00C21B42">
              <w:rPr>
                <w:rFonts w:ascii="Times New Roman" w:hAnsi="Times New Roman" w:cs="Times New Roman"/>
                <w:b/>
                <w:bCs/>
              </w:rPr>
              <w:t>.</w:t>
            </w:r>
            <w:r w:rsidRPr="00C21B42">
              <w:rPr>
                <w:rFonts w:ascii="Times New Roman" w:hAnsi="Times New Roman" w:cs="Times New Roman"/>
              </w:rPr>
              <w:t xml:space="preserve"> ADME/T profile of top-ranked eight drugs</w:t>
            </w:r>
            <w:bookmarkEnd w:id="47"/>
          </w:p>
        </w:tc>
      </w:tr>
      <w:tr w:rsidR="00DE2450" w:rsidRPr="00C21B42" w14:paraId="3934A42B" w14:textId="77777777" w:rsidTr="00E95822">
        <w:trPr>
          <w:trHeight w:val="157"/>
        </w:trPr>
        <w:tc>
          <w:tcPr>
            <w:cnfStyle w:val="000010000000" w:firstRow="0" w:lastRow="0" w:firstColumn="0" w:lastColumn="0" w:oddVBand="1" w:evenVBand="0" w:oddHBand="0" w:evenHBand="0" w:firstRowFirstColumn="0" w:firstRowLastColumn="0" w:lastRowFirstColumn="0" w:lastRowLastColumn="0"/>
            <w:tcW w:w="903" w:type="pct"/>
            <w:vMerge w:val="restart"/>
          </w:tcPr>
          <w:p w14:paraId="66A05203"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p>
          <w:p w14:paraId="2F772E75"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p>
          <w:p w14:paraId="0A3E1187"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p>
          <w:p w14:paraId="0A33256A"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p>
          <w:p w14:paraId="672EFDEA"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Compounds</w:t>
            </w:r>
          </w:p>
        </w:tc>
        <w:tc>
          <w:tcPr>
            <w:cnfStyle w:val="000001000000" w:firstRow="0" w:lastRow="0" w:firstColumn="0" w:lastColumn="0" w:oddVBand="0" w:evenVBand="1" w:oddHBand="0" w:evenHBand="0" w:firstRowFirstColumn="0" w:firstRowLastColumn="0" w:lastRowFirstColumn="0" w:lastRowLastColumn="0"/>
            <w:tcW w:w="1280" w:type="pct"/>
            <w:gridSpan w:val="3"/>
          </w:tcPr>
          <w:p w14:paraId="10CFF2DF" w14:textId="77777777" w:rsidR="00DE2450" w:rsidRPr="00C21B42" w:rsidRDefault="00DE2450" w:rsidP="00E95822">
            <w:pPr>
              <w:spacing w:before="120" w:after="120" w:line="360" w:lineRule="auto"/>
              <w:jc w:val="center"/>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Absorption</w:t>
            </w:r>
          </w:p>
        </w:tc>
        <w:tc>
          <w:tcPr>
            <w:cnfStyle w:val="000010000000" w:firstRow="0" w:lastRow="0" w:firstColumn="0" w:lastColumn="0" w:oddVBand="1" w:evenVBand="0" w:oddHBand="0" w:evenHBand="0" w:firstRowFirstColumn="0" w:firstRowLastColumn="0" w:lastRowFirstColumn="0" w:lastRowLastColumn="0"/>
            <w:tcW w:w="868" w:type="pct"/>
            <w:gridSpan w:val="2"/>
          </w:tcPr>
          <w:p w14:paraId="14A507F7"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Desorption</w:t>
            </w:r>
          </w:p>
        </w:tc>
        <w:tc>
          <w:tcPr>
            <w:cnfStyle w:val="000001000000" w:firstRow="0" w:lastRow="0" w:firstColumn="0" w:lastColumn="0" w:oddVBand="0" w:evenVBand="1" w:oddHBand="0" w:evenHBand="0" w:firstRowFirstColumn="0" w:firstRowLastColumn="0" w:lastRowFirstColumn="0" w:lastRowLastColumn="0"/>
            <w:tcW w:w="413" w:type="pct"/>
          </w:tcPr>
          <w:p w14:paraId="1A2F55FD"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Metabolism</w:t>
            </w:r>
          </w:p>
        </w:tc>
        <w:tc>
          <w:tcPr>
            <w:cnfStyle w:val="000010000000" w:firstRow="0" w:lastRow="0" w:firstColumn="0" w:lastColumn="0" w:oddVBand="1" w:evenVBand="0" w:oddHBand="0" w:evenHBand="0" w:firstRowFirstColumn="0" w:firstRowLastColumn="0" w:lastRowFirstColumn="0" w:lastRowLastColumn="0"/>
            <w:tcW w:w="411" w:type="pct"/>
          </w:tcPr>
          <w:p w14:paraId="25029AC9" w14:textId="77777777" w:rsidR="00DE2450" w:rsidRPr="00C21B42" w:rsidRDefault="00DE2450" w:rsidP="00E95822">
            <w:pPr>
              <w:spacing w:before="120" w:after="120" w:line="360" w:lineRule="auto"/>
              <w:jc w:val="center"/>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Excretion</w:t>
            </w:r>
          </w:p>
        </w:tc>
        <w:tc>
          <w:tcPr>
            <w:cnfStyle w:val="000001000000" w:firstRow="0" w:lastRow="0" w:firstColumn="0" w:lastColumn="0" w:oddVBand="0" w:evenVBand="1" w:oddHBand="0" w:evenHBand="0" w:firstRowFirstColumn="0" w:firstRowLastColumn="0" w:lastRowFirstColumn="0" w:lastRowLastColumn="0"/>
            <w:tcW w:w="1124" w:type="pct"/>
            <w:gridSpan w:val="3"/>
          </w:tcPr>
          <w:p w14:paraId="6FF8DC9F" w14:textId="77777777" w:rsidR="00DE2450" w:rsidRPr="00C21B42" w:rsidRDefault="00DE2450" w:rsidP="00E95822">
            <w:pPr>
              <w:spacing w:before="120" w:after="120" w:line="360" w:lineRule="auto"/>
              <w:jc w:val="center"/>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Toxicity</w:t>
            </w:r>
          </w:p>
        </w:tc>
      </w:tr>
      <w:tr w:rsidR="00DE2450" w:rsidRPr="00C21B42" w14:paraId="550163F5" w14:textId="77777777" w:rsidTr="00E95822">
        <w:trPr>
          <w:cnfStyle w:val="000000100000" w:firstRow="0" w:lastRow="0" w:firstColumn="0" w:lastColumn="0" w:oddVBand="0" w:evenVBand="0" w:oddHBand="1" w:evenHBand="0" w:firstRowFirstColumn="0" w:firstRowLastColumn="0" w:lastRowFirstColumn="0" w:lastRowLastColumn="0"/>
          <w:trHeight w:val="259"/>
        </w:trPr>
        <w:tc>
          <w:tcPr>
            <w:cnfStyle w:val="000010000000" w:firstRow="0" w:lastRow="0" w:firstColumn="0" w:lastColumn="0" w:oddVBand="1" w:evenVBand="0" w:oddHBand="0" w:evenHBand="0" w:firstRowFirstColumn="0" w:firstRowLastColumn="0" w:lastRowFirstColumn="0" w:lastRowLastColumn="0"/>
            <w:tcW w:w="903" w:type="pct"/>
            <w:vMerge/>
          </w:tcPr>
          <w:p w14:paraId="338AC862"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p>
        </w:tc>
        <w:tc>
          <w:tcPr>
            <w:cnfStyle w:val="000001000000" w:firstRow="0" w:lastRow="0" w:firstColumn="0" w:lastColumn="0" w:oddVBand="0" w:evenVBand="1" w:oddHBand="0" w:evenHBand="0" w:firstRowFirstColumn="0" w:firstRowLastColumn="0" w:lastRowFirstColumn="0" w:lastRowLastColumn="0"/>
            <w:tcW w:w="418" w:type="pct"/>
            <w:vMerge w:val="restart"/>
          </w:tcPr>
          <w:p w14:paraId="6E362B5E"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Caco2 Permeability</w:t>
            </w:r>
          </w:p>
        </w:tc>
        <w:tc>
          <w:tcPr>
            <w:cnfStyle w:val="000010000000" w:firstRow="0" w:lastRow="0" w:firstColumn="0" w:lastColumn="0" w:oddVBand="1" w:evenVBand="0" w:oddHBand="0" w:evenHBand="0" w:firstRowFirstColumn="0" w:firstRowLastColumn="0" w:lastRowFirstColumn="0" w:lastRowLastColumn="0"/>
            <w:tcW w:w="448" w:type="pct"/>
            <w:vMerge w:val="restart"/>
          </w:tcPr>
          <w:p w14:paraId="2F2AB833"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HIA</w:t>
            </w:r>
          </w:p>
          <w:p w14:paraId="14E94A88"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w:t>
            </w:r>
          </w:p>
        </w:tc>
        <w:tc>
          <w:tcPr>
            <w:cnfStyle w:val="000001000000" w:firstRow="0" w:lastRow="0" w:firstColumn="0" w:lastColumn="0" w:oddVBand="0" w:evenVBand="1" w:oddHBand="0" w:evenHBand="0" w:firstRowFirstColumn="0" w:firstRowLastColumn="0" w:lastRowFirstColumn="0" w:lastRowLastColumn="0"/>
            <w:tcW w:w="414" w:type="pct"/>
            <w:vMerge w:val="restart"/>
          </w:tcPr>
          <w:p w14:paraId="54DCFA41"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 xml:space="preserve">P-gpI </w:t>
            </w:r>
          </w:p>
        </w:tc>
        <w:tc>
          <w:tcPr>
            <w:cnfStyle w:val="000010000000" w:firstRow="0" w:lastRow="0" w:firstColumn="0" w:lastColumn="0" w:oddVBand="1" w:evenVBand="0" w:oddHBand="0" w:evenHBand="0" w:firstRowFirstColumn="0" w:firstRowLastColumn="0" w:lastRowFirstColumn="0" w:lastRowLastColumn="0"/>
            <w:tcW w:w="415" w:type="pct"/>
          </w:tcPr>
          <w:p w14:paraId="3C7967F4"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BBB</w:t>
            </w:r>
          </w:p>
        </w:tc>
        <w:tc>
          <w:tcPr>
            <w:cnfStyle w:val="000001000000" w:firstRow="0" w:lastRow="0" w:firstColumn="0" w:lastColumn="0" w:oddVBand="0" w:evenVBand="1" w:oddHBand="0" w:evenHBand="0" w:firstRowFirstColumn="0" w:firstRowLastColumn="0" w:lastRowFirstColumn="0" w:lastRowLastColumn="0"/>
            <w:tcW w:w="453" w:type="pct"/>
          </w:tcPr>
          <w:p w14:paraId="1895DB67"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CNS</w:t>
            </w:r>
          </w:p>
        </w:tc>
        <w:tc>
          <w:tcPr>
            <w:cnfStyle w:val="000010000000" w:firstRow="0" w:lastRow="0" w:firstColumn="0" w:lastColumn="0" w:oddVBand="1" w:evenVBand="0" w:oddHBand="0" w:evenHBand="0" w:firstRowFirstColumn="0" w:firstRowLastColumn="0" w:lastRowFirstColumn="0" w:lastRowLastColumn="0"/>
            <w:tcW w:w="413" w:type="pct"/>
            <w:vMerge w:val="restart"/>
          </w:tcPr>
          <w:p w14:paraId="480EB723"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CYP3A4</w:t>
            </w:r>
          </w:p>
        </w:tc>
        <w:tc>
          <w:tcPr>
            <w:cnfStyle w:val="000001000000" w:firstRow="0" w:lastRow="0" w:firstColumn="0" w:lastColumn="0" w:oddVBand="0" w:evenVBand="1" w:oddHBand="0" w:evenHBand="0" w:firstRowFirstColumn="0" w:firstRowLastColumn="0" w:lastRowFirstColumn="0" w:lastRowLastColumn="0"/>
            <w:tcW w:w="411" w:type="pct"/>
            <w:vMerge w:val="restart"/>
          </w:tcPr>
          <w:p w14:paraId="7794A6CF" w14:textId="77777777" w:rsidR="00DE2450" w:rsidRPr="00C21B42" w:rsidRDefault="00DE2450" w:rsidP="00E95822">
            <w:pPr>
              <w:spacing w:before="120" w:after="120" w:line="360" w:lineRule="auto"/>
              <w:jc w:val="center"/>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TC</w:t>
            </w:r>
          </w:p>
        </w:tc>
        <w:tc>
          <w:tcPr>
            <w:cnfStyle w:val="000010000000" w:firstRow="0" w:lastRow="0" w:firstColumn="0" w:lastColumn="0" w:oddVBand="1" w:evenVBand="0" w:oddHBand="0" w:evenHBand="0" w:firstRowFirstColumn="0" w:firstRowLastColumn="0" w:lastRowFirstColumn="0" w:lastRowLastColumn="0"/>
            <w:tcW w:w="330" w:type="pct"/>
            <w:vMerge w:val="restart"/>
          </w:tcPr>
          <w:p w14:paraId="1CD03F06"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hERGI</w:t>
            </w:r>
          </w:p>
        </w:tc>
        <w:tc>
          <w:tcPr>
            <w:cnfStyle w:val="000001000000" w:firstRow="0" w:lastRow="0" w:firstColumn="0" w:lastColumn="0" w:oddVBand="0" w:evenVBand="1" w:oddHBand="0" w:evenHBand="0" w:firstRowFirstColumn="0" w:firstRowLastColumn="0" w:lastRowFirstColumn="0" w:lastRowLastColumn="0"/>
            <w:tcW w:w="411" w:type="pct"/>
            <w:vMerge w:val="restart"/>
          </w:tcPr>
          <w:p w14:paraId="7C0E8B57"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vertAlign w:val="subscript"/>
              </w:rPr>
            </w:pPr>
            <w:r w:rsidRPr="00C21B42">
              <w:rPr>
                <w:rFonts w:ascii="Times New Roman" w:eastAsia="Times New Roman" w:hAnsi="Times New Roman" w:cs="Times New Roman"/>
                <w:b/>
                <w:bCs/>
                <w:sz w:val="20"/>
                <w:szCs w:val="20"/>
              </w:rPr>
              <w:t>LC</w:t>
            </w:r>
            <w:r w:rsidRPr="00C21B42">
              <w:rPr>
                <w:rFonts w:ascii="Times New Roman" w:eastAsia="Times New Roman" w:hAnsi="Times New Roman" w:cs="Times New Roman"/>
                <w:b/>
                <w:bCs/>
                <w:sz w:val="20"/>
                <w:szCs w:val="20"/>
                <w:vertAlign w:val="subscript"/>
              </w:rPr>
              <w:t>50</w:t>
            </w:r>
          </w:p>
          <w:p w14:paraId="5504715B"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(log mM)</w:t>
            </w:r>
          </w:p>
        </w:tc>
        <w:tc>
          <w:tcPr>
            <w:cnfStyle w:val="000010000000" w:firstRow="0" w:lastRow="0" w:firstColumn="0" w:lastColumn="0" w:oddVBand="1" w:evenVBand="0" w:oddHBand="0" w:evenHBand="0" w:firstRowFirstColumn="0" w:firstRowLastColumn="0" w:lastRowFirstColumn="0" w:lastRowLastColumn="0"/>
            <w:tcW w:w="383" w:type="pct"/>
            <w:vMerge w:val="restart"/>
          </w:tcPr>
          <w:p w14:paraId="267D8780"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LD</w:t>
            </w:r>
            <w:r w:rsidRPr="00C21B42">
              <w:rPr>
                <w:rFonts w:ascii="Times New Roman" w:eastAsia="Times New Roman" w:hAnsi="Times New Roman" w:cs="Times New Roman"/>
                <w:b/>
                <w:bCs/>
                <w:sz w:val="20"/>
                <w:szCs w:val="20"/>
                <w:vertAlign w:val="subscript"/>
              </w:rPr>
              <w:t>50</w:t>
            </w:r>
          </w:p>
          <w:p w14:paraId="38C4125E"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eastAsia="Times New Roman" w:hAnsi="Times New Roman" w:cs="Times New Roman"/>
                <w:b/>
                <w:bCs/>
                <w:sz w:val="20"/>
                <w:szCs w:val="20"/>
              </w:rPr>
              <w:t>(mole/kg)</w:t>
            </w:r>
          </w:p>
        </w:tc>
      </w:tr>
      <w:tr w:rsidR="00DE2450" w:rsidRPr="00C21B42" w14:paraId="6D80684C" w14:textId="77777777" w:rsidTr="00E95822">
        <w:trPr>
          <w:trHeight w:val="339"/>
        </w:trPr>
        <w:tc>
          <w:tcPr>
            <w:cnfStyle w:val="000010000000" w:firstRow="0" w:lastRow="0" w:firstColumn="0" w:lastColumn="0" w:oddVBand="1" w:evenVBand="0" w:oddHBand="0" w:evenHBand="0" w:firstRowFirstColumn="0" w:firstRowLastColumn="0" w:lastRowFirstColumn="0" w:lastRowLastColumn="0"/>
            <w:tcW w:w="903" w:type="pct"/>
            <w:vMerge/>
          </w:tcPr>
          <w:p w14:paraId="3164969B"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01000000" w:firstRow="0" w:lastRow="0" w:firstColumn="0" w:lastColumn="0" w:oddVBand="0" w:evenVBand="1" w:oddHBand="0" w:evenHBand="0" w:firstRowFirstColumn="0" w:firstRowLastColumn="0" w:lastRowFirstColumn="0" w:lastRowLastColumn="0"/>
            <w:tcW w:w="418" w:type="pct"/>
            <w:vMerge/>
          </w:tcPr>
          <w:p w14:paraId="7AF281A9"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448" w:type="pct"/>
            <w:vMerge/>
          </w:tcPr>
          <w:p w14:paraId="446529EE"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01000000" w:firstRow="0" w:lastRow="0" w:firstColumn="0" w:lastColumn="0" w:oddVBand="0" w:evenVBand="1" w:oddHBand="0" w:evenHBand="0" w:firstRowFirstColumn="0" w:firstRowLastColumn="0" w:lastRowFirstColumn="0" w:lastRowLastColumn="0"/>
            <w:tcW w:w="414" w:type="pct"/>
            <w:vMerge/>
          </w:tcPr>
          <w:p w14:paraId="78065AE9"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868" w:type="pct"/>
            <w:gridSpan w:val="2"/>
          </w:tcPr>
          <w:p w14:paraId="26DA997A" w14:textId="77777777" w:rsidR="00DE2450" w:rsidRPr="00C21B42" w:rsidRDefault="00DE2450" w:rsidP="00E95822">
            <w:pPr>
              <w:spacing w:before="120" w:after="120" w:line="360" w:lineRule="auto"/>
              <w:jc w:val="center"/>
              <w:rPr>
                <w:rFonts w:ascii="Times New Roman" w:eastAsia="Times New Roman" w:hAnsi="Times New Roman" w:cs="Times New Roman"/>
                <w:b/>
                <w:bCs/>
              </w:rPr>
            </w:pPr>
            <w:r w:rsidRPr="00C21B42">
              <w:rPr>
                <w:rFonts w:ascii="Times New Roman" w:eastAsia="Times New Roman" w:hAnsi="Times New Roman" w:cs="Times New Roman"/>
                <w:b/>
                <w:bCs/>
              </w:rPr>
              <w:t>(Permeability)</w:t>
            </w:r>
          </w:p>
        </w:tc>
        <w:tc>
          <w:tcPr>
            <w:cnfStyle w:val="000001000000" w:firstRow="0" w:lastRow="0" w:firstColumn="0" w:lastColumn="0" w:oddVBand="0" w:evenVBand="1" w:oddHBand="0" w:evenHBand="0" w:firstRowFirstColumn="0" w:firstRowLastColumn="0" w:lastRowFirstColumn="0" w:lastRowLastColumn="0"/>
            <w:tcW w:w="413" w:type="pct"/>
            <w:vMerge/>
          </w:tcPr>
          <w:p w14:paraId="2B3EA87A"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411" w:type="pct"/>
            <w:vMerge/>
          </w:tcPr>
          <w:p w14:paraId="1DD20AEB"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01000000" w:firstRow="0" w:lastRow="0" w:firstColumn="0" w:lastColumn="0" w:oddVBand="0" w:evenVBand="1" w:oddHBand="0" w:evenHBand="0" w:firstRowFirstColumn="0" w:firstRowLastColumn="0" w:lastRowFirstColumn="0" w:lastRowLastColumn="0"/>
            <w:tcW w:w="330" w:type="pct"/>
            <w:vMerge/>
          </w:tcPr>
          <w:p w14:paraId="1DF98E7F"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411" w:type="pct"/>
            <w:vMerge/>
          </w:tcPr>
          <w:p w14:paraId="09DC6FAA" w14:textId="77777777" w:rsidR="00DE2450" w:rsidRPr="00C21B42" w:rsidRDefault="00DE2450" w:rsidP="00E95822">
            <w:pPr>
              <w:spacing w:before="120" w:after="120" w:line="360" w:lineRule="auto"/>
              <w:jc w:val="both"/>
              <w:rPr>
                <w:rFonts w:ascii="Times New Roman" w:eastAsia="Times New Roman" w:hAnsi="Times New Roman" w:cs="Times New Roman"/>
              </w:rPr>
            </w:pPr>
          </w:p>
        </w:tc>
        <w:tc>
          <w:tcPr>
            <w:cnfStyle w:val="000001000000" w:firstRow="0" w:lastRow="0" w:firstColumn="0" w:lastColumn="0" w:oddVBand="0" w:evenVBand="1" w:oddHBand="0" w:evenHBand="0" w:firstRowFirstColumn="0" w:firstRowLastColumn="0" w:lastRowFirstColumn="0" w:lastRowLastColumn="0"/>
            <w:tcW w:w="383" w:type="pct"/>
            <w:vMerge/>
          </w:tcPr>
          <w:p w14:paraId="68B471D8" w14:textId="77777777" w:rsidR="00DE2450" w:rsidRPr="00C21B42" w:rsidRDefault="00DE2450" w:rsidP="00E95822">
            <w:pPr>
              <w:spacing w:before="120" w:after="120" w:line="360" w:lineRule="auto"/>
              <w:jc w:val="both"/>
              <w:rPr>
                <w:rFonts w:ascii="Times New Roman" w:eastAsia="Times New Roman" w:hAnsi="Times New Roman" w:cs="Times New Roman"/>
              </w:rPr>
            </w:pPr>
          </w:p>
        </w:tc>
      </w:tr>
      <w:tr w:rsidR="00DE2450" w:rsidRPr="00C21B42" w14:paraId="62EAF8F7" w14:textId="77777777" w:rsidTr="00E95822">
        <w:trPr>
          <w:cnfStyle w:val="000000100000" w:firstRow="0" w:lastRow="0" w:firstColumn="0" w:lastColumn="0" w:oddVBand="0" w:evenVBand="0" w:oddHBand="1" w:evenHBand="0" w:firstRowFirstColumn="0" w:firstRowLastColumn="0" w:lastRowFirstColumn="0" w:lastRowLastColumn="0"/>
          <w:trHeight w:val="397"/>
        </w:trPr>
        <w:tc>
          <w:tcPr>
            <w:cnfStyle w:val="000010000000" w:firstRow="0" w:lastRow="0" w:firstColumn="0" w:lastColumn="0" w:oddVBand="1" w:evenVBand="0" w:oddHBand="0" w:evenHBand="0" w:firstRowFirstColumn="0" w:firstRowLastColumn="0" w:lastRowFirstColumn="0" w:lastRowLastColumn="0"/>
            <w:tcW w:w="903" w:type="pct"/>
          </w:tcPr>
          <w:p w14:paraId="722E1CF9"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NVP-BHG712</w:t>
            </w:r>
          </w:p>
        </w:tc>
        <w:tc>
          <w:tcPr>
            <w:cnfStyle w:val="000001000000" w:firstRow="0" w:lastRow="0" w:firstColumn="0" w:lastColumn="0" w:oddVBand="0" w:evenVBand="1" w:oddHBand="0" w:evenHBand="0" w:firstRowFirstColumn="0" w:firstRowLastColumn="0" w:lastRowFirstColumn="0" w:lastRowLastColumn="0"/>
            <w:tcW w:w="418" w:type="pct"/>
          </w:tcPr>
          <w:p w14:paraId="6E1A75EA"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0.51</w:t>
            </w:r>
          </w:p>
        </w:tc>
        <w:tc>
          <w:tcPr>
            <w:cnfStyle w:val="000010000000" w:firstRow="0" w:lastRow="0" w:firstColumn="0" w:lastColumn="0" w:oddVBand="1" w:evenVBand="0" w:oddHBand="0" w:evenHBand="0" w:firstRowFirstColumn="0" w:firstRowLastColumn="0" w:lastRowFirstColumn="0" w:lastRowLastColumn="0"/>
            <w:tcW w:w="448" w:type="pct"/>
          </w:tcPr>
          <w:p w14:paraId="082A7CC9"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95.71</w:t>
            </w:r>
          </w:p>
        </w:tc>
        <w:tc>
          <w:tcPr>
            <w:cnfStyle w:val="000001000000" w:firstRow="0" w:lastRow="0" w:firstColumn="0" w:lastColumn="0" w:oddVBand="0" w:evenVBand="1" w:oddHBand="0" w:evenHBand="0" w:firstRowFirstColumn="0" w:firstRowLastColumn="0" w:lastRowFirstColumn="0" w:lastRowLastColumn="0"/>
            <w:tcW w:w="414" w:type="pct"/>
          </w:tcPr>
          <w:p w14:paraId="6101D859"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10000000" w:firstRow="0" w:lastRow="0" w:firstColumn="0" w:lastColumn="0" w:oddVBand="1" w:evenVBand="0" w:oddHBand="0" w:evenHBand="0" w:firstRowFirstColumn="0" w:firstRowLastColumn="0" w:lastRowFirstColumn="0" w:lastRowLastColumn="0"/>
            <w:tcW w:w="415" w:type="pct"/>
          </w:tcPr>
          <w:p w14:paraId="1ED5CA6A"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-1.05</w:t>
            </w:r>
          </w:p>
        </w:tc>
        <w:tc>
          <w:tcPr>
            <w:cnfStyle w:val="000001000000" w:firstRow="0" w:lastRow="0" w:firstColumn="0" w:lastColumn="0" w:oddVBand="0" w:evenVBand="1" w:oddHBand="0" w:evenHBand="0" w:firstRowFirstColumn="0" w:firstRowLastColumn="0" w:lastRowFirstColumn="0" w:lastRowLastColumn="0"/>
            <w:tcW w:w="453" w:type="pct"/>
          </w:tcPr>
          <w:p w14:paraId="0AC3168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-2.17</w:t>
            </w:r>
          </w:p>
        </w:tc>
        <w:tc>
          <w:tcPr>
            <w:cnfStyle w:val="000010000000" w:firstRow="0" w:lastRow="0" w:firstColumn="0" w:lastColumn="0" w:oddVBand="1" w:evenVBand="0" w:oddHBand="0" w:evenHBand="0" w:firstRowFirstColumn="0" w:firstRowLastColumn="0" w:lastRowFirstColumn="0" w:lastRowLastColumn="0"/>
            <w:tcW w:w="413" w:type="pct"/>
          </w:tcPr>
          <w:p w14:paraId="79451B7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6B3B111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-0.087</w:t>
            </w:r>
          </w:p>
        </w:tc>
        <w:tc>
          <w:tcPr>
            <w:cnfStyle w:val="000010000000" w:firstRow="0" w:lastRow="0" w:firstColumn="0" w:lastColumn="0" w:oddVBand="1" w:evenVBand="0" w:oddHBand="0" w:evenHBand="0" w:firstRowFirstColumn="0" w:firstRowLastColumn="0" w:lastRowFirstColumn="0" w:lastRowLastColumn="0"/>
            <w:tcW w:w="330" w:type="pct"/>
          </w:tcPr>
          <w:p w14:paraId="540CC65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092145E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1.73</w:t>
            </w:r>
          </w:p>
        </w:tc>
        <w:tc>
          <w:tcPr>
            <w:cnfStyle w:val="000010000000" w:firstRow="0" w:lastRow="0" w:firstColumn="0" w:lastColumn="0" w:oddVBand="1" w:evenVBand="0" w:oddHBand="0" w:evenHBand="0" w:firstRowFirstColumn="0" w:firstRowLastColumn="0" w:lastRowFirstColumn="0" w:lastRowLastColumn="0"/>
            <w:tcW w:w="383" w:type="pct"/>
          </w:tcPr>
          <w:p w14:paraId="5C8484E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3.27</w:t>
            </w:r>
          </w:p>
        </w:tc>
      </w:tr>
      <w:tr w:rsidR="00DE2450" w:rsidRPr="00C21B42" w14:paraId="586B216E" w14:textId="77777777" w:rsidTr="00E95822">
        <w:trPr>
          <w:trHeight w:val="465"/>
        </w:trPr>
        <w:tc>
          <w:tcPr>
            <w:cnfStyle w:val="000010000000" w:firstRow="0" w:lastRow="0" w:firstColumn="0" w:lastColumn="0" w:oddVBand="1" w:evenVBand="0" w:oddHBand="0" w:evenHBand="0" w:firstRowFirstColumn="0" w:firstRowLastColumn="0" w:lastRowFirstColumn="0" w:lastRowLastColumn="0"/>
            <w:tcW w:w="903" w:type="pct"/>
          </w:tcPr>
          <w:p w14:paraId="6B5E0946"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Irinotecan</w:t>
            </w:r>
          </w:p>
        </w:tc>
        <w:tc>
          <w:tcPr>
            <w:cnfStyle w:val="000001000000" w:firstRow="0" w:lastRow="0" w:firstColumn="0" w:lastColumn="0" w:oddVBand="0" w:evenVBand="1" w:oddHBand="0" w:evenHBand="0" w:firstRowFirstColumn="0" w:firstRowLastColumn="0" w:lastRowFirstColumn="0" w:lastRowLastColumn="0"/>
            <w:tcW w:w="418" w:type="pct"/>
          </w:tcPr>
          <w:p w14:paraId="1196B1B4"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0.648</w:t>
            </w:r>
          </w:p>
        </w:tc>
        <w:tc>
          <w:tcPr>
            <w:cnfStyle w:val="000010000000" w:firstRow="0" w:lastRow="0" w:firstColumn="0" w:lastColumn="0" w:oddVBand="1" w:evenVBand="0" w:oddHBand="0" w:evenHBand="0" w:firstRowFirstColumn="0" w:firstRowLastColumn="0" w:lastRowFirstColumn="0" w:lastRowLastColumn="0"/>
            <w:tcW w:w="448" w:type="pct"/>
          </w:tcPr>
          <w:p w14:paraId="5D2BEFD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99.88</w:t>
            </w:r>
          </w:p>
        </w:tc>
        <w:tc>
          <w:tcPr>
            <w:cnfStyle w:val="000001000000" w:firstRow="0" w:lastRow="0" w:firstColumn="0" w:lastColumn="0" w:oddVBand="0" w:evenVBand="1" w:oddHBand="0" w:evenHBand="0" w:firstRowFirstColumn="0" w:firstRowLastColumn="0" w:lastRowFirstColumn="0" w:lastRowLastColumn="0"/>
            <w:tcW w:w="414" w:type="pct"/>
          </w:tcPr>
          <w:p w14:paraId="799C5CA6"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10000000" w:firstRow="0" w:lastRow="0" w:firstColumn="0" w:lastColumn="0" w:oddVBand="1" w:evenVBand="0" w:oddHBand="0" w:evenHBand="0" w:firstRowFirstColumn="0" w:firstRowLastColumn="0" w:lastRowFirstColumn="0" w:lastRowLastColumn="0"/>
            <w:tcW w:w="415" w:type="pct"/>
          </w:tcPr>
          <w:p w14:paraId="7E9B34D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-1.31</w:t>
            </w:r>
          </w:p>
        </w:tc>
        <w:tc>
          <w:tcPr>
            <w:cnfStyle w:val="000001000000" w:firstRow="0" w:lastRow="0" w:firstColumn="0" w:lastColumn="0" w:oddVBand="0" w:evenVBand="1" w:oddHBand="0" w:evenHBand="0" w:firstRowFirstColumn="0" w:firstRowLastColumn="0" w:lastRowFirstColumn="0" w:lastRowLastColumn="0"/>
            <w:tcW w:w="453" w:type="pct"/>
          </w:tcPr>
          <w:p w14:paraId="234691D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-3.23</w:t>
            </w:r>
          </w:p>
        </w:tc>
        <w:tc>
          <w:tcPr>
            <w:cnfStyle w:val="000010000000" w:firstRow="0" w:lastRow="0" w:firstColumn="0" w:lastColumn="0" w:oddVBand="1" w:evenVBand="0" w:oddHBand="0" w:evenHBand="0" w:firstRowFirstColumn="0" w:firstRowLastColumn="0" w:lastRowFirstColumn="0" w:lastRowLastColumn="0"/>
            <w:tcW w:w="413" w:type="pct"/>
          </w:tcPr>
          <w:p w14:paraId="6555C370"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263793D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0.939</w:t>
            </w:r>
          </w:p>
        </w:tc>
        <w:tc>
          <w:tcPr>
            <w:cnfStyle w:val="000010000000" w:firstRow="0" w:lastRow="0" w:firstColumn="0" w:lastColumn="0" w:oddVBand="1" w:evenVBand="0" w:oddHBand="0" w:evenHBand="0" w:firstRowFirstColumn="0" w:firstRowLastColumn="0" w:lastRowFirstColumn="0" w:lastRowLastColumn="0"/>
            <w:tcW w:w="330" w:type="pct"/>
          </w:tcPr>
          <w:p w14:paraId="3D2EF452"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4D5FD27E"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0.79</w:t>
            </w:r>
          </w:p>
        </w:tc>
        <w:tc>
          <w:tcPr>
            <w:cnfStyle w:val="000010000000" w:firstRow="0" w:lastRow="0" w:firstColumn="0" w:lastColumn="0" w:oddVBand="1" w:evenVBand="0" w:oddHBand="0" w:evenHBand="0" w:firstRowFirstColumn="0" w:firstRowLastColumn="0" w:lastRowFirstColumn="0" w:lastRowLastColumn="0"/>
            <w:tcW w:w="383" w:type="pct"/>
          </w:tcPr>
          <w:p w14:paraId="701B0A6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2.81</w:t>
            </w:r>
          </w:p>
        </w:tc>
      </w:tr>
      <w:tr w:rsidR="00DE2450" w:rsidRPr="00C21B42" w14:paraId="6066D39C" w14:textId="77777777" w:rsidTr="00E95822">
        <w:trPr>
          <w:cnfStyle w:val="000000100000" w:firstRow="0" w:lastRow="0" w:firstColumn="0" w:lastColumn="0" w:oddVBand="0" w:evenVBand="0" w:oddHBand="1" w:evenHBand="0" w:firstRowFirstColumn="0" w:firstRowLastColumn="0" w:lastRowFirstColumn="0" w:lastRowLastColumn="0"/>
          <w:trHeight w:val="465"/>
        </w:trPr>
        <w:tc>
          <w:tcPr>
            <w:cnfStyle w:val="000010000000" w:firstRow="0" w:lastRow="0" w:firstColumn="0" w:lastColumn="0" w:oddVBand="1" w:evenVBand="0" w:oddHBand="0" w:evenHBand="0" w:firstRowFirstColumn="0" w:firstRowLastColumn="0" w:lastRowFirstColumn="0" w:lastRowLastColumn="0"/>
            <w:tcW w:w="903" w:type="pct"/>
          </w:tcPr>
          <w:p w14:paraId="20EE574C"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Olaparib</w:t>
            </w:r>
          </w:p>
        </w:tc>
        <w:tc>
          <w:tcPr>
            <w:cnfStyle w:val="000001000000" w:firstRow="0" w:lastRow="0" w:firstColumn="0" w:lastColumn="0" w:oddVBand="0" w:evenVBand="1" w:oddHBand="0" w:evenHBand="0" w:firstRowFirstColumn="0" w:firstRowLastColumn="0" w:lastRowFirstColumn="0" w:lastRowLastColumn="0"/>
            <w:tcW w:w="418" w:type="pct"/>
          </w:tcPr>
          <w:p w14:paraId="7297CC62"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1.08</w:t>
            </w:r>
          </w:p>
        </w:tc>
        <w:tc>
          <w:tcPr>
            <w:cnfStyle w:val="000010000000" w:firstRow="0" w:lastRow="0" w:firstColumn="0" w:lastColumn="0" w:oddVBand="1" w:evenVBand="0" w:oddHBand="0" w:evenHBand="0" w:firstRowFirstColumn="0" w:firstRowLastColumn="0" w:lastRowFirstColumn="0" w:lastRowLastColumn="0"/>
            <w:tcW w:w="448" w:type="pct"/>
          </w:tcPr>
          <w:p w14:paraId="4488BA45"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91.93</w:t>
            </w:r>
          </w:p>
        </w:tc>
        <w:tc>
          <w:tcPr>
            <w:cnfStyle w:val="000001000000" w:firstRow="0" w:lastRow="0" w:firstColumn="0" w:lastColumn="0" w:oddVBand="0" w:evenVBand="1" w:oddHBand="0" w:evenHBand="0" w:firstRowFirstColumn="0" w:firstRowLastColumn="0" w:lastRowFirstColumn="0" w:lastRowLastColumn="0"/>
            <w:tcW w:w="414" w:type="pct"/>
          </w:tcPr>
          <w:p w14:paraId="4C5ECDD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10000000" w:firstRow="0" w:lastRow="0" w:firstColumn="0" w:lastColumn="0" w:oddVBand="1" w:evenVBand="0" w:oddHBand="0" w:evenHBand="0" w:firstRowFirstColumn="0" w:firstRowLastColumn="0" w:lastRowFirstColumn="0" w:lastRowLastColumn="0"/>
            <w:tcW w:w="415" w:type="pct"/>
          </w:tcPr>
          <w:p w14:paraId="6C0BBD12"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-0.85</w:t>
            </w:r>
          </w:p>
        </w:tc>
        <w:tc>
          <w:tcPr>
            <w:cnfStyle w:val="000001000000" w:firstRow="0" w:lastRow="0" w:firstColumn="0" w:lastColumn="0" w:oddVBand="0" w:evenVBand="1" w:oddHBand="0" w:evenHBand="0" w:firstRowFirstColumn="0" w:firstRowLastColumn="0" w:lastRowFirstColumn="0" w:lastRowLastColumn="0"/>
            <w:tcW w:w="453" w:type="pct"/>
          </w:tcPr>
          <w:p w14:paraId="19614112"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-2.66</w:t>
            </w:r>
          </w:p>
        </w:tc>
        <w:tc>
          <w:tcPr>
            <w:cnfStyle w:val="000010000000" w:firstRow="0" w:lastRow="0" w:firstColumn="0" w:lastColumn="0" w:oddVBand="1" w:evenVBand="0" w:oddHBand="0" w:evenHBand="0" w:firstRowFirstColumn="0" w:firstRowLastColumn="0" w:lastRowFirstColumn="0" w:lastRowLastColumn="0"/>
            <w:tcW w:w="413" w:type="pct"/>
          </w:tcPr>
          <w:p w14:paraId="430A07C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72DA79D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0.569</w:t>
            </w:r>
          </w:p>
        </w:tc>
        <w:tc>
          <w:tcPr>
            <w:cnfStyle w:val="000010000000" w:firstRow="0" w:lastRow="0" w:firstColumn="0" w:lastColumn="0" w:oddVBand="1" w:evenVBand="0" w:oddHBand="0" w:evenHBand="0" w:firstRowFirstColumn="0" w:firstRowLastColumn="0" w:lastRowFirstColumn="0" w:lastRowLastColumn="0"/>
            <w:tcW w:w="330" w:type="pct"/>
          </w:tcPr>
          <w:p w14:paraId="4281580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771A77BA"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1.97</w:t>
            </w:r>
          </w:p>
        </w:tc>
        <w:tc>
          <w:tcPr>
            <w:cnfStyle w:val="000010000000" w:firstRow="0" w:lastRow="0" w:firstColumn="0" w:lastColumn="0" w:oddVBand="1" w:evenVBand="0" w:oddHBand="0" w:evenHBand="0" w:firstRowFirstColumn="0" w:firstRowLastColumn="0" w:lastRowFirstColumn="0" w:lastRowLastColumn="0"/>
            <w:tcW w:w="383" w:type="pct"/>
          </w:tcPr>
          <w:p w14:paraId="4D70187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2.62</w:t>
            </w:r>
          </w:p>
        </w:tc>
      </w:tr>
      <w:tr w:rsidR="00DE2450" w:rsidRPr="00C21B42" w14:paraId="4A8927EC" w14:textId="77777777" w:rsidTr="00E95822">
        <w:trPr>
          <w:trHeight w:val="465"/>
        </w:trPr>
        <w:tc>
          <w:tcPr>
            <w:cnfStyle w:val="000010000000" w:firstRow="0" w:lastRow="0" w:firstColumn="0" w:lastColumn="0" w:oddVBand="1" w:evenVBand="0" w:oddHBand="0" w:evenHBand="0" w:firstRowFirstColumn="0" w:firstRowLastColumn="0" w:lastRowFirstColumn="0" w:lastRowLastColumn="0"/>
            <w:tcW w:w="903" w:type="pct"/>
          </w:tcPr>
          <w:p w14:paraId="63D0EDB9"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bookmarkStart w:id="48" w:name="_Hlk125746866"/>
            <w:r w:rsidRPr="00C21B42">
              <w:rPr>
                <w:rFonts w:ascii="Times New Roman" w:hAnsi="Times New Roman" w:cs="Times New Roman"/>
                <w:b/>
                <w:bCs/>
                <w:sz w:val="20"/>
                <w:szCs w:val="20"/>
              </w:rPr>
              <w:t>Timosaponin AIII</w:t>
            </w:r>
            <w:bookmarkEnd w:id="48"/>
          </w:p>
        </w:tc>
        <w:tc>
          <w:tcPr>
            <w:cnfStyle w:val="000001000000" w:firstRow="0" w:lastRow="0" w:firstColumn="0" w:lastColumn="0" w:oddVBand="0" w:evenVBand="1" w:oddHBand="0" w:evenHBand="0" w:firstRowFirstColumn="0" w:firstRowLastColumn="0" w:lastRowFirstColumn="0" w:lastRowLastColumn="0"/>
            <w:tcW w:w="418" w:type="pct"/>
          </w:tcPr>
          <w:p w14:paraId="613CBB2E"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-0.661</w:t>
            </w:r>
          </w:p>
        </w:tc>
        <w:tc>
          <w:tcPr>
            <w:cnfStyle w:val="000010000000" w:firstRow="0" w:lastRow="0" w:firstColumn="0" w:lastColumn="0" w:oddVBand="1" w:evenVBand="0" w:oddHBand="0" w:evenHBand="0" w:firstRowFirstColumn="0" w:firstRowLastColumn="0" w:lastRowFirstColumn="0" w:lastRowLastColumn="0"/>
            <w:tcW w:w="448" w:type="pct"/>
          </w:tcPr>
          <w:p w14:paraId="71E5BFE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39.86</w:t>
            </w:r>
          </w:p>
        </w:tc>
        <w:tc>
          <w:tcPr>
            <w:cnfStyle w:val="000001000000" w:firstRow="0" w:lastRow="0" w:firstColumn="0" w:lastColumn="0" w:oddVBand="0" w:evenVBand="1" w:oddHBand="0" w:evenHBand="0" w:firstRowFirstColumn="0" w:firstRowLastColumn="0" w:lastRowFirstColumn="0" w:lastRowLastColumn="0"/>
            <w:tcW w:w="414" w:type="pct"/>
          </w:tcPr>
          <w:p w14:paraId="16000C36"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10000000" w:firstRow="0" w:lastRow="0" w:firstColumn="0" w:lastColumn="0" w:oddVBand="1" w:evenVBand="0" w:oddHBand="0" w:evenHBand="0" w:firstRowFirstColumn="0" w:firstRowLastColumn="0" w:lastRowFirstColumn="0" w:lastRowLastColumn="0"/>
            <w:tcW w:w="415" w:type="pct"/>
          </w:tcPr>
          <w:p w14:paraId="1AE140D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-1.51</w:t>
            </w:r>
          </w:p>
        </w:tc>
        <w:tc>
          <w:tcPr>
            <w:cnfStyle w:val="000001000000" w:firstRow="0" w:lastRow="0" w:firstColumn="0" w:lastColumn="0" w:oddVBand="0" w:evenVBand="1" w:oddHBand="0" w:evenHBand="0" w:firstRowFirstColumn="0" w:firstRowLastColumn="0" w:lastRowFirstColumn="0" w:lastRowLastColumn="0"/>
            <w:tcW w:w="453" w:type="pct"/>
          </w:tcPr>
          <w:p w14:paraId="4E8268E7"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-4.10</w:t>
            </w:r>
          </w:p>
        </w:tc>
        <w:tc>
          <w:tcPr>
            <w:cnfStyle w:val="000010000000" w:firstRow="0" w:lastRow="0" w:firstColumn="0" w:lastColumn="0" w:oddVBand="1" w:evenVBand="0" w:oddHBand="0" w:evenHBand="0" w:firstRowFirstColumn="0" w:firstRowLastColumn="0" w:lastRowFirstColumn="0" w:lastRowLastColumn="0"/>
            <w:tcW w:w="413" w:type="pct"/>
          </w:tcPr>
          <w:p w14:paraId="7BFF411A"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0A7184D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0.429</w:t>
            </w:r>
          </w:p>
        </w:tc>
        <w:tc>
          <w:tcPr>
            <w:cnfStyle w:val="000010000000" w:firstRow="0" w:lastRow="0" w:firstColumn="0" w:lastColumn="0" w:oddVBand="1" w:evenVBand="0" w:oddHBand="0" w:evenHBand="0" w:firstRowFirstColumn="0" w:firstRowLastColumn="0" w:lastRowFirstColumn="0" w:lastRowLastColumn="0"/>
            <w:tcW w:w="330" w:type="pct"/>
          </w:tcPr>
          <w:p w14:paraId="4001483A"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0C3CAE0B"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5.87</w:t>
            </w:r>
          </w:p>
        </w:tc>
        <w:tc>
          <w:tcPr>
            <w:cnfStyle w:val="000010000000" w:firstRow="0" w:lastRow="0" w:firstColumn="0" w:lastColumn="0" w:oddVBand="1" w:evenVBand="0" w:oddHBand="0" w:evenHBand="0" w:firstRowFirstColumn="0" w:firstRowLastColumn="0" w:lastRowFirstColumn="0" w:lastRowLastColumn="0"/>
            <w:tcW w:w="383" w:type="pct"/>
          </w:tcPr>
          <w:p w14:paraId="0EED8EBA"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3.13</w:t>
            </w:r>
          </w:p>
        </w:tc>
      </w:tr>
      <w:tr w:rsidR="00DE2450" w:rsidRPr="00C21B42" w14:paraId="2F39F5C0" w14:textId="77777777" w:rsidTr="00E95822">
        <w:trPr>
          <w:cnfStyle w:val="000000100000" w:firstRow="0" w:lastRow="0" w:firstColumn="0" w:lastColumn="0" w:oddVBand="0" w:evenVBand="0" w:oddHBand="1" w:evenHBand="0" w:firstRowFirstColumn="0" w:firstRowLastColumn="0" w:lastRowFirstColumn="0" w:lastRowLastColumn="0"/>
          <w:trHeight w:val="465"/>
        </w:trPr>
        <w:tc>
          <w:tcPr>
            <w:cnfStyle w:val="000010000000" w:firstRow="0" w:lastRow="0" w:firstColumn="0" w:lastColumn="0" w:oddVBand="1" w:evenVBand="0" w:oddHBand="0" w:evenHBand="0" w:firstRowFirstColumn="0" w:firstRowLastColumn="0" w:lastRowFirstColumn="0" w:lastRowLastColumn="0"/>
            <w:tcW w:w="903" w:type="pct"/>
          </w:tcPr>
          <w:p w14:paraId="0ACD64FA"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Gliquidone</w:t>
            </w:r>
          </w:p>
        </w:tc>
        <w:tc>
          <w:tcPr>
            <w:cnfStyle w:val="000001000000" w:firstRow="0" w:lastRow="0" w:firstColumn="0" w:lastColumn="0" w:oddVBand="0" w:evenVBand="1" w:oddHBand="0" w:evenHBand="0" w:firstRowFirstColumn="0" w:firstRowLastColumn="0" w:lastRowFirstColumn="0" w:lastRowLastColumn="0"/>
            <w:tcW w:w="418" w:type="pct"/>
          </w:tcPr>
          <w:p w14:paraId="04A76EF1"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0.636</w:t>
            </w:r>
          </w:p>
        </w:tc>
        <w:tc>
          <w:tcPr>
            <w:cnfStyle w:val="000010000000" w:firstRow="0" w:lastRow="0" w:firstColumn="0" w:lastColumn="0" w:oddVBand="1" w:evenVBand="0" w:oddHBand="0" w:evenHBand="0" w:firstRowFirstColumn="0" w:firstRowLastColumn="0" w:lastRowFirstColumn="0" w:lastRowLastColumn="0"/>
            <w:tcW w:w="448" w:type="pct"/>
          </w:tcPr>
          <w:p w14:paraId="2657B5CB"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69.86</w:t>
            </w:r>
          </w:p>
        </w:tc>
        <w:tc>
          <w:tcPr>
            <w:cnfStyle w:val="000001000000" w:firstRow="0" w:lastRow="0" w:firstColumn="0" w:lastColumn="0" w:oddVBand="0" w:evenVBand="1" w:oddHBand="0" w:evenHBand="0" w:firstRowFirstColumn="0" w:firstRowLastColumn="0" w:lastRowFirstColumn="0" w:lastRowLastColumn="0"/>
            <w:tcW w:w="414" w:type="pct"/>
          </w:tcPr>
          <w:p w14:paraId="0DE606F7"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10000000" w:firstRow="0" w:lastRow="0" w:firstColumn="0" w:lastColumn="0" w:oddVBand="1" w:evenVBand="0" w:oddHBand="0" w:evenHBand="0" w:firstRowFirstColumn="0" w:firstRowLastColumn="0" w:lastRowFirstColumn="0" w:lastRowLastColumn="0"/>
            <w:tcW w:w="415" w:type="pct"/>
          </w:tcPr>
          <w:p w14:paraId="4CA5D98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-0.95</w:t>
            </w:r>
          </w:p>
        </w:tc>
        <w:tc>
          <w:tcPr>
            <w:cnfStyle w:val="000001000000" w:firstRow="0" w:lastRow="0" w:firstColumn="0" w:lastColumn="0" w:oddVBand="0" w:evenVBand="1" w:oddHBand="0" w:evenHBand="0" w:firstRowFirstColumn="0" w:firstRowLastColumn="0" w:lastRowFirstColumn="0" w:lastRowLastColumn="0"/>
            <w:tcW w:w="453" w:type="pct"/>
          </w:tcPr>
          <w:p w14:paraId="1196881B"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-3.11</w:t>
            </w:r>
          </w:p>
        </w:tc>
        <w:tc>
          <w:tcPr>
            <w:cnfStyle w:val="000010000000" w:firstRow="0" w:lastRow="0" w:firstColumn="0" w:lastColumn="0" w:oddVBand="1" w:evenVBand="0" w:oddHBand="0" w:evenHBand="0" w:firstRowFirstColumn="0" w:firstRowLastColumn="0" w:lastRowFirstColumn="0" w:lastRowLastColumn="0"/>
            <w:tcW w:w="413" w:type="pct"/>
          </w:tcPr>
          <w:p w14:paraId="56F01D8B"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54AA3E01"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0.379</w:t>
            </w:r>
          </w:p>
        </w:tc>
        <w:tc>
          <w:tcPr>
            <w:cnfStyle w:val="000010000000" w:firstRow="0" w:lastRow="0" w:firstColumn="0" w:lastColumn="0" w:oddVBand="1" w:evenVBand="0" w:oddHBand="0" w:evenHBand="0" w:firstRowFirstColumn="0" w:firstRowLastColumn="0" w:lastRowFirstColumn="0" w:lastRowLastColumn="0"/>
            <w:tcW w:w="330" w:type="pct"/>
          </w:tcPr>
          <w:p w14:paraId="2219846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47F94DAB"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0.55</w:t>
            </w:r>
          </w:p>
        </w:tc>
        <w:tc>
          <w:tcPr>
            <w:cnfStyle w:val="000010000000" w:firstRow="0" w:lastRow="0" w:firstColumn="0" w:lastColumn="0" w:oddVBand="1" w:evenVBand="0" w:oddHBand="0" w:evenHBand="0" w:firstRowFirstColumn="0" w:firstRowLastColumn="0" w:lastRowFirstColumn="0" w:lastRowLastColumn="0"/>
            <w:tcW w:w="383" w:type="pct"/>
          </w:tcPr>
          <w:p w14:paraId="4225625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1.85</w:t>
            </w:r>
          </w:p>
        </w:tc>
      </w:tr>
      <w:tr w:rsidR="00DE2450" w:rsidRPr="00C21B42" w14:paraId="1C5BDFD5" w14:textId="77777777" w:rsidTr="00E95822">
        <w:trPr>
          <w:trHeight w:val="465"/>
        </w:trPr>
        <w:tc>
          <w:tcPr>
            <w:cnfStyle w:val="000010000000" w:firstRow="0" w:lastRow="0" w:firstColumn="0" w:lastColumn="0" w:oddVBand="1" w:evenVBand="0" w:oddHBand="0" w:evenHBand="0" w:firstRowFirstColumn="0" w:firstRowLastColumn="0" w:lastRowFirstColumn="0" w:lastRowLastColumn="0"/>
            <w:tcW w:w="903" w:type="pct"/>
          </w:tcPr>
          <w:p w14:paraId="5D959A4B"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Herbacetin</w:t>
            </w:r>
          </w:p>
        </w:tc>
        <w:tc>
          <w:tcPr>
            <w:cnfStyle w:val="000001000000" w:firstRow="0" w:lastRow="0" w:firstColumn="0" w:lastColumn="0" w:oddVBand="0" w:evenVBand="1" w:oddHBand="0" w:evenHBand="0" w:firstRowFirstColumn="0" w:firstRowLastColumn="0" w:lastRowFirstColumn="0" w:lastRowLastColumn="0"/>
            <w:tcW w:w="418" w:type="pct"/>
          </w:tcPr>
          <w:p w14:paraId="4F4D1D64"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-0.595</w:t>
            </w:r>
          </w:p>
        </w:tc>
        <w:tc>
          <w:tcPr>
            <w:cnfStyle w:val="000010000000" w:firstRow="0" w:lastRow="0" w:firstColumn="0" w:lastColumn="0" w:oddVBand="1" w:evenVBand="0" w:oddHBand="0" w:evenHBand="0" w:firstRowFirstColumn="0" w:firstRowLastColumn="0" w:lastRowFirstColumn="0" w:lastRowLastColumn="0"/>
            <w:tcW w:w="448" w:type="pct"/>
          </w:tcPr>
          <w:p w14:paraId="5C6D5F9E"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68.00</w:t>
            </w:r>
          </w:p>
        </w:tc>
        <w:tc>
          <w:tcPr>
            <w:cnfStyle w:val="000001000000" w:firstRow="0" w:lastRow="0" w:firstColumn="0" w:lastColumn="0" w:oddVBand="0" w:evenVBand="1" w:oddHBand="0" w:evenHBand="0" w:firstRowFirstColumn="0" w:firstRowLastColumn="0" w:lastRowFirstColumn="0" w:lastRowLastColumn="0"/>
            <w:tcW w:w="414" w:type="pct"/>
          </w:tcPr>
          <w:p w14:paraId="6AFA058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10000000" w:firstRow="0" w:lastRow="0" w:firstColumn="0" w:lastColumn="0" w:oddVBand="1" w:evenVBand="0" w:oddHBand="0" w:evenHBand="0" w:firstRowFirstColumn="0" w:firstRowLastColumn="0" w:lastRowFirstColumn="0" w:lastRowLastColumn="0"/>
            <w:tcW w:w="415" w:type="pct"/>
          </w:tcPr>
          <w:p w14:paraId="14B27FFC"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-1.28</w:t>
            </w:r>
          </w:p>
        </w:tc>
        <w:tc>
          <w:tcPr>
            <w:cnfStyle w:val="000001000000" w:firstRow="0" w:lastRow="0" w:firstColumn="0" w:lastColumn="0" w:oddVBand="0" w:evenVBand="1" w:oddHBand="0" w:evenHBand="0" w:firstRowFirstColumn="0" w:firstRowLastColumn="0" w:lastRowFirstColumn="0" w:lastRowLastColumn="0"/>
            <w:tcW w:w="453" w:type="pct"/>
          </w:tcPr>
          <w:p w14:paraId="1EE490BC"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-3.12</w:t>
            </w:r>
          </w:p>
        </w:tc>
        <w:tc>
          <w:tcPr>
            <w:cnfStyle w:val="000010000000" w:firstRow="0" w:lastRow="0" w:firstColumn="0" w:lastColumn="0" w:oddVBand="1" w:evenVBand="0" w:oddHBand="0" w:evenHBand="0" w:firstRowFirstColumn="0" w:firstRowLastColumn="0" w:lastRowFirstColumn="0" w:lastRowLastColumn="0"/>
            <w:tcW w:w="413" w:type="pct"/>
          </w:tcPr>
          <w:p w14:paraId="419139E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7B669F2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0.374</w:t>
            </w:r>
          </w:p>
        </w:tc>
        <w:tc>
          <w:tcPr>
            <w:cnfStyle w:val="000010000000" w:firstRow="0" w:lastRow="0" w:firstColumn="0" w:lastColumn="0" w:oddVBand="1" w:evenVBand="0" w:oddHBand="0" w:evenHBand="0" w:firstRowFirstColumn="0" w:firstRowLastColumn="0" w:lastRowFirstColumn="0" w:lastRowLastColumn="0"/>
            <w:tcW w:w="330" w:type="pct"/>
          </w:tcPr>
          <w:p w14:paraId="2AF4149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70C625D7"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2.83</w:t>
            </w:r>
          </w:p>
        </w:tc>
        <w:tc>
          <w:tcPr>
            <w:cnfStyle w:val="000010000000" w:firstRow="0" w:lastRow="0" w:firstColumn="0" w:lastColumn="0" w:oddVBand="1" w:evenVBand="0" w:oddHBand="0" w:evenHBand="0" w:firstRowFirstColumn="0" w:firstRowLastColumn="0" w:lastRowFirstColumn="0" w:lastRowLastColumn="0"/>
            <w:tcW w:w="383" w:type="pct"/>
          </w:tcPr>
          <w:p w14:paraId="7CA68C28"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2.48</w:t>
            </w:r>
          </w:p>
        </w:tc>
      </w:tr>
      <w:tr w:rsidR="00DE2450" w:rsidRPr="00C21B42" w14:paraId="6BEC0CE6" w14:textId="77777777" w:rsidTr="00E95822">
        <w:trPr>
          <w:cnfStyle w:val="000000100000" w:firstRow="0" w:lastRow="0" w:firstColumn="0" w:lastColumn="0" w:oddVBand="0" w:evenVBand="0" w:oddHBand="1" w:evenHBand="0" w:firstRowFirstColumn="0" w:firstRowLastColumn="0" w:lastRowFirstColumn="0" w:lastRowLastColumn="0"/>
          <w:trHeight w:val="465"/>
        </w:trPr>
        <w:tc>
          <w:tcPr>
            <w:cnfStyle w:val="000010000000" w:firstRow="0" w:lastRow="0" w:firstColumn="0" w:lastColumn="0" w:oddVBand="1" w:evenVBand="0" w:oddHBand="0" w:evenHBand="0" w:firstRowFirstColumn="0" w:firstRowLastColumn="0" w:lastRowFirstColumn="0" w:lastRowLastColumn="0"/>
            <w:tcW w:w="903" w:type="pct"/>
          </w:tcPr>
          <w:p w14:paraId="0BA6A741"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r w:rsidRPr="00C21B42">
              <w:rPr>
                <w:rFonts w:ascii="Times New Roman" w:hAnsi="Times New Roman" w:cs="Times New Roman"/>
                <w:b/>
                <w:bCs/>
                <w:sz w:val="20"/>
                <w:szCs w:val="20"/>
              </w:rPr>
              <w:t>Linsitinib</w:t>
            </w:r>
          </w:p>
        </w:tc>
        <w:tc>
          <w:tcPr>
            <w:cnfStyle w:val="000001000000" w:firstRow="0" w:lastRow="0" w:firstColumn="0" w:lastColumn="0" w:oddVBand="0" w:evenVBand="1" w:oddHBand="0" w:evenHBand="0" w:firstRowFirstColumn="0" w:firstRowLastColumn="0" w:lastRowFirstColumn="0" w:lastRowLastColumn="0"/>
            <w:tcW w:w="418" w:type="pct"/>
          </w:tcPr>
          <w:p w14:paraId="136B16EC"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1.188</w:t>
            </w:r>
          </w:p>
        </w:tc>
        <w:tc>
          <w:tcPr>
            <w:cnfStyle w:val="000010000000" w:firstRow="0" w:lastRow="0" w:firstColumn="0" w:lastColumn="0" w:oddVBand="1" w:evenVBand="0" w:oddHBand="0" w:evenHBand="0" w:firstRowFirstColumn="0" w:firstRowLastColumn="0" w:lastRowFirstColumn="0" w:lastRowLastColumn="0"/>
            <w:tcW w:w="448" w:type="pct"/>
          </w:tcPr>
          <w:p w14:paraId="0E5B18F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93.26</w:t>
            </w:r>
          </w:p>
        </w:tc>
        <w:tc>
          <w:tcPr>
            <w:cnfStyle w:val="000001000000" w:firstRow="0" w:lastRow="0" w:firstColumn="0" w:lastColumn="0" w:oddVBand="0" w:evenVBand="1" w:oddHBand="0" w:evenHBand="0" w:firstRowFirstColumn="0" w:firstRowLastColumn="0" w:lastRowFirstColumn="0" w:lastRowLastColumn="0"/>
            <w:tcW w:w="414" w:type="pct"/>
          </w:tcPr>
          <w:p w14:paraId="57D90B7A"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10000000" w:firstRow="0" w:lastRow="0" w:firstColumn="0" w:lastColumn="0" w:oddVBand="1" w:evenVBand="0" w:oddHBand="0" w:evenHBand="0" w:firstRowFirstColumn="0" w:firstRowLastColumn="0" w:lastRowFirstColumn="0" w:lastRowLastColumn="0"/>
            <w:tcW w:w="415" w:type="pct"/>
          </w:tcPr>
          <w:p w14:paraId="3C9A220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-0.07</w:t>
            </w:r>
          </w:p>
        </w:tc>
        <w:tc>
          <w:tcPr>
            <w:cnfStyle w:val="000001000000" w:firstRow="0" w:lastRow="0" w:firstColumn="0" w:lastColumn="0" w:oddVBand="0" w:evenVBand="1" w:oddHBand="0" w:evenHBand="0" w:firstRowFirstColumn="0" w:firstRowLastColumn="0" w:lastRowFirstColumn="0" w:lastRowLastColumn="0"/>
            <w:tcW w:w="453" w:type="pct"/>
          </w:tcPr>
          <w:p w14:paraId="00197205"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-1.86</w:t>
            </w:r>
          </w:p>
        </w:tc>
        <w:tc>
          <w:tcPr>
            <w:cnfStyle w:val="000010000000" w:firstRow="0" w:lastRow="0" w:firstColumn="0" w:lastColumn="0" w:oddVBand="1" w:evenVBand="0" w:oddHBand="0" w:evenHBand="0" w:firstRowFirstColumn="0" w:firstRowLastColumn="0" w:lastRowFirstColumn="0" w:lastRowLastColumn="0"/>
            <w:tcW w:w="413" w:type="pct"/>
          </w:tcPr>
          <w:p w14:paraId="6B37D1C0"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5776ABD6"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0.738</w:t>
            </w:r>
          </w:p>
        </w:tc>
        <w:tc>
          <w:tcPr>
            <w:cnfStyle w:val="000010000000" w:firstRow="0" w:lastRow="0" w:firstColumn="0" w:lastColumn="0" w:oddVBand="1" w:evenVBand="0" w:oddHBand="0" w:evenHBand="0" w:firstRowFirstColumn="0" w:firstRowLastColumn="0" w:lastRowFirstColumn="0" w:lastRowLastColumn="0"/>
            <w:tcW w:w="330" w:type="pct"/>
          </w:tcPr>
          <w:p w14:paraId="7EAB0662"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0220CF0C"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-1.10</w:t>
            </w:r>
          </w:p>
        </w:tc>
        <w:tc>
          <w:tcPr>
            <w:cnfStyle w:val="000010000000" w:firstRow="0" w:lastRow="0" w:firstColumn="0" w:lastColumn="0" w:oddVBand="1" w:evenVBand="0" w:oddHBand="0" w:evenHBand="0" w:firstRowFirstColumn="0" w:firstRowLastColumn="0" w:lastRowFirstColumn="0" w:lastRowLastColumn="0"/>
            <w:tcW w:w="383" w:type="pct"/>
          </w:tcPr>
          <w:p w14:paraId="3FB3B323"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2.68</w:t>
            </w:r>
          </w:p>
        </w:tc>
      </w:tr>
      <w:tr w:rsidR="00DE2450" w:rsidRPr="00C21B42" w14:paraId="7F1DD83D" w14:textId="77777777" w:rsidTr="00E95822">
        <w:trPr>
          <w:trHeight w:val="465"/>
        </w:trPr>
        <w:tc>
          <w:tcPr>
            <w:cnfStyle w:val="000010000000" w:firstRow="0" w:lastRow="0" w:firstColumn="0" w:lastColumn="0" w:oddVBand="1" w:evenVBand="0" w:oddHBand="0" w:evenHBand="0" w:firstRowFirstColumn="0" w:firstRowLastColumn="0" w:lastRowFirstColumn="0" w:lastRowLastColumn="0"/>
            <w:tcW w:w="903" w:type="pct"/>
          </w:tcPr>
          <w:p w14:paraId="59B7B376" w14:textId="77777777" w:rsidR="00DE2450" w:rsidRPr="00C21B42" w:rsidRDefault="00DE2450" w:rsidP="00E95822">
            <w:pPr>
              <w:spacing w:before="120" w:after="120" w:line="360" w:lineRule="auto"/>
              <w:jc w:val="both"/>
              <w:rPr>
                <w:rFonts w:ascii="Times New Roman" w:eastAsia="Times New Roman" w:hAnsi="Times New Roman" w:cs="Times New Roman"/>
                <w:b/>
                <w:bCs/>
                <w:sz w:val="20"/>
                <w:szCs w:val="20"/>
              </w:rPr>
            </w:pPr>
            <w:bookmarkStart w:id="49" w:name="_Hlk125746857"/>
            <w:r w:rsidRPr="00C21B42">
              <w:rPr>
                <w:rFonts w:ascii="Times New Roman" w:hAnsi="Times New Roman" w:cs="Times New Roman"/>
                <w:b/>
                <w:bCs/>
                <w:sz w:val="20"/>
                <w:szCs w:val="20"/>
              </w:rPr>
              <w:t>Momordin</w:t>
            </w:r>
            <w:bookmarkEnd w:id="49"/>
          </w:p>
        </w:tc>
        <w:tc>
          <w:tcPr>
            <w:cnfStyle w:val="000001000000" w:firstRow="0" w:lastRow="0" w:firstColumn="0" w:lastColumn="0" w:oddVBand="0" w:evenVBand="1" w:oddHBand="0" w:evenHBand="0" w:firstRowFirstColumn="0" w:firstRowLastColumn="0" w:lastRowFirstColumn="0" w:lastRowLastColumn="0"/>
            <w:tcW w:w="418" w:type="pct"/>
          </w:tcPr>
          <w:p w14:paraId="776CA2E3" w14:textId="77777777" w:rsidR="00DE2450" w:rsidRPr="00C21B42" w:rsidRDefault="00DE2450" w:rsidP="00E95822">
            <w:pPr>
              <w:spacing w:before="120" w:after="120" w:line="360" w:lineRule="auto"/>
              <w:jc w:val="center"/>
              <w:rPr>
                <w:rFonts w:ascii="Times New Roman" w:eastAsia="Times New Roman" w:hAnsi="Times New Roman" w:cs="Times New Roman"/>
              </w:rPr>
            </w:pPr>
            <w:r w:rsidRPr="00C21B42">
              <w:rPr>
                <w:rFonts w:ascii="Times New Roman" w:hAnsi="Times New Roman" w:cs="Times New Roman"/>
              </w:rPr>
              <w:t>-0.811</w:t>
            </w:r>
          </w:p>
        </w:tc>
        <w:tc>
          <w:tcPr>
            <w:cnfStyle w:val="000010000000" w:firstRow="0" w:lastRow="0" w:firstColumn="0" w:lastColumn="0" w:oddVBand="1" w:evenVBand="0" w:oddHBand="0" w:evenHBand="0" w:firstRowFirstColumn="0" w:firstRowLastColumn="0" w:lastRowFirstColumn="0" w:lastRowLastColumn="0"/>
            <w:tcW w:w="448" w:type="pct"/>
          </w:tcPr>
          <w:p w14:paraId="1DB1C352"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6.04</w:t>
            </w:r>
          </w:p>
        </w:tc>
        <w:tc>
          <w:tcPr>
            <w:cnfStyle w:val="000001000000" w:firstRow="0" w:lastRow="0" w:firstColumn="0" w:lastColumn="0" w:oddVBand="0" w:evenVBand="1" w:oddHBand="0" w:evenHBand="0" w:firstRowFirstColumn="0" w:firstRowLastColumn="0" w:lastRowFirstColumn="0" w:lastRowLastColumn="0"/>
            <w:tcW w:w="414" w:type="pct"/>
          </w:tcPr>
          <w:p w14:paraId="479EE726"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10000000" w:firstRow="0" w:lastRow="0" w:firstColumn="0" w:lastColumn="0" w:oddVBand="1" w:evenVBand="0" w:oddHBand="0" w:evenHBand="0" w:firstRowFirstColumn="0" w:firstRowLastColumn="0" w:lastRowFirstColumn="0" w:lastRowLastColumn="0"/>
            <w:tcW w:w="415" w:type="pct"/>
          </w:tcPr>
          <w:p w14:paraId="361665C9"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-1.57</w:t>
            </w:r>
          </w:p>
        </w:tc>
        <w:tc>
          <w:tcPr>
            <w:cnfStyle w:val="000001000000" w:firstRow="0" w:lastRow="0" w:firstColumn="0" w:lastColumn="0" w:oddVBand="0" w:evenVBand="1" w:oddHBand="0" w:evenHBand="0" w:firstRowFirstColumn="0" w:firstRowLastColumn="0" w:lastRowFirstColumn="0" w:lastRowLastColumn="0"/>
            <w:tcW w:w="453" w:type="pct"/>
          </w:tcPr>
          <w:p w14:paraId="144BA6B7"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-3.89</w:t>
            </w:r>
          </w:p>
        </w:tc>
        <w:tc>
          <w:tcPr>
            <w:cnfStyle w:val="000010000000" w:firstRow="0" w:lastRow="0" w:firstColumn="0" w:lastColumn="0" w:oddVBand="1" w:evenVBand="0" w:oddHBand="0" w:evenHBand="0" w:firstRowFirstColumn="0" w:firstRowLastColumn="0" w:lastRowFirstColumn="0" w:lastRowLastColumn="0"/>
            <w:tcW w:w="413" w:type="pct"/>
          </w:tcPr>
          <w:p w14:paraId="35477407"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Yes</w:t>
            </w:r>
          </w:p>
        </w:tc>
        <w:tc>
          <w:tcPr>
            <w:cnfStyle w:val="000001000000" w:firstRow="0" w:lastRow="0" w:firstColumn="0" w:lastColumn="0" w:oddVBand="0" w:evenVBand="1" w:oddHBand="0" w:evenHBand="0" w:firstRowFirstColumn="0" w:firstRowLastColumn="0" w:lastRowFirstColumn="0" w:lastRowLastColumn="0"/>
            <w:tcW w:w="411" w:type="pct"/>
          </w:tcPr>
          <w:p w14:paraId="113AF734"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-0.19</w:t>
            </w:r>
          </w:p>
        </w:tc>
        <w:tc>
          <w:tcPr>
            <w:cnfStyle w:val="000010000000" w:firstRow="0" w:lastRow="0" w:firstColumn="0" w:lastColumn="0" w:oddVBand="1" w:evenVBand="0" w:oddHBand="0" w:evenHBand="0" w:firstRowFirstColumn="0" w:firstRowLastColumn="0" w:lastRowFirstColumn="0" w:lastRowLastColumn="0"/>
            <w:tcW w:w="330" w:type="pct"/>
          </w:tcPr>
          <w:p w14:paraId="1E2A4462"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No</w:t>
            </w:r>
          </w:p>
        </w:tc>
        <w:tc>
          <w:tcPr>
            <w:cnfStyle w:val="000001000000" w:firstRow="0" w:lastRow="0" w:firstColumn="0" w:lastColumn="0" w:oddVBand="0" w:evenVBand="1" w:oddHBand="0" w:evenHBand="0" w:firstRowFirstColumn="0" w:firstRowLastColumn="0" w:lastRowFirstColumn="0" w:lastRowLastColumn="0"/>
            <w:tcW w:w="411" w:type="pct"/>
          </w:tcPr>
          <w:p w14:paraId="568E29CF"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3.82</w:t>
            </w:r>
          </w:p>
        </w:tc>
        <w:tc>
          <w:tcPr>
            <w:cnfStyle w:val="000010000000" w:firstRow="0" w:lastRow="0" w:firstColumn="0" w:lastColumn="0" w:oddVBand="1" w:evenVBand="0" w:oddHBand="0" w:evenHBand="0" w:firstRowFirstColumn="0" w:firstRowLastColumn="0" w:lastRowFirstColumn="0" w:lastRowLastColumn="0"/>
            <w:tcW w:w="383" w:type="pct"/>
          </w:tcPr>
          <w:p w14:paraId="26E6CB9C" w14:textId="77777777" w:rsidR="00DE2450" w:rsidRPr="00C21B42" w:rsidRDefault="00DE2450" w:rsidP="00E95822">
            <w:pPr>
              <w:spacing w:before="120" w:after="120" w:line="360" w:lineRule="auto"/>
              <w:jc w:val="both"/>
              <w:rPr>
                <w:rFonts w:ascii="Times New Roman" w:eastAsia="Times New Roman" w:hAnsi="Times New Roman" w:cs="Times New Roman"/>
              </w:rPr>
            </w:pPr>
            <w:r w:rsidRPr="00C21B42">
              <w:rPr>
                <w:rFonts w:ascii="Times New Roman" w:hAnsi="Times New Roman" w:cs="Times New Roman"/>
              </w:rPr>
              <w:t>2.49</w:t>
            </w:r>
          </w:p>
        </w:tc>
      </w:tr>
    </w:tbl>
    <w:p w14:paraId="2B0A2758" w14:textId="3F9435DB" w:rsidR="00881D2E" w:rsidRPr="00C21B42" w:rsidRDefault="00881D2E" w:rsidP="00200F32">
      <w:pPr>
        <w:rPr>
          <w:rFonts w:ascii="Times New Roman" w:hAnsi="Times New Roman" w:cs="Times New Roman"/>
        </w:rPr>
      </w:pPr>
    </w:p>
    <w:p w14:paraId="0D3E87C0" w14:textId="77777777" w:rsidR="00630A47" w:rsidRDefault="00630A47" w:rsidP="00200F32">
      <w:pPr>
        <w:rPr>
          <w:rFonts w:ascii="Times New Roman" w:hAnsi="Times New Roman" w:cs="Times New Roman"/>
        </w:rPr>
      </w:pPr>
    </w:p>
    <w:p w14:paraId="3E487316" w14:textId="77777777" w:rsidR="00290A30" w:rsidRDefault="00290A30" w:rsidP="00200F32">
      <w:pPr>
        <w:rPr>
          <w:rFonts w:ascii="Times New Roman" w:hAnsi="Times New Roman" w:cs="Times New Roman"/>
        </w:rPr>
      </w:pPr>
    </w:p>
    <w:p w14:paraId="5B0FF963" w14:textId="77777777" w:rsidR="00290A30" w:rsidRDefault="00290A30" w:rsidP="00200F32">
      <w:pPr>
        <w:rPr>
          <w:rFonts w:ascii="Times New Roman" w:hAnsi="Times New Roman" w:cs="Times New Roman"/>
        </w:rPr>
      </w:pPr>
    </w:p>
    <w:p w14:paraId="3199DD8A" w14:textId="77777777" w:rsidR="00290A30" w:rsidRDefault="00290A30" w:rsidP="00200F32">
      <w:pPr>
        <w:rPr>
          <w:rFonts w:ascii="Times New Roman" w:hAnsi="Times New Roman" w:cs="Times New Roman"/>
        </w:rPr>
      </w:pPr>
    </w:p>
    <w:p w14:paraId="28CCEC58" w14:textId="77777777" w:rsidR="00290A30" w:rsidRDefault="00290A30" w:rsidP="00200F32">
      <w:pPr>
        <w:rPr>
          <w:rFonts w:ascii="Times New Roman" w:hAnsi="Times New Roman" w:cs="Times New Roman"/>
        </w:rPr>
      </w:pPr>
    </w:p>
    <w:p w14:paraId="6631D863" w14:textId="77777777" w:rsidR="00290A30" w:rsidRDefault="00290A30" w:rsidP="00200F32">
      <w:pPr>
        <w:rPr>
          <w:rFonts w:ascii="Times New Roman" w:hAnsi="Times New Roman" w:cs="Times New Roman"/>
        </w:rPr>
      </w:pPr>
    </w:p>
    <w:p w14:paraId="75767526" w14:textId="77777777" w:rsidR="00290A30" w:rsidRDefault="00290A30" w:rsidP="00200F32">
      <w:pPr>
        <w:rPr>
          <w:rFonts w:ascii="Times New Roman" w:hAnsi="Times New Roman" w:cs="Times New Roman"/>
        </w:rPr>
      </w:pPr>
    </w:p>
    <w:p w14:paraId="404FC690" w14:textId="77777777" w:rsidR="00290A30" w:rsidRDefault="00290A30" w:rsidP="00200F32">
      <w:pPr>
        <w:rPr>
          <w:rFonts w:ascii="Times New Roman" w:hAnsi="Times New Roman" w:cs="Times New Roman"/>
        </w:rPr>
      </w:pPr>
    </w:p>
    <w:p w14:paraId="6FF3AF16" w14:textId="77777777" w:rsidR="00290A30" w:rsidRDefault="00290A30" w:rsidP="00200F32">
      <w:pPr>
        <w:rPr>
          <w:rFonts w:ascii="Times New Roman" w:hAnsi="Times New Roman" w:cs="Times New Roman"/>
        </w:rPr>
      </w:pPr>
    </w:p>
    <w:p w14:paraId="6C5120BE" w14:textId="77777777" w:rsidR="00290A30" w:rsidRPr="00C21B42" w:rsidRDefault="00290A30" w:rsidP="00200F32">
      <w:pPr>
        <w:rPr>
          <w:rFonts w:ascii="Times New Roman" w:hAnsi="Times New Roman" w:cs="Times New Roman"/>
        </w:rPr>
      </w:pPr>
    </w:p>
    <w:tbl>
      <w:tblPr>
        <w:tblStyle w:val="TableGrid"/>
        <w:tblpPr w:leftFromText="180" w:rightFromText="180" w:bottomFromText="160" w:vertAnchor="text" w:horzAnchor="margin" w:tblpY="205"/>
        <w:tblW w:w="9758" w:type="dxa"/>
        <w:tblLayout w:type="fixed"/>
        <w:tblLook w:val="04A0" w:firstRow="1" w:lastRow="0" w:firstColumn="1" w:lastColumn="0" w:noHBand="0" w:noVBand="1"/>
      </w:tblPr>
      <w:tblGrid>
        <w:gridCol w:w="1554"/>
        <w:gridCol w:w="1468"/>
        <w:gridCol w:w="2298"/>
        <w:gridCol w:w="2482"/>
        <w:gridCol w:w="1956"/>
      </w:tblGrid>
      <w:tr w:rsidR="00AC7F58" w:rsidRPr="00C21B42" w14:paraId="2496BC7B" w14:textId="77777777" w:rsidTr="004876DA">
        <w:trPr>
          <w:trHeight w:val="337"/>
        </w:trPr>
        <w:tc>
          <w:tcPr>
            <w:tcW w:w="9758" w:type="dxa"/>
            <w:gridSpan w:val="5"/>
          </w:tcPr>
          <w:p w14:paraId="609DE63E" w14:textId="6F061888" w:rsidR="00AC7F58" w:rsidRPr="00C21B42" w:rsidRDefault="004876DA" w:rsidP="004876DA">
            <w:pPr>
              <w:spacing w:line="276" w:lineRule="auto"/>
              <w:rPr>
                <w:rFonts w:ascii="Times New Roman" w:hAnsi="Times New Roman" w:cs="Times New Roman"/>
              </w:rPr>
            </w:pPr>
            <w:bookmarkStart w:id="50" w:name="_Hlk138424865"/>
            <w:r w:rsidRPr="00C21B42">
              <w:rPr>
                <w:rFonts w:ascii="Times New Roman" w:hAnsi="Times New Roman" w:cs="Times New Roman"/>
                <w:b/>
                <w:bCs/>
              </w:rPr>
              <w:lastRenderedPageBreak/>
              <w:t>Table S1</w:t>
            </w:r>
            <w:r w:rsidR="00B35B3A">
              <w:rPr>
                <w:rFonts w:ascii="Times New Roman" w:hAnsi="Times New Roman" w:cs="Times New Roman"/>
                <w:b/>
                <w:bCs/>
              </w:rPr>
              <w:t>4</w:t>
            </w:r>
            <w:r w:rsidRPr="00C21B42">
              <w:rPr>
                <w:rFonts w:ascii="Times New Roman" w:hAnsi="Times New Roman" w:cs="Times New Roman"/>
                <w:b/>
                <w:bCs/>
              </w:rPr>
              <w:t>.</w:t>
            </w:r>
            <w:r w:rsidRPr="00C21B42">
              <w:rPr>
                <w:rFonts w:ascii="Times New Roman" w:hAnsi="Times New Roman" w:cs="Times New Roman"/>
              </w:rPr>
              <w:t xml:space="preserve"> </w:t>
            </w:r>
            <w:r w:rsidR="00AC7F58" w:rsidRPr="00C21B42">
              <w:rPr>
                <w:rFonts w:ascii="Times New Roman" w:hAnsi="Times New Roman" w:cs="Times New Roman"/>
              </w:rPr>
              <w:t>The 3-dimension view of strong binding interactions between targets and drugs</w:t>
            </w:r>
            <w:bookmarkEnd w:id="50"/>
          </w:p>
        </w:tc>
      </w:tr>
      <w:tr w:rsidR="00AC7F58" w:rsidRPr="00C21B42" w14:paraId="5DB8582E" w14:textId="77777777" w:rsidTr="004876DA">
        <w:trPr>
          <w:trHeight w:val="893"/>
        </w:trPr>
        <w:tc>
          <w:tcPr>
            <w:tcW w:w="1554" w:type="dxa"/>
            <w:hideMark/>
          </w:tcPr>
          <w:p w14:paraId="45C979FF" w14:textId="77777777" w:rsidR="00AC7F58" w:rsidRPr="00C21B42" w:rsidRDefault="00AC7F58" w:rsidP="00E95822">
            <w:pPr>
              <w:spacing w:line="276" w:lineRule="auto"/>
              <w:jc w:val="center"/>
              <w:rPr>
                <w:rFonts w:ascii="Times New Roman" w:hAnsi="Times New Roman" w:cs="Times New Roman"/>
                <w:b/>
                <w:bCs/>
              </w:rPr>
            </w:pPr>
            <w:r w:rsidRPr="00C21B42">
              <w:rPr>
                <w:rFonts w:ascii="Times New Roman" w:hAnsi="Times New Roman" w:cs="Times New Roman"/>
                <w:b/>
                <w:bCs/>
              </w:rPr>
              <w:t>Protein and Ligand complex</w:t>
            </w:r>
          </w:p>
        </w:tc>
        <w:tc>
          <w:tcPr>
            <w:tcW w:w="1468" w:type="dxa"/>
            <w:hideMark/>
          </w:tcPr>
          <w:p w14:paraId="5D5A1822" w14:textId="77777777" w:rsidR="00AC7F58" w:rsidRPr="00C21B42" w:rsidRDefault="00AC7F58" w:rsidP="00E95822">
            <w:pPr>
              <w:spacing w:line="276" w:lineRule="auto"/>
              <w:jc w:val="center"/>
              <w:rPr>
                <w:rFonts w:ascii="Times New Roman" w:hAnsi="Times New Roman" w:cs="Times New Roman"/>
                <w:b/>
                <w:bCs/>
              </w:rPr>
            </w:pPr>
            <w:r w:rsidRPr="00C21B42">
              <w:rPr>
                <w:rFonts w:ascii="Times New Roman" w:hAnsi="Times New Roman" w:cs="Times New Roman"/>
                <w:b/>
                <w:bCs/>
              </w:rPr>
              <w:t>Binding Affinity  (kCal/ mol)</w:t>
            </w:r>
          </w:p>
        </w:tc>
        <w:tc>
          <w:tcPr>
            <w:tcW w:w="2298" w:type="dxa"/>
          </w:tcPr>
          <w:p w14:paraId="645CAACA" w14:textId="77777777" w:rsidR="00AC7F58" w:rsidRPr="00C21B42" w:rsidRDefault="00AC7F58" w:rsidP="00E95822">
            <w:pPr>
              <w:spacing w:line="276" w:lineRule="auto"/>
              <w:jc w:val="center"/>
              <w:rPr>
                <w:rFonts w:ascii="Times New Roman" w:hAnsi="Times New Roman" w:cs="Times New Roman"/>
                <w:b/>
                <w:bCs/>
              </w:rPr>
            </w:pPr>
            <w:r w:rsidRPr="00C21B42">
              <w:rPr>
                <w:rFonts w:ascii="Times New Roman" w:hAnsi="Times New Roman" w:cs="Times New Roman"/>
                <w:b/>
                <w:bCs/>
              </w:rPr>
              <w:t>The 3d View Complex</w:t>
            </w:r>
          </w:p>
        </w:tc>
        <w:tc>
          <w:tcPr>
            <w:tcW w:w="2482" w:type="dxa"/>
            <w:hideMark/>
          </w:tcPr>
          <w:p w14:paraId="5210EA70" w14:textId="77777777" w:rsidR="00AC7F58" w:rsidRPr="00C21B42" w:rsidRDefault="00AC7F58" w:rsidP="00E95822">
            <w:pPr>
              <w:spacing w:line="276" w:lineRule="auto"/>
              <w:jc w:val="center"/>
              <w:rPr>
                <w:rFonts w:ascii="Times New Roman" w:hAnsi="Times New Roman" w:cs="Times New Roman"/>
                <w:b/>
                <w:bCs/>
              </w:rPr>
            </w:pPr>
            <w:r w:rsidRPr="00C21B42">
              <w:rPr>
                <w:rFonts w:ascii="Times New Roman" w:hAnsi="Times New Roman" w:cs="Times New Roman"/>
                <w:b/>
                <w:bCs/>
              </w:rPr>
              <w:t>Target-Ligand Interaction</w:t>
            </w:r>
          </w:p>
        </w:tc>
        <w:tc>
          <w:tcPr>
            <w:tcW w:w="1953" w:type="dxa"/>
          </w:tcPr>
          <w:p w14:paraId="6DFEA978" w14:textId="77777777" w:rsidR="00AC7F58" w:rsidRPr="00C21B42" w:rsidRDefault="00AC7F58" w:rsidP="00E95822">
            <w:pPr>
              <w:spacing w:line="276" w:lineRule="auto"/>
              <w:jc w:val="center"/>
              <w:rPr>
                <w:rFonts w:ascii="Times New Roman" w:hAnsi="Times New Roman" w:cs="Times New Roman"/>
                <w:b/>
                <w:bCs/>
              </w:rPr>
            </w:pPr>
            <w:r w:rsidRPr="00C21B42">
              <w:rPr>
                <w:rFonts w:ascii="Times New Roman" w:hAnsi="Times New Roman" w:cs="Times New Roman"/>
                <w:b/>
                <w:bCs/>
              </w:rPr>
              <w:t xml:space="preserve">Interacting Amino Acids </w:t>
            </w:r>
          </w:p>
        </w:tc>
      </w:tr>
      <w:tr w:rsidR="00AC7F58" w:rsidRPr="00C21B42" w14:paraId="24BFF842" w14:textId="77777777" w:rsidTr="004876DA">
        <w:trPr>
          <w:trHeight w:val="222"/>
        </w:trPr>
        <w:tc>
          <w:tcPr>
            <w:tcW w:w="1554" w:type="dxa"/>
          </w:tcPr>
          <w:p w14:paraId="041BB2A8" w14:textId="77777777" w:rsidR="00AC7F58" w:rsidRPr="00C21B42" w:rsidRDefault="00AC7F58" w:rsidP="00E95822">
            <w:pPr>
              <w:spacing w:line="276" w:lineRule="auto"/>
              <w:jc w:val="center"/>
              <w:rPr>
                <w:rFonts w:ascii="Times New Roman" w:hAnsi="Times New Roman" w:cs="Times New Roman"/>
              </w:rPr>
            </w:pPr>
          </w:p>
          <w:p w14:paraId="35A1979F"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GAPDH</w:t>
            </w:r>
          </w:p>
          <w:p w14:paraId="13427845"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&amp;</w:t>
            </w:r>
          </w:p>
          <w:p w14:paraId="780CA9CF"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NVP.BHG712</w:t>
            </w:r>
          </w:p>
          <w:p w14:paraId="18DB53A0" w14:textId="77777777" w:rsidR="00AC7F58" w:rsidRPr="00C21B42" w:rsidRDefault="00AC7F58" w:rsidP="00E95822">
            <w:pPr>
              <w:spacing w:line="276" w:lineRule="auto"/>
              <w:jc w:val="center"/>
              <w:rPr>
                <w:rFonts w:ascii="Times New Roman" w:hAnsi="Times New Roman" w:cs="Times New Roman"/>
              </w:rPr>
            </w:pPr>
          </w:p>
        </w:tc>
        <w:tc>
          <w:tcPr>
            <w:tcW w:w="1468" w:type="dxa"/>
          </w:tcPr>
          <w:p w14:paraId="3123EA7B" w14:textId="77777777" w:rsidR="00AC7F58" w:rsidRPr="00C21B42" w:rsidRDefault="00AC7F58" w:rsidP="00E95822">
            <w:pPr>
              <w:spacing w:line="276" w:lineRule="auto"/>
              <w:jc w:val="center"/>
              <w:rPr>
                <w:rFonts w:ascii="Times New Roman" w:hAnsi="Times New Roman" w:cs="Times New Roman"/>
                <w:noProof/>
                <w:lang w:val="en-AU" w:eastAsia="en-AU"/>
              </w:rPr>
            </w:pPr>
          </w:p>
          <w:p w14:paraId="49E743DB" w14:textId="77777777" w:rsidR="00AC7F58" w:rsidRPr="00C21B42" w:rsidRDefault="00AC7F58" w:rsidP="00E95822">
            <w:pPr>
              <w:spacing w:line="276" w:lineRule="auto"/>
              <w:jc w:val="center"/>
              <w:rPr>
                <w:rFonts w:ascii="Times New Roman" w:hAnsi="Times New Roman" w:cs="Times New Roman"/>
                <w:noProof/>
                <w:lang w:val="en-AU" w:eastAsia="en-AU"/>
              </w:rPr>
            </w:pPr>
          </w:p>
          <w:p w14:paraId="4822F3DD" w14:textId="77777777" w:rsidR="00AC7F58" w:rsidRPr="00C21B42" w:rsidRDefault="00AC7F58" w:rsidP="00E95822">
            <w:pPr>
              <w:spacing w:line="276" w:lineRule="auto"/>
              <w:jc w:val="center"/>
              <w:rPr>
                <w:rFonts w:ascii="Times New Roman" w:hAnsi="Times New Roman" w:cs="Times New Roman"/>
                <w:noProof/>
                <w:lang w:val="en-AU" w:eastAsia="en-AU"/>
              </w:rPr>
            </w:pPr>
            <w:r w:rsidRPr="00C21B42">
              <w:rPr>
                <w:rFonts w:ascii="Times New Roman" w:hAnsi="Times New Roman" w:cs="Times New Roman"/>
                <w:noProof/>
                <w:lang w:val="en-AU" w:eastAsia="en-AU"/>
              </w:rPr>
              <w:t>-10.1</w:t>
            </w:r>
          </w:p>
        </w:tc>
        <w:tc>
          <w:tcPr>
            <w:tcW w:w="2298" w:type="dxa"/>
          </w:tcPr>
          <w:p w14:paraId="7FF22DD0" w14:textId="77777777" w:rsidR="00AC7F58" w:rsidRPr="00C21B42" w:rsidRDefault="00AC7F58" w:rsidP="00E95822">
            <w:pPr>
              <w:spacing w:line="276" w:lineRule="auto"/>
              <w:jc w:val="center"/>
              <w:rPr>
                <w:rFonts w:ascii="Times New Roman" w:hAnsi="Times New Roman" w:cs="Times New Roman"/>
                <w:noProof/>
              </w:rPr>
            </w:pPr>
            <w:r w:rsidRPr="00C21B42">
              <w:rPr>
                <w:rFonts w:ascii="Times New Roman" w:hAnsi="Times New Roman" w:cs="Times New Roman"/>
                <w:noProof/>
              </w:rPr>
              <w:drawing>
                <wp:inline distT="0" distB="0" distL="0" distR="0" wp14:anchorId="39DDCFED" wp14:editId="0D7E955C">
                  <wp:extent cx="1149187" cy="1061049"/>
                  <wp:effectExtent l="0" t="0" r="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52831" cy="1064414"/>
                          </a:xfrm>
                          <a:prstGeom prst="rect">
                            <a:avLst/>
                          </a:prstGeom>
                        </pic:spPr>
                      </pic:pic>
                    </a:graphicData>
                  </a:graphic>
                </wp:inline>
              </w:drawing>
            </w:r>
          </w:p>
        </w:tc>
        <w:tc>
          <w:tcPr>
            <w:tcW w:w="2482" w:type="dxa"/>
          </w:tcPr>
          <w:p w14:paraId="08D47E2D" w14:textId="77777777" w:rsidR="00AC7F58" w:rsidRPr="00C21B42" w:rsidRDefault="00AC7F58" w:rsidP="00E95822">
            <w:pPr>
              <w:spacing w:line="276" w:lineRule="auto"/>
              <w:jc w:val="center"/>
              <w:rPr>
                <w:rFonts w:ascii="Times New Roman" w:hAnsi="Times New Roman" w:cs="Times New Roman"/>
                <w:noProof/>
                <w:lang w:val="en-AU" w:eastAsia="en-AU"/>
              </w:rPr>
            </w:pPr>
            <w:r w:rsidRPr="00C21B42">
              <w:rPr>
                <w:rFonts w:ascii="Times New Roman" w:hAnsi="Times New Roman" w:cs="Times New Roman"/>
                <w:noProof/>
              </w:rPr>
              <w:drawing>
                <wp:inline distT="0" distB="0" distL="0" distR="0" wp14:anchorId="4C34B13B" wp14:editId="1C7FF0DD">
                  <wp:extent cx="1283121" cy="1078302"/>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17" cstate="print">
                            <a:extLst>
                              <a:ext uri="{28A0092B-C50C-407E-A947-70E740481C1C}">
                                <a14:useLocalDpi xmlns:a14="http://schemas.microsoft.com/office/drawing/2010/main" val="0"/>
                              </a:ext>
                            </a:extLst>
                          </a:blip>
                          <a:srcRect l="17687" t="6208" b="22427"/>
                          <a:stretch/>
                        </pic:blipFill>
                        <pic:spPr bwMode="auto">
                          <a:xfrm>
                            <a:off x="0" y="0"/>
                            <a:ext cx="1310771" cy="1101538"/>
                          </a:xfrm>
                          <a:prstGeom prst="rect">
                            <a:avLst/>
                          </a:prstGeom>
                          <a:ln>
                            <a:noFill/>
                          </a:ln>
                          <a:extLst>
                            <a:ext uri="{53640926-AAD7-44D8-BBD7-CCE9431645EC}">
                              <a14:shadowObscured xmlns:a14="http://schemas.microsoft.com/office/drawing/2010/main"/>
                            </a:ext>
                          </a:extLst>
                        </pic:spPr>
                      </pic:pic>
                    </a:graphicData>
                  </a:graphic>
                </wp:inline>
              </w:drawing>
            </w:r>
          </w:p>
        </w:tc>
        <w:tc>
          <w:tcPr>
            <w:tcW w:w="1953" w:type="dxa"/>
          </w:tcPr>
          <w:p w14:paraId="5AF93054" w14:textId="77777777" w:rsidR="00AC7F58" w:rsidRPr="00C21B42" w:rsidRDefault="00AC7F58" w:rsidP="00E95822">
            <w:pPr>
              <w:spacing w:line="276" w:lineRule="auto"/>
              <w:jc w:val="center"/>
              <w:rPr>
                <w:rFonts w:ascii="Times New Roman" w:hAnsi="Times New Roman" w:cs="Times New Roman"/>
                <w:noProof/>
                <w:lang w:val="en-AU" w:eastAsia="en-AU"/>
              </w:rPr>
            </w:pPr>
            <w:r w:rsidRPr="00C21B42">
              <w:rPr>
                <w:rFonts w:ascii="Times New Roman" w:hAnsi="Times New Roman" w:cs="Times New Roman"/>
                <w:noProof/>
                <w:lang w:val="en-AU" w:eastAsia="en-AU"/>
              </w:rPr>
              <w:t>ILE14, ASN316, GLU317, ARG13, THR99, CYS152, PHE37, VAL10, PRO36</w:t>
            </w:r>
          </w:p>
        </w:tc>
      </w:tr>
      <w:tr w:rsidR="00AC7F58" w:rsidRPr="00C21B42" w14:paraId="1BE8BD93" w14:textId="77777777" w:rsidTr="004876DA">
        <w:trPr>
          <w:trHeight w:val="35"/>
        </w:trPr>
        <w:tc>
          <w:tcPr>
            <w:tcW w:w="1554" w:type="dxa"/>
          </w:tcPr>
          <w:p w14:paraId="73A3CB79" w14:textId="77777777" w:rsidR="00AC7F58" w:rsidRPr="00C21B42" w:rsidRDefault="00AC7F58" w:rsidP="00E95822">
            <w:pPr>
              <w:spacing w:line="276" w:lineRule="auto"/>
              <w:jc w:val="center"/>
              <w:rPr>
                <w:rFonts w:ascii="Times New Roman" w:hAnsi="Times New Roman" w:cs="Times New Roman"/>
              </w:rPr>
            </w:pPr>
          </w:p>
          <w:p w14:paraId="6DC1D671" w14:textId="77777777" w:rsidR="00AC7F58" w:rsidRPr="00C21B42" w:rsidRDefault="00AC7F58" w:rsidP="00E95822">
            <w:pPr>
              <w:spacing w:line="276" w:lineRule="auto"/>
              <w:jc w:val="center"/>
              <w:rPr>
                <w:rFonts w:ascii="Times New Roman" w:hAnsi="Times New Roman" w:cs="Times New Roman"/>
              </w:rPr>
            </w:pPr>
          </w:p>
          <w:p w14:paraId="404CA60F"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TIMP1</w:t>
            </w:r>
          </w:p>
          <w:p w14:paraId="578B74C6"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&amp;</w:t>
            </w:r>
          </w:p>
          <w:p w14:paraId="1C0BBC47"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Linsitinib</w:t>
            </w:r>
          </w:p>
        </w:tc>
        <w:tc>
          <w:tcPr>
            <w:tcW w:w="1468" w:type="dxa"/>
          </w:tcPr>
          <w:p w14:paraId="0942BC4C" w14:textId="77777777" w:rsidR="00AC7F58" w:rsidRPr="00C21B42" w:rsidRDefault="00AC7F58" w:rsidP="00E95822">
            <w:pPr>
              <w:spacing w:line="276" w:lineRule="auto"/>
              <w:jc w:val="center"/>
              <w:rPr>
                <w:rFonts w:ascii="Times New Roman" w:hAnsi="Times New Roman" w:cs="Times New Roman"/>
              </w:rPr>
            </w:pPr>
          </w:p>
          <w:p w14:paraId="603E748B" w14:textId="77777777" w:rsidR="00AC7F58" w:rsidRPr="00C21B42" w:rsidRDefault="00AC7F58" w:rsidP="00E95822">
            <w:pPr>
              <w:spacing w:line="276" w:lineRule="auto"/>
              <w:jc w:val="center"/>
              <w:rPr>
                <w:rFonts w:ascii="Times New Roman" w:hAnsi="Times New Roman" w:cs="Times New Roman"/>
              </w:rPr>
            </w:pPr>
          </w:p>
          <w:p w14:paraId="5709D688"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-9.8</w:t>
            </w:r>
          </w:p>
        </w:tc>
        <w:tc>
          <w:tcPr>
            <w:tcW w:w="2298" w:type="dxa"/>
          </w:tcPr>
          <w:p w14:paraId="2F77F7AC" w14:textId="77777777" w:rsidR="00AC7F58" w:rsidRPr="00C21B42" w:rsidRDefault="00AC7F58" w:rsidP="00E95822">
            <w:pPr>
              <w:spacing w:line="276" w:lineRule="auto"/>
              <w:rPr>
                <w:rFonts w:ascii="Times New Roman" w:hAnsi="Times New Roman" w:cs="Times New Roman"/>
                <w:noProof/>
              </w:rPr>
            </w:pPr>
            <w:r w:rsidRPr="00C21B42">
              <w:rPr>
                <w:rFonts w:ascii="Times New Roman" w:hAnsi="Times New Roman" w:cs="Times New Roman"/>
                <w:noProof/>
              </w:rPr>
              <w:drawing>
                <wp:inline distT="0" distB="0" distL="0" distR="0" wp14:anchorId="73480C40" wp14:editId="2E0AD568">
                  <wp:extent cx="1112807" cy="919133"/>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17696" cy="923171"/>
                          </a:xfrm>
                          <a:prstGeom prst="rect">
                            <a:avLst/>
                          </a:prstGeom>
                        </pic:spPr>
                      </pic:pic>
                    </a:graphicData>
                  </a:graphic>
                </wp:inline>
              </w:drawing>
            </w:r>
          </w:p>
        </w:tc>
        <w:tc>
          <w:tcPr>
            <w:tcW w:w="2482" w:type="dxa"/>
          </w:tcPr>
          <w:p w14:paraId="28655A47" w14:textId="77777777" w:rsidR="00AC7F58" w:rsidRPr="00C21B42" w:rsidRDefault="00AC7F58" w:rsidP="00E95822">
            <w:pPr>
              <w:spacing w:line="276" w:lineRule="auto"/>
              <w:jc w:val="center"/>
              <w:rPr>
                <w:rFonts w:ascii="Times New Roman" w:hAnsi="Times New Roman" w:cs="Times New Roman"/>
                <w:noProof/>
              </w:rPr>
            </w:pPr>
            <w:r w:rsidRPr="00C21B42">
              <w:rPr>
                <w:rFonts w:ascii="Times New Roman" w:hAnsi="Times New Roman" w:cs="Times New Roman"/>
                <w:noProof/>
              </w:rPr>
              <w:drawing>
                <wp:inline distT="0" distB="0" distL="0" distR="0" wp14:anchorId="70A9CED2" wp14:editId="3D70388A">
                  <wp:extent cx="1207401" cy="759125"/>
                  <wp:effectExtent l="0" t="0" r="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12068" cy="762059"/>
                          </a:xfrm>
                          <a:prstGeom prst="rect">
                            <a:avLst/>
                          </a:prstGeom>
                        </pic:spPr>
                      </pic:pic>
                    </a:graphicData>
                  </a:graphic>
                </wp:inline>
              </w:drawing>
            </w:r>
          </w:p>
        </w:tc>
        <w:tc>
          <w:tcPr>
            <w:tcW w:w="1953" w:type="dxa"/>
          </w:tcPr>
          <w:p w14:paraId="534512A2" w14:textId="77777777" w:rsidR="00AC7F58" w:rsidRPr="00C21B42" w:rsidRDefault="00AC7F58" w:rsidP="00E95822">
            <w:pPr>
              <w:spacing w:line="276" w:lineRule="auto"/>
              <w:jc w:val="center"/>
              <w:rPr>
                <w:rFonts w:ascii="Times New Roman" w:hAnsi="Times New Roman" w:cs="Times New Roman"/>
                <w:noProof/>
              </w:rPr>
            </w:pPr>
            <w:r w:rsidRPr="00C21B42">
              <w:rPr>
                <w:rFonts w:ascii="Times New Roman" w:hAnsi="Times New Roman" w:cs="Times New Roman"/>
                <w:noProof/>
              </w:rPr>
              <w:t>VAL41, PHE124, PHE139, PRO29, PRO31, ALA019, ALA34, VAL41, LEU107, ARG43</w:t>
            </w:r>
          </w:p>
        </w:tc>
      </w:tr>
      <w:tr w:rsidR="00AC7F58" w:rsidRPr="00C21B42" w14:paraId="61489DE2" w14:textId="77777777" w:rsidTr="004876DA">
        <w:trPr>
          <w:trHeight w:val="35"/>
        </w:trPr>
        <w:tc>
          <w:tcPr>
            <w:tcW w:w="1554" w:type="dxa"/>
          </w:tcPr>
          <w:p w14:paraId="4ABD7962" w14:textId="77777777" w:rsidR="00AC7F58" w:rsidRPr="00C21B42" w:rsidRDefault="00AC7F58" w:rsidP="00E95822">
            <w:pPr>
              <w:spacing w:line="276" w:lineRule="auto"/>
              <w:jc w:val="center"/>
              <w:rPr>
                <w:rFonts w:ascii="Times New Roman" w:hAnsi="Times New Roman" w:cs="Times New Roman"/>
              </w:rPr>
            </w:pPr>
          </w:p>
          <w:p w14:paraId="61E67B4B"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TFAP2A</w:t>
            </w:r>
          </w:p>
          <w:p w14:paraId="6214CC27"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&amp;</w:t>
            </w:r>
          </w:p>
          <w:p w14:paraId="52E8E130" w14:textId="77777777" w:rsidR="00AC7F58" w:rsidRPr="00C21B42" w:rsidRDefault="00AC7F58" w:rsidP="00E95822">
            <w:pPr>
              <w:spacing w:line="276" w:lineRule="auto"/>
              <w:jc w:val="center"/>
              <w:rPr>
                <w:rFonts w:ascii="Times New Roman" w:hAnsi="Times New Roman" w:cs="Times New Roman"/>
              </w:rPr>
            </w:pPr>
            <w:r w:rsidRPr="00C21B42">
              <w:rPr>
                <w:rFonts w:ascii="Times New Roman" w:hAnsi="Times New Roman" w:cs="Times New Roman"/>
              </w:rPr>
              <w:t>Irinotecan</w:t>
            </w:r>
          </w:p>
        </w:tc>
        <w:tc>
          <w:tcPr>
            <w:tcW w:w="1468" w:type="dxa"/>
          </w:tcPr>
          <w:p w14:paraId="4B13D34A" w14:textId="77777777" w:rsidR="00AC7F58" w:rsidRPr="00C21B42" w:rsidRDefault="00AC7F58" w:rsidP="00E95822">
            <w:pPr>
              <w:spacing w:line="276" w:lineRule="auto"/>
              <w:jc w:val="center"/>
              <w:rPr>
                <w:rFonts w:ascii="Times New Roman" w:hAnsi="Times New Roman" w:cs="Times New Roman"/>
                <w:lang w:val="en-AU" w:eastAsia="en-AU"/>
              </w:rPr>
            </w:pPr>
          </w:p>
          <w:p w14:paraId="529DAA74" w14:textId="77777777" w:rsidR="00AC7F58" w:rsidRPr="00C21B42" w:rsidRDefault="00AC7F58" w:rsidP="00E95822">
            <w:pPr>
              <w:spacing w:line="276" w:lineRule="auto"/>
              <w:jc w:val="center"/>
              <w:rPr>
                <w:rFonts w:ascii="Times New Roman" w:hAnsi="Times New Roman" w:cs="Times New Roman"/>
                <w:lang w:val="en-AU" w:eastAsia="en-AU"/>
              </w:rPr>
            </w:pPr>
          </w:p>
          <w:p w14:paraId="05A1058D" w14:textId="77777777" w:rsidR="00AC7F58" w:rsidRPr="00C21B42" w:rsidRDefault="00AC7F58" w:rsidP="00E95822">
            <w:pPr>
              <w:spacing w:line="276" w:lineRule="auto"/>
              <w:jc w:val="center"/>
              <w:rPr>
                <w:rFonts w:ascii="Times New Roman" w:hAnsi="Times New Roman" w:cs="Times New Roman"/>
                <w:lang w:val="en-AU" w:eastAsia="en-AU"/>
              </w:rPr>
            </w:pPr>
            <w:r w:rsidRPr="00C21B42">
              <w:rPr>
                <w:rFonts w:ascii="Times New Roman" w:hAnsi="Times New Roman" w:cs="Times New Roman"/>
                <w:lang w:val="en-AU" w:eastAsia="en-AU"/>
              </w:rPr>
              <w:t>-9.4</w:t>
            </w:r>
          </w:p>
        </w:tc>
        <w:tc>
          <w:tcPr>
            <w:tcW w:w="2298" w:type="dxa"/>
          </w:tcPr>
          <w:p w14:paraId="0D5EAACC" w14:textId="77777777" w:rsidR="00AC7F58" w:rsidRPr="00C21B42" w:rsidRDefault="00AC7F58" w:rsidP="00E95822">
            <w:pPr>
              <w:spacing w:line="276" w:lineRule="auto"/>
              <w:rPr>
                <w:rFonts w:ascii="Times New Roman" w:hAnsi="Times New Roman" w:cs="Times New Roman"/>
                <w:noProof/>
              </w:rPr>
            </w:pPr>
            <w:r w:rsidRPr="00C21B42">
              <w:rPr>
                <w:rFonts w:ascii="Times New Roman" w:hAnsi="Times New Roman" w:cs="Times New Roman"/>
                <w:noProof/>
              </w:rPr>
              <w:drawing>
                <wp:inline distT="0" distB="0" distL="0" distR="0" wp14:anchorId="1535CF7E" wp14:editId="4C65C195">
                  <wp:extent cx="1159033" cy="871268"/>
                  <wp:effectExtent l="0" t="0" r="3175"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66347" cy="876766"/>
                          </a:xfrm>
                          <a:prstGeom prst="rect">
                            <a:avLst/>
                          </a:prstGeom>
                        </pic:spPr>
                      </pic:pic>
                    </a:graphicData>
                  </a:graphic>
                </wp:inline>
              </w:drawing>
            </w:r>
          </w:p>
        </w:tc>
        <w:tc>
          <w:tcPr>
            <w:tcW w:w="2482" w:type="dxa"/>
          </w:tcPr>
          <w:p w14:paraId="03CB0CE9" w14:textId="77777777" w:rsidR="00AC7F58" w:rsidRPr="00C21B42" w:rsidRDefault="00AC7F58" w:rsidP="00E95822">
            <w:pPr>
              <w:spacing w:line="276" w:lineRule="auto"/>
              <w:jc w:val="center"/>
              <w:rPr>
                <w:rFonts w:ascii="Times New Roman" w:hAnsi="Times New Roman" w:cs="Times New Roman"/>
                <w:noProof/>
                <w:lang w:val="en-AU" w:eastAsia="en-AU"/>
              </w:rPr>
            </w:pPr>
            <w:r w:rsidRPr="00C21B42">
              <w:rPr>
                <w:rFonts w:ascii="Times New Roman" w:hAnsi="Times New Roman" w:cs="Times New Roman"/>
                <w:noProof/>
              </w:rPr>
              <w:drawing>
                <wp:inline distT="0" distB="0" distL="0" distR="0" wp14:anchorId="76C03C6E" wp14:editId="47DB36DB">
                  <wp:extent cx="1199071" cy="738181"/>
                  <wp:effectExtent l="0" t="0" r="127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13393" cy="746998"/>
                          </a:xfrm>
                          <a:prstGeom prst="rect">
                            <a:avLst/>
                          </a:prstGeom>
                        </pic:spPr>
                      </pic:pic>
                    </a:graphicData>
                  </a:graphic>
                </wp:inline>
              </w:drawing>
            </w:r>
          </w:p>
        </w:tc>
        <w:tc>
          <w:tcPr>
            <w:tcW w:w="1953" w:type="dxa"/>
          </w:tcPr>
          <w:p w14:paraId="1FBAEDFC" w14:textId="77777777" w:rsidR="00AC7F58" w:rsidRPr="00C21B42" w:rsidRDefault="00AC7F58" w:rsidP="00E95822">
            <w:pPr>
              <w:spacing w:line="276" w:lineRule="auto"/>
              <w:jc w:val="center"/>
              <w:rPr>
                <w:rFonts w:ascii="Times New Roman" w:hAnsi="Times New Roman" w:cs="Times New Roman"/>
                <w:noProof/>
                <w:lang w:val="en-AU" w:eastAsia="en-AU"/>
              </w:rPr>
            </w:pPr>
            <w:r w:rsidRPr="00C21B42">
              <w:rPr>
                <w:rFonts w:ascii="Times New Roman" w:hAnsi="Times New Roman" w:cs="Times New Roman"/>
                <w:noProof/>
                <w:lang w:val="en-AU" w:eastAsia="en-AU"/>
              </w:rPr>
              <w:t>SER225, ASN361, GLY360, RO170, ILE169, TYR227, ILE169, TYR227,LYS228</w:t>
            </w:r>
          </w:p>
        </w:tc>
      </w:tr>
    </w:tbl>
    <w:p w14:paraId="40889E57" w14:textId="542F403B" w:rsidR="00BC65B9" w:rsidRDefault="00BC65B9" w:rsidP="00575E16">
      <w:pPr>
        <w:rPr>
          <w:rFonts w:ascii="Times New Roman" w:hAnsi="Times New Roman" w:cs="Times New Roman"/>
          <w:b/>
          <w:sz w:val="28"/>
          <w:szCs w:val="28"/>
        </w:rPr>
      </w:pPr>
    </w:p>
    <w:p w14:paraId="33BFEA61" w14:textId="77777777" w:rsidR="00BC65B9" w:rsidRPr="00BC65B9" w:rsidRDefault="00BC65B9" w:rsidP="00575E16">
      <w:pPr>
        <w:rPr>
          <w:rFonts w:ascii="Times New Roman" w:hAnsi="Times New Roman" w:cs="Times New Roman"/>
          <w:b/>
          <w:sz w:val="28"/>
          <w:szCs w:val="28"/>
        </w:rPr>
      </w:pPr>
    </w:p>
    <w:p w14:paraId="14F1A0BD" w14:textId="2E399B98" w:rsidR="00575E16" w:rsidRPr="00C21B42" w:rsidRDefault="00575E16" w:rsidP="00575E16">
      <w:pPr>
        <w:rPr>
          <w:rFonts w:ascii="Times New Roman" w:hAnsi="Times New Roman" w:cs="Times New Roman"/>
          <w:b/>
          <w:sz w:val="28"/>
          <w:szCs w:val="28"/>
        </w:rPr>
      </w:pPr>
      <w:r w:rsidRPr="00C21B42">
        <w:rPr>
          <w:rFonts w:ascii="Times New Roman" w:hAnsi="Times New Roman" w:cs="Times New Roman"/>
          <w:b/>
          <w:sz w:val="28"/>
          <w:szCs w:val="28"/>
        </w:rPr>
        <w:t>Reference</w:t>
      </w:r>
      <w:r w:rsidR="00C21B42">
        <w:rPr>
          <w:rFonts w:ascii="Times New Roman" w:hAnsi="Times New Roman" w:cs="Times New Roman"/>
          <w:b/>
          <w:sz w:val="28"/>
          <w:szCs w:val="28"/>
        </w:rPr>
        <w:t>s</w:t>
      </w:r>
    </w:p>
    <w:p w14:paraId="716627E4" w14:textId="1080D9AE" w:rsidR="00A91BCF" w:rsidRPr="00A91BCF" w:rsidRDefault="00575E16" w:rsidP="00A91BCF">
      <w:pPr>
        <w:widowControl w:val="0"/>
        <w:autoSpaceDE w:val="0"/>
        <w:autoSpaceDN w:val="0"/>
        <w:adjustRightInd w:val="0"/>
        <w:spacing w:line="240" w:lineRule="auto"/>
        <w:rPr>
          <w:rFonts w:ascii="Times New Roman" w:hAnsi="Times New Roman" w:cs="Times New Roman"/>
          <w:noProof/>
          <w:sz w:val="20"/>
          <w:szCs w:val="24"/>
        </w:rPr>
      </w:pPr>
      <w:r w:rsidRPr="00C21B42">
        <w:rPr>
          <w:rFonts w:ascii="Times New Roman" w:hAnsi="Times New Roman" w:cs="Times New Roman"/>
          <w:b/>
          <w:sz w:val="20"/>
          <w:szCs w:val="20"/>
        </w:rPr>
        <w:fldChar w:fldCharType="begin" w:fldLock="1"/>
      </w:r>
      <w:r w:rsidRPr="00C21B42">
        <w:rPr>
          <w:rFonts w:ascii="Times New Roman" w:hAnsi="Times New Roman" w:cs="Times New Roman"/>
          <w:b/>
          <w:sz w:val="20"/>
          <w:szCs w:val="20"/>
        </w:rPr>
        <w:instrText xml:space="preserve">ADDIN Mendeley Bibliography CSL_BIBLIOGRAPHY </w:instrText>
      </w:r>
      <w:r w:rsidRPr="00C21B42">
        <w:rPr>
          <w:rFonts w:ascii="Times New Roman" w:hAnsi="Times New Roman" w:cs="Times New Roman"/>
          <w:b/>
          <w:sz w:val="20"/>
          <w:szCs w:val="20"/>
        </w:rPr>
        <w:fldChar w:fldCharType="separate"/>
      </w:r>
      <w:r w:rsidR="00A91BCF" w:rsidRPr="00A91BCF">
        <w:rPr>
          <w:rFonts w:ascii="Times New Roman" w:hAnsi="Times New Roman" w:cs="Times New Roman"/>
          <w:noProof/>
          <w:sz w:val="20"/>
          <w:szCs w:val="24"/>
        </w:rPr>
        <w:t xml:space="preserve">1. Shahjaman M, Kumar N, Mollah MMH, Ahmed MS, Ara Begum A, Shahinul Islam SM, et al. Robust significance analysis of microarrays by minimum β -Divergence method. Biomed Res Int. 2017;2017. </w:t>
      </w:r>
    </w:p>
    <w:p w14:paraId="7715463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 Shieh AD, Hung YS. Detecting outlier samples in microarray data. Stat Appl Genet Mol Biol. 2009;8. </w:t>
      </w:r>
    </w:p>
    <w:p w14:paraId="0633BDDF"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3. Yang Z, Yang ZR. Detection of non-structural outliers for microarray experiments. Proc Int Jt Conf Neural Networks. 2014. </w:t>
      </w:r>
    </w:p>
    <w:p w14:paraId="0A07BA4E"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 Gottardo R, Raftery AE, Yee Yeung K, Bumgarner RE. Bayesian robust inference for differential gene expression in microarrays with multiple samples. Biometrics. 2006;62. </w:t>
      </w:r>
    </w:p>
    <w:p w14:paraId="6582EED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 Gottardo R. Bayesian Robust Inference of Differential Gene Expression The bridge package. J Virol. 2011;1–7. </w:t>
      </w:r>
    </w:p>
    <w:p w14:paraId="6B11AA42"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 Ben-Hur A, Noble WS. Kernel methods for predicting protein-protein interactions. Bioinformatics. 2005;21. </w:t>
      </w:r>
    </w:p>
    <w:p w14:paraId="1FBDA55B"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 Szklarczyk D, Franceschini A, Kuhn M, Simonovic M, Roth A, Minguez P, et al. The STRING database in 2011: Functional interaction networks of proteins, globally integrated and scored. Nucleic Acids Res. 2011;39. </w:t>
      </w:r>
    </w:p>
    <w:p w14:paraId="497D65CE"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8. Shannon P, Markiel A, Ozier O, Baliga NS, Wang JT, Ramage D, et al. Cytoscape: A software Environment for integrated models of biomolecular interaction networks. Genome Res. 2003;13. </w:t>
      </w:r>
    </w:p>
    <w:p w14:paraId="6AB77031"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9. Chin CH, Chen SH, Wu HH, Ho CW, Ko MT, Lin CY. cytoHubba: Identifying hub objects and sub-networks from complex interactome. BMC Syst Biol. 2014;8. </w:t>
      </w:r>
    </w:p>
    <w:p w14:paraId="1A57F845"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lastRenderedPageBreak/>
        <w:t xml:space="preserve">10. Tang Z, Kang B, Li C, Chen T, Zhang Z. GEPIA2: an enhanced web server for large-scale expression profiling and interactive analysis. Nucleic Acids Res. 2019;47. </w:t>
      </w:r>
    </w:p>
    <w:p w14:paraId="3BDC3B32"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11. NIH. The Cancer Genome Atlas Program - NCI. 2022; Available from: https://www.cancer.gov/about-nci/organization/ccg/research/structural-genomics/tcga</w:t>
      </w:r>
    </w:p>
    <w:p w14:paraId="0AD7B5A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12. Carithers LJ, Moore HM. The Genotype-Tissue Expression (GTEx) Project. Biopreserv Biobank. 2015;13:307–8. </w:t>
      </w:r>
    </w:p>
    <w:p w14:paraId="105F610B"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13. Boyle EI, Weng S, Gollub J, Jin H, Botstein D, Cherry JM, et al. GO::TermFinder-open source software for accessing Gene Ontology information and finding significantly enriched Gene Ontology terms associated with a list of genes INTRODUCTION: MOTIVATION AND DESIGN. Bioinforma Appl NOTE. 2004;20:3710–5. </w:t>
      </w:r>
    </w:p>
    <w:p w14:paraId="361A930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14. Chen EY, Tan CM, Kou Y, Duan Q, Wang Z, Meirelles G V., et al. Enrichr: Interactive and collaborative HTML5 gene list enrichment analysis tool. BMC Bioinformatics. 2013;14. </w:t>
      </w:r>
    </w:p>
    <w:p w14:paraId="34873794"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15. Nogales-Cadenas R, Carmona-Saez P, Vazquez M, Vicente C, Yang X, Tirado F, et al. GeneCodis: Interpreting gene lists through enrichment analysis and integration of diverse biological information. Nucleic Acids Res. 2009;37. </w:t>
      </w:r>
    </w:p>
    <w:p w14:paraId="426BFFE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16. Benjamini Y, Hochberg Y. Controlling the False Discovery Rate: A Practical and Powerful Approach to Multiple Testing. J R Stat Soc Ser B. 1995;57. </w:t>
      </w:r>
    </w:p>
    <w:p w14:paraId="44454AA3"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17. Li T, Fu J, Zeng Z, Cohen D, Li J, Chen Q, et al. TIMER2.0 for analysis of tumor-infiltrating immune cells. Nucleic Acids Res. 2020;48:W509–14. </w:t>
      </w:r>
    </w:p>
    <w:p w14:paraId="314D2383"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18. Modhukur V, Iljasenko T, Metsalu T, Lokk K, Laisk-Podar T, Vilo J. MethSurv: A web tool to perform multivariable survival analysis using DNA methylation data. Epigenomics. 2018;10:277–88. </w:t>
      </w:r>
    </w:p>
    <w:p w14:paraId="77581953"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19. Xia J, Gill EE, Hancock REW. NetworkAnalyst for statistical, visual and network-based meta-analysis of gene expression data. Nat Protoc. 2015;10. </w:t>
      </w:r>
    </w:p>
    <w:p w14:paraId="09D082F6"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20. Liu ZP, Wu C, Miao H, Wu H. RegNetwork: An integrated database of transcriptional and post-transcriptional regulatory networks in human and mouse. Database. 2015;2015. </w:t>
      </w:r>
    </w:p>
    <w:p w14:paraId="1F3CC9F2"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21. Freeman LC. A Set of Measures of Centrality Based on Betweenness. Sociometry. 1977;40. </w:t>
      </w:r>
    </w:p>
    <w:p w14:paraId="7A1C13B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22. Jeong H, Mason SP, Barabási AL, Oltvai ZN. Lethality and centrality in protein networks. Nature. 2001;411. </w:t>
      </w:r>
    </w:p>
    <w:p w14:paraId="222C51C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23. Waterhouse A, Bertoni M, Bienert S, Studer G, Tauriello G, Gumienny R, et al. SWISS-MODEL: Homology modelling of protein structures and complexes. Nucleic Acids Res. 2018;46. </w:t>
      </w:r>
    </w:p>
    <w:p w14:paraId="194A2F7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24. Berman HM, Battistuz T, Bhat TN, Bluhm WF, Bourne PE, Burkhardt K, et al. The protein data bank. Acta Crystallogr Sect D Biol Crystallogr. 2002;58. </w:t>
      </w:r>
    </w:p>
    <w:p w14:paraId="4E0B987C"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25. Varadi M, Anyango S, Deshpande M, Nair S, Natassia C, Yordanova G, et al. AlphaFold Protein Structure Database: Massively expanding the structural coverage of protein-sequence space with high-accuracy models. Nucleic Acids Res. 2022;50. </w:t>
      </w:r>
    </w:p>
    <w:p w14:paraId="2DE5A5FD"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26. Kim S, Chen J, Cheng T, Gindulyte A, He J, He S, et al. PubChem 2019 update: Improved access to chemical data. Nucleic Acids Res. 2019;47:D1102–9. </w:t>
      </w:r>
    </w:p>
    <w:p w14:paraId="5E1DA5B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27. Dallakyan S, Olson AJ. Small-molecule library screening by docking with PyRx. Methods Mol Biol. 2015;1263. </w:t>
      </w:r>
    </w:p>
    <w:p w14:paraId="326A356B"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28. Trott O, Olson AJ. AutoDock Vina: Improving the speed and accuracy of docking with a new scoring function, efficient optimization, and multithreading. J Comput Chem. 2009;NA-NA. </w:t>
      </w:r>
    </w:p>
    <w:p w14:paraId="2F90139A"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29. Lipinski CA. Lead- and drug-like compounds: The rule-of-five revolution. Drug Discov Today Technol. 2004;1:337–41. </w:t>
      </w:r>
    </w:p>
    <w:p w14:paraId="454CCA9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30. Daina A, Michielin O, Zoete V. SwissADME: A free web tool to evaluate pharmacokinetics, drug-likeness and medicinal chemistry friendliness of small molecules. Sci Rep. 2017;7. </w:t>
      </w:r>
    </w:p>
    <w:p w14:paraId="2E05064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lastRenderedPageBreak/>
        <w:t xml:space="preserve">31. Cheng F, Li W, Zhou Y, Shen J, Wu Z, Liu G, et al. AdmetSAR: A comprehensive source and free tool for assessment of chemical ADMET properties. J Chem Inf Model. 2012;52:3099–105. </w:t>
      </w:r>
    </w:p>
    <w:p w14:paraId="11CEC29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32. Pires, Blundell TL, Ascher DB. pkCSM : predicting small-molecule pharmacokinetic properties using graph-based signatures (Theory- How to Enterpret pkCSM Result). pKCSM [Internet]. 2015;5. Available from: http://biosig.unimelb.edu.au/pkcsm/theory</w:t>
      </w:r>
    </w:p>
    <w:p w14:paraId="440ACFF3"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33. Axel D. Becke. Density‐functional thermochemistry. III. The role of exact exchange. J Chem Phys [Internet]. 1993;98:5648. Available from: https://doi.org/10.1063/1.464913</w:t>
      </w:r>
    </w:p>
    <w:p w14:paraId="6DD87B9C"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34. Nielsen AB, Holder AJ. Gauss view 5.0, user’s reference. GAUSSIAN Inc, Pittsburgh. 2009; </w:t>
      </w:r>
    </w:p>
    <w:p w14:paraId="250B03D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35. Hossen MB, Islam MA, Reza MS, Kibria MK, Horaira MA, Tuly KF, et al. Robust identification of common genomic biomarkers from multiple gene expression profiles for the prognosis, diagnosis, and therapies of pancreatic cancer. Comput Biol Med [Internet]. 2023;152:106411. Available from: http://www.ncbi.nlm.nih.gov/pubmed/36502691</w:t>
      </w:r>
    </w:p>
    <w:p w14:paraId="329E0B05"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36. Gao Y, Chen S, Sun J, Su S, Yang D, Xiang L, et al. Traditional Chinese medicine may be further explored as candidate drugs for pancreatic cancer: A review. Phyther Res. 2021;35:603–28. </w:t>
      </w:r>
    </w:p>
    <w:p w14:paraId="74198B1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37. Ilmer M, Westphalen CB, Niess H, D’Haese JG, Angele MK, Werner J, et al. Repurposed Drugs in Pancreatic Ductal Adenocarcinoma: An Update. Cancer J (United States). 2019;25:134–8. </w:t>
      </w:r>
    </w:p>
    <w:p w14:paraId="12F9EE1D"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38. Sugarman R, Patel R, Sharma S, Plenker D, Tuveson D, Saif MW. Pharmacokinetics and pharmacodynamics of new drugs for pancreatic cancer. Expert Opin. Drug Metab. Toxicol. 2019. </w:t>
      </w:r>
    </w:p>
    <w:p w14:paraId="193092A6"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39. Gao G, Liu C, Jain S, Li D, Wang H, Zhao Y, et al. Potential use of aptamers for diagnosis and treatment of pancreatic cancer. J Drug Target [Internet]. 2019;27:853–65. Available from: http://dx.doi.org/10.1080/1061186X.2018.1564924</w:t>
      </w:r>
    </w:p>
    <w:p w14:paraId="7776A20C"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40. Ma Y, Hu J, Zhang N, Dong X, Li Y, Yang B, et al. Prediction of candidate drugs for treating pancreatic cancer by using a combined approach. PLoS One. 2016;11:1–13. </w:t>
      </w:r>
    </w:p>
    <w:p w14:paraId="1D33ABF5"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41. Assaf E, Verlinde-Carvalho M, Delbaldo C, Grenier J, Sellam Z, Pouessel D, et al. 5-Fluorouracil/leucovorin combined with irinotecan and oxaliplatin (FOLFIRINOX) as second-line chemotherapy in patients with metastatic pancreatic adenocarcinoma. Oncology. 2011;80:301–6. </w:t>
      </w:r>
    </w:p>
    <w:p w14:paraId="6258AABF"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42. Khare V, Alam N, Saneja A, Dubey RD, Gupta PN. Targeted drug delivery systems for pancreatic cancer. J Biomed Nanotechnol. 2014;10:3462–82. </w:t>
      </w:r>
    </w:p>
    <w:p w14:paraId="7E9B4BEE"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43. Luo Y, Hu J, Liu Y, Li L, Li Y, Sun B, et al. Invadopodia: A potential target for pancreatic cancer therapy. Crit Rev Oncol Hematol. 2021;159. </w:t>
      </w:r>
    </w:p>
    <w:p w14:paraId="26BCF4E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44. Yarchoan M, Myzak MC, Johnson BA, De Jesus-Acosta AD, Le DT, Jaffee EM, et al. Olaparib in combination with irinotecan, cisplatin, and mitomycin c in patients with advanced pancreatic cancer. Oncotarget. 2017;8. </w:t>
      </w:r>
    </w:p>
    <w:p w14:paraId="3A0C1D1B"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45. Vaishampayan UN. An evaluation of olaparib for the treatment of pancreatic cancer. Expert Opin. Pharmacother. 2021. </w:t>
      </w:r>
    </w:p>
    <w:p w14:paraId="7DC570D1"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46. Zheng Y, Wu C, Yang J, Zhao Y, Jia H, Xue M, et al. Insulin-like growth factor 1-induced enolase 2 deacetylation by HDAC3 promotes metastasis of pancreatic cancer. Signal Transduct Target Ther. 2020;5. </w:t>
      </w:r>
    </w:p>
    <w:p w14:paraId="1A86043B"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47. El Hassouni B, Mantini G, Immordino B, Peters GJ, Giovannetti E. CX-5461 inhibits pancreatic ductal adenocarcinoma cell growth, migration and induces DNA damage. Molecules. 2019;24. </w:t>
      </w:r>
    </w:p>
    <w:p w14:paraId="225CFA1E"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48. MarElia CB, Sharp AE, Shemwell TA, Clare Zhang Y, Burkhardt BR. Anemarrhena asphodeloides Bunge and its constituent timosaponin-AIII induce cell cycle arrest and apoptosis in pancreatic cancer cells. FEBS Open Bio. 2018;8:1155–66. </w:t>
      </w:r>
    </w:p>
    <w:p w14:paraId="63F40A9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49. National Cancer Institute. Drugs Approved for Pancreatic Cancer - National Cancer Institute [Internet]. NIH-Cancer.gov. 2014. Available from: http://www.cancer.gov/cancertopics/druginfo/pancreaticcancer</w:t>
      </w:r>
    </w:p>
    <w:p w14:paraId="24473DD1"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lastRenderedPageBreak/>
        <w:t xml:space="preserve">50. Gu H, Yuan G. Identification of potential key genes for SARS-CoV-2 infected human bronchial organoids based on bioinformatics analysis. bioRxiv. 2020;2020.08.18.256735. </w:t>
      </w:r>
    </w:p>
    <w:p w14:paraId="5C1B312C"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51. Bailey CJ, Tahrani AA, Barnett AH. Future glucose-lowering drugs for type 2 diabetes. Lancet Diabetes Endocrinol. 2016;4:350–9. </w:t>
      </w:r>
    </w:p>
    <w:p w14:paraId="1A3A524F"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52. Krentz AJ, Patel MB, Bailey CJ. New Drugs for Type 2 Diabetes Mellitus. Drugs. 2008;68:2131–62. </w:t>
      </w:r>
    </w:p>
    <w:p w14:paraId="4A7454B3"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53. Esposito K, Chiodini P, Bellastella G, Maiorino MI, Giugliano D. Proportion of patients at HbA1c target &lt;7% with eight classes of antidiabetic drugs in type 2 diabetes: Systematic review of 218 randomized controlled trials with 78 945 patients. Diabetes, Obes Metab. 2012;14:228–33. </w:t>
      </w:r>
    </w:p>
    <w:p w14:paraId="6BE2331D"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54. Moller DE. New drug targets for type 2 diabetes and the metabolic syndrome. Nature. 2001;414:821–827. </w:t>
      </w:r>
    </w:p>
    <w:p w14:paraId="5FCFC27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55. Chehade JM, A.D. M. A rational approach to drug therapy of type 2 diabetes mellitus. Drugs [Internet]. 2000;60:95–113. Available from: http://www.embase.com/search/results?subaction=viewrecord&amp;from=export&amp;id=L30598820%0Ahttp://dx.doi.org/10.2165/00003495-200060010-00006</w:t>
      </w:r>
    </w:p>
    <w:p w14:paraId="406339E6"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56. Deans KA, Sattar N. “Anti-inflammatory” drugs and their effects on type 2 Diabetes. Diabetes Technol Ther. 2006;8:18–27. </w:t>
      </w:r>
    </w:p>
    <w:p w14:paraId="39B10605"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57. Avery M, Mizuno C, Chittiboyina A, Kurtz T, Pershadsingh H. Type 2 Diabetes and Oral Antihyperglycemic Drugs. Curr Med Chem. 2008;15:61–74. </w:t>
      </w:r>
    </w:p>
    <w:p w14:paraId="5740C302"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58. Paneni F, Lüscher TF. Cardiovascular Protection in the Treatment of Type 2 Diabetes: A Review of Clinical Trial Results Across Drug Classes. Am J Cardiol. 2017;120:S17–27. </w:t>
      </w:r>
    </w:p>
    <w:p w14:paraId="6A8611B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59. Adeghate EA, Kalász H, Al Jaberi S, Adeghate J, Tekes K. Tackling type 2 diabetes-associated cardiovascular and renal comorbidities: a key challenge for drug development. Expert Opin Investig Drugs. 2021;30:85–93. </w:t>
      </w:r>
    </w:p>
    <w:p w14:paraId="3462B28F"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60. Gupta R, Walunj S, Tokala R, Parsa K, Singh S, Pal M. Emerging Drug Candidates of Dipeptidyl Peptidase IV (DPP IV) Inhibitor Class for the Treatment of Type 2 Diabetes. Curr Drug Targets. 2009;10:71–87. </w:t>
      </w:r>
    </w:p>
    <w:p w14:paraId="4968F54F"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61. Tamborlane W V., Haymond MW, Dunger D, Shankar R, Gubitosi-Klug R, Bethin K, et al. Expanding Treatment Options for Youth With Type 2 Diabetes: Current Problems and Proposed Solutions. Diabetes Care [Internet]. 2016;39:323–9. Available from: http://care.diabetesjournals.org/lookup/doi/10.2337/dc15-1649</w:t>
      </w:r>
    </w:p>
    <w:p w14:paraId="5A97BDFA"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62. Lu D-Y, Che J-Y, Yarla NS, Wu H-Y, Lu T-R, Xu B, et al. Type 2 Diabetes Treatment and Drug Development Study. Open Diabetes J. 2018;8:22–33. </w:t>
      </w:r>
    </w:p>
    <w:p w14:paraId="0A5FF75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63. Thrasher J. Pharmacologic Management of Type 2 Diabetes Mellitus: Available Therapies. Am J Cardiol. 2017;120:S4–16. </w:t>
      </w:r>
    </w:p>
    <w:p w14:paraId="1EA07E14"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64. Kalsi A, Singh S, Taneja N, Kukal S, Mani S. Current treatments for type 2 diabetes, their side effects and possible complementary treatments. Int J Pharm Pharm Sci [Internet]. 2015;7:13–8. Available from: https://www.researchgate.net/publication/281770059_Current_treatments_for_type_2_diabetes_their_side_effects_and_possible_complementary_treatments</w:t>
      </w:r>
    </w:p>
    <w:p w14:paraId="0E1184F5"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65. Olokoba AB, Obateru OA, Olokoba LB. Type 2 diabetes mellitus: A review of current trends. Oman Med J. 2012;27:269–73. </w:t>
      </w:r>
    </w:p>
    <w:p w14:paraId="51266D9D"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66. Kong M, Xie K, Lv M, Li J, Yao J, Yan K, et al. Anti-inflammatory phytochemicals for the treatment of diabetes and its complications: Lessons learned and future promise. Biomed Pharmacother. 2021;133. </w:t>
      </w:r>
    </w:p>
    <w:p w14:paraId="4A480C3B"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67. Tripathi AK, Kohli S. Anti-Diabetic Activity and Phytochemical Screening of Crude Extracts of PuerariaTuberosa DC. (FABACEAE) Grown in India on STZ -Induced Diabetic Rats. Asian J Med Pharm Res. 2013;3:66–73. </w:t>
      </w:r>
    </w:p>
    <w:p w14:paraId="490A185D"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68. Hassan MM, Uddin S, Bhowmik A, Ashraf A, Islam MM, Rokeya B. Phytochemical screening and antidiabetic effects of fruit rind of Momordica dioica roxb. on streptozocin induced type 2 diabetic rats. Heliyon. 2022;8. </w:t>
      </w:r>
    </w:p>
    <w:p w14:paraId="235574F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lastRenderedPageBreak/>
        <w:t xml:space="preserve">69. Yasmin, A, Bukhari, S. A., Zahoor, M. K., Mustafa, G., &amp; Rasul A. Screening of novel phytochemicals as secreted frizzled-related protein 4 inhibitors: an early stage biomarker of type 2 diabetes. Pak J Pharm Sci. 2020;33(3):1245–50. </w:t>
      </w:r>
    </w:p>
    <w:p w14:paraId="2074DEA8"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70. Singh R, Kazmi I, Afzal M, Imam F, Alharbi KS. Dietary phytochemicals and their potential effects on diabetes mellitus 2. Plant Hum Heal Pharmacol Ther Uses. 2019;3:65–86. </w:t>
      </w:r>
    </w:p>
    <w:p w14:paraId="3E8E8BFA"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71. González-Castejón M, Rodriguez-Casado A. Dietary phytochemicals and their potential effects on obesity: A review. Pharmacol Res. 2011;64:438–55. </w:t>
      </w:r>
    </w:p>
    <w:p w14:paraId="7D9CD174"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72. Hariftyani AS, Kurniawati LA, Khaerunnisa S, Veterini AS, Setiawati Y, Awaluddin R. In silico analysis of potential antidiabetic phytochemicals from Matricaria chamomilla l. Against ptp1b and aldose reductase for type 2 diabetes mellitus and its complications. Nat Prod Sci. 2021;27:99–114. </w:t>
      </w:r>
    </w:p>
    <w:p w14:paraId="041C54F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73. Adefegha A. Phytochemistry and mode of action of some tropical spices in the management of type-2 diabetes and hypertension. African J Pharm Pharmacol. 2013;7:332–46. </w:t>
      </w:r>
    </w:p>
    <w:p w14:paraId="4DF44B17"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74. Atere TG, Akinloye OA, Ugbaja RN, Ajiboye Ojo D, Samuel Metibemu D, Omotuyi I olaposi. Molecular Interactions and Docking Studies of the Phytochemical Constituents of Costus Afer against Therapeutic Targets of Type 2 Diabetes. J Appl Bioinforma Comput Biol. 2017;06. </w:t>
      </w:r>
    </w:p>
    <w:p w14:paraId="2FF19683"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75. Rampogu S, Parameswaran S, Lemuel MR, Lee KW. Exploring the Therapeutic Ability of Fenugreek against Type 2 Diabetes and Breast Cancer Employing Molecular Docking and Molecular Dynamics Simulations. Evidence-based Complement Altern Med. 2018;2018. </w:t>
      </w:r>
    </w:p>
    <w:p w14:paraId="6227DB4E"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76. Kausar MA, Shahid SMA, Anwar S, Kuddus M, Khan MKA, Khalifa AM, et al. Identifying the alpha-glucosidase inhibitory potential of dietary phytochemicals against diabetes mellitus type 2 via molecular interactions and dynamics simulation. Cell Mol Biol. 2021;67:16–26. </w:t>
      </w:r>
    </w:p>
    <w:p w14:paraId="2E1536A0"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77. Sari Y, Indarto D, Wasita B. Identification of Epicatechin Gallate and Other Phytochemicals in Methanol Extract of Fresh and Dried Star-Fruits (Averrhoa carambola Linn.) for Treatment of Type 2 Diabetes Mellitus. 2021; </w:t>
      </w:r>
    </w:p>
    <w:p w14:paraId="7EDD5231"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78. Onaolapo AY, Onaolapo OJ. Nutraceuticals and Diet-based Phytochemicals in Type 2 Diabetes Mellitus: From Whole Food to Components with Defined Roles and Mechanisms. Curr Diabetes Rev. 2018;16:12–25. </w:t>
      </w:r>
    </w:p>
    <w:p w14:paraId="0BA7193D"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szCs w:val="24"/>
        </w:rPr>
      </w:pPr>
      <w:r w:rsidRPr="00A91BCF">
        <w:rPr>
          <w:rFonts w:ascii="Times New Roman" w:hAnsi="Times New Roman" w:cs="Times New Roman"/>
          <w:noProof/>
          <w:sz w:val="20"/>
          <w:szCs w:val="24"/>
        </w:rPr>
        <w:t xml:space="preserve">79. Belobrajdic DP, Bird AR. The potential role of phytochemicals in wholegrain cereals for the prevention of type-2 diabetes. Nutr J. 2013;12. </w:t>
      </w:r>
    </w:p>
    <w:p w14:paraId="24800151" w14:textId="77777777" w:rsidR="00A91BCF" w:rsidRPr="00A91BCF" w:rsidRDefault="00A91BCF" w:rsidP="00A91BCF">
      <w:pPr>
        <w:widowControl w:val="0"/>
        <w:autoSpaceDE w:val="0"/>
        <w:autoSpaceDN w:val="0"/>
        <w:adjustRightInd w:val="0"/>
        <w:spacing w:line="240" w:lineRule="auto"/>
        <w:rPr>
          <w:rFonts w:ascii="Times New Roman" w:hAnsi="Times New Roman" w:cs="Times New Roman"/>
          <w:noProof/>
          <w:sz w:val="20"/>
        </w:rPr>
      </w:pPr>
      <w:r w:rsidRPr="00A91BCF">
        <w:rPr>
          <w:rFonts w:ascii="Times New Roman" w:hAnsi="Times New Roman" w:cs="Times New Roman"/>
          <w:noProof/>
          <w:sz w:val="20"/>
          <w:szCs w:val="24"/>
        </w:rPr>
        <w:t xml:space="preserve">80. Oboh G, Olabiyi AA, Akinyemi AJ, Ademiluyi AO. Inhibition of key enzymes linked to type 2 diabetes and sodium nitroprusside-induced lipid peroxidation in rat pancreas by water-extractable phytochemicals from unripe pawpaw fruit (carica papaya). J Basic Clin Physiol Pharmacol. 2014;25:21–34. </w:t>
      </w:r>
    </w:p>
    <w:p w14:paraId="0568E201" w14:textId="77777777" w:rsidR="00575E16" w:rsidRPr="00C21B42" w:rsidRDefault="00575E16" w:rsidP="003F0985">
      <w:pPr>
        <w:jc w:val="both"/>
        <w:rPr>
          <w:rFonts w:ascii="Times New Roman" w:hAnsi="Times New Roman" w:cs="Times New Roman"/>
          <w:b/>
        </w:rPr>
      </w:pPr>
      <w:r w:rsidRPr="00C21B42">
        <w:rPr>
          <w:rFonts w:ascii="Times New Roman" w:hAnsi="Times New Roman" w:cs="Times New Roman"/>
          <w:b/>
          <w:sz w:val="20"/>
          <w:szCs w:val="20"/>
        </w:rPr>
        <w:fldChar w:fldCharType="end"/>
      </w:r>
    </w:p>
    <w:sectPr w:rsidR="00575E16" w:rsidRPr="00C21B42" w:rsidSect="00FF2B32">
      <w:footerReference w:type="default" r:id="rId2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20EFA" w14:textId="77777777" w:rsidR="00233C5E" w:rsidRDefault="00233C5E" w:rsidP="00755313">
      <w:pPr>
        <w:spacing w:after="0" w:line="240" w:lineRule="auto"/>
      </w:pPr>
      <w:r>
        <w:separator/>
      </w:r>
    </w:p>
  </w:endnote>
  <w:endnote w:type="continuationSeparator" w:id="0">
    <w:p w14:paraId="30B3384C" w14:textId="77777777" w:rsidR="00233C5E" w:rsidRDefault="00233C5E" w:rsidP="00755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ans CJK SC">
    <w:panose1 w:val="00000000000000000000"/>
    <w:charset w:val="00"/>
    <w:family w:val="roman"/>
    <w:notTrueType/>
    <w:pitch w:val="default"/>
  </w:font>
  <w:font w:name="Lohit Devanagari">
    <w:altName w:val="Times New Roman"/>
    <w:charset w:val="00"/>
    <w:family w:val="auto"/>
    <w:pitch w:val="default"/>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TimesNewRomanMTStd">
    <w:altName w:val="Malgun Gothic"/>
    <w:panose1 w:val="00000000000000000000"/>
    <w:charset w:val="81"/>
    <w:family w:val="auto"/>
    <w:notTrueType/>
    <w:pitch w:val="default"/>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494965"/>
      <w:docPartObj>
        <w:docPartGallery w:val="Page Numbers (Bottom of Page)"/>
        <w:docPartUnique/>
      </w:docPartObj>
    </w:sdtPr>
    <w:sdtEndPr>
      <w:rPr>
        <w:noProof/>
      </w:rPr>
    </w:sdtEndPr>
    <w:sdtContent>
      <w:p w14:paraId="56E3A3A0" w14:textId="52E8438F" w:rsidR="0049547F" w:rsidRDefault="0049547F">
        <w:pPr>
          <w:pStyle w:val="Footer"/>
          <w:jc w:val="right"/>
        </w:pPr>
        <w:r>
          <w:fldChar w:fldCharType="begin"/>
        </w:r>
        <w:r>
          <w:instrText xml:space="preserve"> PAGE   \* MERGEFORMAT </w:instrText>
        </w:r>
        <w:r>
          <w:fldChar w:fldCharType="separate"/>
        </w:r>
        <w:r w:rsidR="00F55749">
          <w:rPr>
            <w:noProof/>
          </w:rPr>
          <w:t>2</w:t>
        </w:r>
        <w:r>
          <w:rPr>
            <w:noProof/>
          </w:rPr>
          <w:fldChar w:fldCharType="end"/>
        </w:r>
      </w:p>
    </w:sdtContent>
  </w:sdt>
  <w:p w14:paraId="5A8F95EF" w14:textId="77777777" w:rsidR="0049547F" w:rsidRPr="0090158D" w:rsidRDefault="0049547F">
    <w:pPr>
      <w:pStyle w:val="Footer"/>
      <w:rPr>
        <w:rFonts w:ascii="Times New Roman" w:hAnsi="Times New Roman" w:cs="Times New Roman"/>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5ADDF" w14:textId="77777777" w:rsidR="00233C5E" w:rsidRDefault="00233C5E" w:rsidP="00755313">
      <w:pPr>
        <w:spacing w:after="0" w:line="240" w:lineRule="auto"/>
      </w:pPr>
      <w:r>
        <w:separator/>
      </w:r>
    </w:p>
  </w:footnote>
  <w:footnote w:type="continuationSeparator" w:id="0">
    <w:p w14:paraId="71D28E8C" w14:textId="77777777" w:rsidR="00233C5E" w:rsidRDefault="00233C5E" w:rsidP="0075531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0NLa0tLSwNDEwMLVQ0lEKTi0uzszPAykwMqoFAM4JPhItAAAA"/>
  </w:docVars>
  <w:rsids>
    <w:rsidRoot w:val="00575E16"/>
    <w:rsid w:val="0003253B"/>
    <w:rsid w:val="00034DA7"/>
    <w:rsid w:val="00036DAB"/>
    <w:rsid w:val="00042FD9"/>
    <w:rsid w:val="000465D5"/>
    <w:rsid w:val="0004694E"/>
    <w:rsid w:val="00053CA0"/>
    <w:rsid w:val="000559B4"/>
    <w:rsid w:val="000631F3"/>
    <w:rsid w:val="00073B83"/>
    <w:rsid w:val="0007748E"/>
    <w:rsid w:val="00091A5D"/>
    <w:rsid w:val="000C16F3"/>
    <w:rsid w:val="000D5B65"/>
    <w:rsid w:val="000E22D8"/>
    <w:rsid w:val="000E66B1"/>
    <w:rsid w:val="000F146E"/>
    <w:rsid w:val="00101C92"/>
    <w:rsid w:val="00107BCF"/>
    <w:rsid w:val="00111D13"/>
    <w:rsid w:val="00117919"/>
    <w:rsid w:val="0014067D"/>
    <w:rsid w:val="00161D79"/>
    <w:rsid w:val="0016552D"/>
    <w:rsid w:val="00177BF6"/>
    <w:rsid w:val="00184C53"/>
    <w:rsid w:val="00185936"/>
    <w:rsid w:val="00190B63"/>
    <w:rsid w:val="00193870"/>
    <w:rsid w:val="001942D9"/>
    <w:rsid w:val="001A39A2"/>
    <w:rsid w:val="001B0028"/>
    <w:rsid w:val="001C180E"/>
    <w:rsid w:val="001D33F1"/>
    <w:rsid w:val="001E5F8F"/>
    <w:rsid w:val="00200F32"/>
    <w:rsid w:val="00233C5E"/>
    <w:rsid w:val="00235B91"/>
    <w:rsid w:val="00244BCC"/>
    <w:rsid w:val="00263042"/>
    <w:rsid w:val="00280E73"/>
    <w:rsid w:val="00290A30"/>
    <w:rsid w:val="002A0435"/>
    <w:rsid w:val="002C2DAD"/>
    <w:rsid w:val="002C3B25"/>
    <w:rsid w:val="002D392E"/>
    <w:rsid w:val="002E382A"/>
    <w:rsid w:val="002F2120"/>
    <w:rsid w:val="00304C4B"/>
    <w:rsid w:val="00313E38"/>
    <w:rsid w:val="0033563D"/>
    <w:rsid w:val="00341079"/>
    <w:rsid w:val="003439C5"/>
    <w:rsid w:val="00343DBD"/>
    <w:rsid w:val="00352E1A"/>
    <w:rsid w:val="00356D56"/>
    <w:rsid w:val="003617B1"/>
    <w:rsid w:val="0038702F"/>
    <w:rsid w:val="003B1FDE"/>
    <w:rsid w:val="003B204A"/>
    <w:rsid w:val="003B4581"/>
    <w:rsid w:val="003B7B30"/>
    <w:rsid w:val="003C6347"/>
    <w:rsid w:val="003D1D7F"/>
    <w:rsid w:val="003D376F"/>
    <w:rsid w:val="003D49B4"/>
    <w:rsid w:val="003E69D5"/>
    <w:rsid w:val="003F0985"/>
    <w:rsid w:val="003F53D5"/>
    <w:rsid w:val="004003D3"/>
    <w:rsid w:val="0040398D"/>
    <w:rsid w:val="00420D87"/>
    <w:rsid w:val="00421AD9"/>
    <w:rsid w:val="004250AD"/>
    <w:rsid w:val="00433C9D"/>
    <w:rsid w:val="0044445C"/>
    <w:rsid w:val="00444A83"/>
    <w:rsid w:val="00447ECA"/>
    <w:rsid w:val="00455D07"/>
    <w:rsid w:val="00460718"/>
    <w:rsid w:val="00473D41"/>
    <w:rsid w:val="00474C10"/>
    <w:rsid w:val="004755F6"/>
    <w:rsid w:val="00475E98"/>
    <w:rsid w:val="00486448"/>
    <w:rsid w:val="00486DD4"/>
    <w:rsid w:val="004876DA"/>
    <w:rsid w:val="0049547F"/>
    <w:rsid w:val="004B0ED5"/>
    <w:rsid w:val="004C6D28"/>
    <w:rsid w:val="004E7F92"/>
    <w:rsid w:val="005100BD"/>
    <w:rsid w:val="005236F9"/>
    <w:rsid w:val="00547644"/>
    <w:rsid w:val="00562D2F"/>
    <w:rsid w:val="00566A42"/>
    <w:rsid w:val="00575E16"/>
    <w:rsid w:val="00581386"/>
    <w:rsid w:val="005A7AE3"/>
    <w:rsid w:val="005E3B05"/>
    <w:rsid w:val="005F2639"/>
    <w:rsid w:val="005F395D"/>
    <w:rsid w:val="005F4A4D"/>
    <w:rsid w:val="00607420"/>
    <w:rsid w:val="0061014A"/>
    <w:rsid w:val="0061120C"/>
    <w:rsid w:val="00630A47"/>
    <w:rsid w:val="00635C03"/>
    <w:rsid w:val="006628CF"/>
    <w:rsid w:val="00682781"/>
    <w:rsid w:val="006918A5"/>
    <w:rsid w:val="00695DAF"/>
    <w:rsid w:val="006975F1"/>
    <w:rsid w:val="006A44E7"/>
    <w:rsid w:val="006A5A3A"/>
    <w:rsid w:val="006C6AD0"/>
    <w:rsid w:val="006D3007"/>
    <w:rsid w:val="006D6EA2"/>
    <w:rsid w:val="006F7F51"/>
    <w:rsid w:val="00716935"/>
    <w:rsid w:val="007277CB"/>
    <w:rsid w:val="007408F4"/>
    <w:rsid w:val="007433DB"/>
    <w:rsid w:val="00746824"/>
    <w:rsid w:val="00751F13"/>
    <w:rsid w:val="00755313"/>
    <w:rsid w:val="00755ECE"/>
    <w:rsid w:val="00767D29"/>
    <w:rsid w:val="007730F8"/>
    <w:rsid w:val="007767BE"/>
    <w:rsid w:val="007A0737"/>
    <w:rsid w:val="007A2ACC"/>
    <w:rsid w:val="007C1015"/>
    <w:rsid w:val="007C52EB"/>
    <w:rsid w:val="007C5D1F"/>
    <w:rsid w:val="007D28B3"/>
    <w:rsid w:val="007D42FC"/>
    <w:rsid w:val="00804C43"/>
    <w:rsid w:val="00831E31"/>
    <w:rsid w:val="008361A3"/>
    <w:rsid w:val="008413FC"/>
    <w:rsid w:val="00842F9B"/>
    <w:rsid w:val="008467DE"/>
    <w:rsid w:val="00851AEF"/>
    <w:rsid w:val="008553CB"/>
    <w:rsid w:val="00875B07"/>
    <w:rsid w:val="00881D2E"/>
    <w:rsid w:val="00891A2F"/>
    <w:rsid w:val="0089263A"/>
    <w:rsid w:val="0089297B"/>
    <w:rsid w:val="008B1F4B"/>
    <w:rsid w:val="008C663E"/>
    <w:rsid w:val="008C694F"/>
    <w:rsid w:val="008C6E06"/>
    <w:rsid w:val="008D735E"/>
    <w:rsid w:val="008F02EC"/>
    <w:rsid w:val="008F60A5"/>
    <w:rsid w:val="0090158D"/>
    <w:rsid w:val="00914CDC"/>
    <w:rsid w:val="00914FE9"/>
    <w:rsid w:val="00920A42"/>
    <w:rsid w:val="0092784E"/>
    <w:rsid w:val="00936BE4"/>
    <w:rsid w:val="00937AFB"/>
    <w:rsid w:val="0094279D"/>
    <w:rsid w:val="00946BAF"/>
    <w:rsid w:val="00950172"/>
    <w:rsid w:val="00951113"/>
    <w:rsid w:val="00966DC7"/>
    <w:rsid w:val="00987DF5"/>
    <w:rsid w:val="00992A24"/>
    <w:rsid w:val="009A52D4"/>
    <w:rsid w:val="009A58AF"/>
    <w:rsid w:val="009A5964"/>
    <w:rsid w:val="009B707E"/>
    <w:rsid w:val="009C6BDF"/>
    <w:rsid w:val="009D3CAF"/>
    <w:rsid w:val="009D4FCC"/>
    <w:rsid w:val="009F1E16"/>
    <w:rsid w:val="009F42ED"/>
    <w:rsid w:val="00A0218E"/>
    <w:rsid w:val="00A1261F"/>
    <w:rsid w:val="00A22630"/>
    <w:rsid w:val="00A335CD"/>
    <w:rsid w:val="00A42032"/>
    <w:rsid w:val="00A425FD"/>
    <w:rsid w:val="00A43D76"/>
    <w:rsid w:val="00A44223"/>
    <w:rsid w:val="00A462BC"/>
    <w:rsid w:val="00A608EE"/>
    <w:rsid w:val="00A91BCF"/>
    <w:rsid w:val="00AA5B34"/>
    <w:rsid w:val="00AC112E"/>
    <w:rsid w:val="00AC7E61"/>
    <w:rsid w:val="00AC7F58"/>
    <w:rsid w:val="00AE051C"/>
    <w:rsid w:val="00AF3C78"/>
    <w:rsid w:val="00B05093"/>
    <w:rsid w:val="00B10B47"/>
    <w:rsid w:val="00B35B3A"/>
    <w:rsid w:val="00B35CD0"/>
    <w:rsid w:val="00B45A93"/>
    <w:rsid w:val="00B554D9"/>
    <w:rsid w:val="00B57331"/>
    <w:rsid w:val="00B6709D"/>
    <w:rsid w:val="00B720F9"/>
    <w:rsid w:val="00B76527"/>
    <w:rsid w:val="00B95FBA"/>
    <w:rsid w:val="00B962A4"/>
    <w:rsid w:val="00BB1F31"/>
    <w:rsid w:val="00BC4839"/>
    <w:rsid w:val="00BC65B9"/>
    <w:rsid w:val="00BE110C"/>
    <w:rsid w:val="00C03500"/>
    <w:rsid w:val="00C0356B"/>
    <w:rsid w:val="00C078A2"/>
    <w:rsid w:val="00C105F5"/>
    <w:rsid w:val="00C15839"/>
    <w:rsid w:val="00C17D66"/>
    <w:rsid w:val="00C21B42"/>
    <w:rsid w:val="00C224BD"/>
    <w:rsid w:val="00C24737"/>
    <w:rsid w:val="00C30849"/>
    <w:rsid w:val="00C46BFD"/>
    <w:rsid w:val="00C6525B"/>
    <w:rsid w:val="00C740F1"/>
    <w:rsid w:val="00C81DB8"/>
    <w:rsid w:val="00C87C27"/>
    <w:rsid w:val="00C9123B"/>
    <w:rsid w:val="00C93D3C"/>
    <w:rsid w:val="00C974D0"/>
    <w:rsid w:val="00CA572C"/>
    <w:rsid w:val="00CA6131"/>
    <w:rsid w:val="00CA68C3"/>
    <w:rsid w:val="00CA78A0"/>
    <w:rsid w:val="00CB1FEB"/>
    <w:rsid w:val="00CD12B0"/>
    <w:rsid w:val="00CD7067"/>
    <w:rsid w:val="00CE202C"/>
    <w:rsid w:val="00CE711A"/>
    <w:rsid w:val="00D01167"/>
    <w:rsid w:val="00D14C46"/>
    <w:rsid w:val="00D15FB3"/>
    <w:rsid w:val="00D17964"/>
    <w:rsid w:val="00D3682F"/>
    <w:rsid w:val="00D456A2"/>
    <w:rsid w:val="00D50D85"/>
    <w:rsid w:val="00D54DA4"/>
    <w:rsid w:val="00D628E8"/>
    <w:rsid w:val="00D835D5"/>
    <w:rsid w:val="00DA577B"/>
    <w:rsid w:val="00DC732C"/>
    <w:rsid w:val="00DE2450"/>
    <w:rsid w:val="00DF7654"/>
    <w:rsid w:val="00E000C7"/>
    <w:rsid w:val="00E02074"/>
    <w:rsid w:val="00E05EC7"/>
    <w:rsid w:val="00E11FB4"/>
    <w:rsid w:val="00E129BC"/>
    <w:rsid w:val="00E43DEC"/>
    <w:rsid w:val="00E443F9"/>
    <w:rsid w:val="00E560BD"/>
    <w:rsid w:val="00E63520"/>
    <w:rsid w:val="00E65CAE"/>
    <w:rsid w:val="00E91B75"/>
    <w:rsid w:val="00E95822"/>
    <w:rsid w:val="00EB0E0B"/>
    <w:rsid w:val="00EB27FD"/>
    <w:rsid w:val="00EC07DD"/>
    <w:rsid w:val="00EC10CB"/>
    <w:rsid w:val="00EC2F6A"/>
    <w:rsid w:val="00EC38F9"/>
    <w:rsid w:val="00ED05DD"/>
    <w:rsid w:val="00ED17DE"/>
    <w:rsid w:val="00EE5D05"/>
    <w:rsid w:val="00EF266C"/>
    <w:rsid w:val="00EF6FDB"/>
    <w:rsid w:val="00F07D54"/>
    <w:rsid w:val="00F10FBF"/>
    <w:rsid w:val="00F43173"/>
    <w:rsid w:val="00F4701A"/>
    <w:rsid w:val="00F51FF0"/>
    <w:rsid w:val="00F55749"/>
    <w:rsid w:val="00F61CE6"/>
    <w:rsid w:val="00F6278B"/>
    <w:rsid w:val="00F62D26"/>
    <w:rsid w:val="00F87CCF"/>
    <w:rsid w:val="00F924C9"/>
    <w:rsid w:val="00F9788C"/>
    <w:rsid w:val="00FE1631"/>
    <w:rsid w:val="00FF2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46D6B8"/>
  <w15:docId w15:val="{77A7AA27-9B7E-41F2-8F81-E6022325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E16"/>
  </w:style>
  <w:style w:type="paragraph" w:styleId="Heading1">
    <w:name w:val="heading 1"/>
    <w:basedOn w:val="Normal"/>
    <w:next w:val="Normal"/>
    <w:link w:val="Heading1Char"/>
    <w:uiPriority w:val="9"/>
    <w:qFormat/>
    <w:rsid w:val="001E5F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F8F"/>
    <w:rPr>
      <w:rFonts w:asciiTheme="majorHAnsi" w:eastAsiaTheme="majorEastAsia" w:hAnsiTheme="majorHAnsi" w:cstheme="majorBidi"/>
      <w:color w:val="2E74B5" w:themeColor="accent1" w:themeShade="BF"/>
      <w:sz w:val="32"/>
      <w:szCs w:val="32"/>
    </w:rPr>
  </w:style>
  <w:style w:type="table" w:customStyle="1" w:styleId="GridTable1Light-Accent61">
    <w:name w:val="Grid Table 1 Light - Accent 61"/>
    <w:basedOn w:val="TableNormal"/>
    <w:uiPriority w:val="46"/>
    <w:rsid w:val="00575E16"/>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eGrid">
    <w:name w:val="Table Grid"/>
    <w:basedOn w:val="TableNormal"/>
    <w:uiPriority w:val="59"/>
    <w:rsid w:val="00575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575E1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5E16"/>
    <w:rPr>
      <w:rFonts w:asciiTheme="majorHAnsi" w:eastAsiaTheme="majorEastAsia" w:hAnsiTheme="majorHAnsi" w:cstheme="majorBidi"/>
      <w:spacing w:val="-10"/>
      <w:kern w:val="28"/>
      <w:sz w:val="56"/>
      <w:szCs w:val="56"/>
    </w:rPr>
  </w:style>
  <w:style w:type="table" w:customStyle="1" w:styleId="GridTable1Light-Accent11">
    <w:name w:val="Grid Table 1 Light - Accent 11"/>
    <w:basedOn w:val="TableNormal"/>
    <w:uiPriority w:val="46"/>
    <w:rsid w:val="0060742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NoSpacing">
    <w:name w:val="No Spacing"/>
    <w:uiPriority w:val="1"/>
    <w:qFormat/>
    <w:rsid w:val="00891A2F"/>
    <w:pPr>
      <w:spacing w:after="0" w:line="240" w:lineRule="auto"/>
    </w:pPr>
  </w:style>
  <w:style w:type="paragraph" w:styleId="Header">
    <w:name w:val="header"/>
    <w:basedOn w:val="Normal"/>
    <w:link w:val="HeaderChar"/>
    <w:uiPriority w:val="99"/>
    <w:unhideWhenUsed/>
    <w:rsid w:val="007553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5313"/>
  </w:style>
  <w:style w:type="paragraph" w:styleId="Footer">
    <w:name w:val="footer"/>
    <w:basedOn w:val="Normal"/>
    <w:link w:val="FooterChar"/>
    <w:uiPriority w:val="99"/>
    <w:unhideWhenUsed/>
    <w:rsid w:val="007553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5313"/>
  </w:style>
  <w:style w:type="paragraph" w:customStyle="1" w:styleId="xl63">
    <w:name w:val="xl63"/>
    <w:basedOn w:val="Normal"/>
    <w:rsid w:val="00C974D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1Light-Accent62">
    <w:name w:val="Grid Table 1 Light - Accent 62"/>
    <w:basedOn w:val="TableNormal"/>
    <w:uiPriority w:val="46"/>
    <w:rsid w:val="00C974D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Hyperlink">
    <w:name w:val="Hyperlink"/>
    <w:basedOn w:val="DefaultParagraphFont"/>
    <w:uiPriority w:val="99"/>
    <w:semiHidden/>
    <w:unhideWhenUsed/>
    <w:rsid w:val="00B05093"/>
    <w:rPr>
      <w:color w:val="0563C1"/>
      <w:u w:val="single"/>
    </w:rPr>
  </w:style>
  <w:style w:type="character" w:styleId="FollowedHyperlink">
    <w:name w:val="FollowedHyperlink"/>
    <w:basedOn w:val="DefaultParagraphFont"/>
    <w:uiPriority w:val="99"/>
    <w:semiHidden/>
    <w:unhideWhenUsed/>
    <w:rsid w:val="00B05093"/>
    <w:rPr>
      <w:color w:val="954F72"/>
      <w:u w:val="single"/>
    </w:rPr>
  </w:style>
  <w:style w:type="table" w:customStyle="1" w:styleId="PlainTable11">
    <w:name w:val="Plain Table 11"/>
    <w:basedOn w:val="TableNormal"/>
    <w:uiPriority w:val="41"/>
    <w:rsid w:val="00B0509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111D13"/>
    <w:pPr>
      <w:spacing w:after="0" w:line="240" w:lineRule="auto"/>
    </w:pPr>
  </w:style>
  <w:style w:type="table" w:customStyle="1" w:styleId="GridTable1Light-Accent12">
    <w:name w:val="Grid Table 1 Light - Accent 12"/>
    <w:basedOn w:val="TableNormal"/>
    <w:uiPriority w:val="46"/>
    <w:rsid w:val="00F51FF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fontstyle01">
    <w:name w:val="fontstyle01"/>
    <w:basedOn w:val="DefaultParagraphFont"/>
    <w:rsid w:val="00E05EC7"/>
    <w:rPr>
      <w:rFonts w:ascii="Times New Roman" w:hAnsi="Times New Roman" w:cs="Times New Roman" w:hint="default"/>
      <w:b w:val="0"/>
      <w:bCs w:val="0"/>
      <w:i w:val="0"/>
      <w:iCs w:val="0"/>
      <w:color w:val="000000"/>
      <w:sz w:val="22"/>
      <w:szCs w:val="22"/>
    </w:rPr>
  </w:style>
  <w:style w:type="paragraph" w:customStyle="1" w:styleId="Standard">
    <w:name w:val="Standard"/>
    <w:rsid w:val="00E05EC7"/>
    <w:pPr>
      <w:suppressAutoHyphens/>
      <w:autoSpaceDN w:val="0"/>
      <w:spacing w:line="256" w:lineRule="auto"/>
    </w:pPr>
    <w:rPr>
      <w:rFonts w:ascii="Calibri" w:eastAsia="Times New Roman" w:hAnsi="Calibri" w:cs="Times New Roman"/>
      <w:kern w:val="3"/>
      <w:sz w:val="24"/>
      <w:szCs w:val="24"/>
      <w:lang w:eastAsia="zh-CN" w:bidi="hi-IN"/>
    </w:rPr>
  </w:style>
  <w:style w:type="paragraph" w:customStyle="1" w:styleId="msonormal0">
    <w:name w:val="msonormal"/>
    <w:basedOn w:val="Normal"/>
    <w:rsid w:val="00117919"/>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1Light-Accent13">
    <w:name w:val="Grid Table 1 Light - Accent 13"/>
    <w:basedOn w:val="TableNormal"/>
    <w:uiPriority w:val="46"/>
    <w:rsid w:val="00B6709D"/>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styleId="Emphasis">
    <w:name w:val="Emphasis"/>
    <w:qFormat/>
    <w:rsid w:val="0004694E"/>
    <w:rPr>
      <w:i/>
      <w:iCs/>
    </w:rPr>
  </w:style>
  <w:style w:type="paragraph" w:styleId="BodyText">
    <w:name w:val="Body Text"/>
    <w:basedOn w:val="Normal"/>
    <w:link w:val="BodyTextChar"/>
    <w:rsid w:val="0004694E"/>
    <w:pPr>
      <w:suppressAutoHyphens/>
      <w:overflowPunct w:val="0"/>
      <w:spacing w:after="140" w:line="276" w:lineRule="auto"/>
    </w:pPr>
    <w:rPr>
      <w:rFonts w:ascii="Liberation Serif" w:eastAsia="Noto Sans CJK SC" w:hAnsi="Liberation Serif" w:cs="Lohit Devanagari"/>
      <w:kern w:val="2"/>
      <w:sz w:val="24"/>
      <w:szCs w:val="24"/>
      <w:lang w:eastAsia="zh-CN" w:bidi="hi-IN"/>
    </w:rPr>
  </w:style>
  <w:style w:type="character" w:customStyle="1" w:styleId="BodyTextChar">
    <w:name w:val="Body Text Char"/>
    <w:basedOn w:val="DefaultParagraphFont"/>
    <w:link w:val="BodyText"/>
    <w:rsid w:val="0004694E"/>
    <w:rPr>
      <w:rFonts w:ascii="Liberation Serif" w:eastAsia="Noto Sans CJK SC" w:hAnsi="Liberation Serif" w:cs="Lohit Devanagari"/>
      <w:kern w:val="2"/>
      <w:sz w:val="24"/>
      <w:szCs w:val="24"/>
      <w:lang w:eastAsia="zh-CN" w:bidi="hi-IN"/>
    </w:rPr>
  </w:style>
  <w:style w:type="paragraph" w:customStyle="1" w:styleId="TableContents">
    <w:name w:val="Table Contents"/>
    <w:basedOn w:val="Normal"/>
    <w:qFormat/>
    <w:rsid w:val="0004694E"/>
    <w:pPr>
      <w:suppressLineNumbers/>
      <w:suppressAutoHyphens/>
      <w:overflowPunct w:val="0"/>
      <w:spacing w:after="0" w:line="240" w:lineRule="auto"/>
    </w:pPr>
    <w:rPr>
      <w:rFonts w:ascii="Liberation Serif" w:eastAsia="Noto Sans CJK SC" w:hAnsi="Liberation Serif" w:cs="Lohit Devanagari"/>
      <w:kern w:val="2"/>
      <w:sz w:val="24"/>
      <w:szCs w:val="24"/>
      <w:lang w:eastAsia="zh-CN" w:bidi="hi-IN"/>
    </w:rPr>
  </w:style>
  <w:style w:type="table" w:customStyle="1" w:styleId="GridTable1Light-Accent31">
    <w:name w:val="Grid Table 1 Light - Accent 31"/>
    <w:basedOn w:val="TableNormal"/>
    <w:uiPriority w:val="46"/>
    <w:rsid w:val="0014067D"/>
    <w:pPr>
      <w:spacing w:after="0" w:line="240" w:lineRule="auto"/>
    </w:pPr>
    <w:rPr>
      <w:rFonts w:eastAsia="Times New Roman" w:cs="Times New Roman"/>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rFonts w:cs="Times New Roman"/>
        <w:b/>
        <w:bCs/>
      </w:rPr>
      <w:tblPr/>
      <w:tcPr>
        <w:tcBorders>
          <w:bottom w:val="single" w:sz="12" w:space="0" w:color="C9C9C9" w:themeColor="accent3" w:themeTint="99"/>
        </w:tcBorders>
      </w:tcPr>
    </w:tblStylePr>
    <w:tblStylePr w:type="lastRow">
      <w:rPr>
        <w:rFonts w:cs="Times New Roman"/>
        <w:b/>
        <w:bCs/>
      </w:rPr>
      <w:tblPr/>
      <w:tcPr>
        <w:tcBorders>
          <w:top w:val="double" w:sz="2" w:space="0" w:color="C9C9C9" w:themeColor="accent3" w:themeTint="99"/>
        </w:tcBorders>
      </w:tcPr>
    </w:tblStylePr>
    <w:tblStylePr w:type="firstCol">
      <w:rPr>
        <w:rFonts w:cs="Times New Roman"/>
        <w:b/>
        <w:bCs/>
      </w:rPr>
    </w:tblStylePr>
    <w:tblStylePr w:type="lastCol">
      <w:rPr>
        <w:rFonts w:cs="Times New Roman"/>
        <w:b/>
        <w:bCs/>
      </w:rPr>
    </w:tblStylePr>
  </w:style>
  <w:style w:type="table" w:customStyle="1" w:styleId="GridTable1Light1">
    <w:name w:val="Grid Table 1 Light1"/>
    <w:basedOn w:val="TableNormal"/>
    <w:uiPriority w:val="46"/>
    <w:rsid w:val="00F6278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DPI31text">
    <w:name w:val="MDPI_3.1_text"/>
    <w:qFormat/>
    <w:rsid w:val="00AC7F58"/>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table" w:customStyle="1" w:styleId="PlainTable21">
    <w:name w:val="Plain Table 21"/>
    <w:basedOn w:val="TableNormal"/>
    <w:uiPriority w:val="42"/>
    <w:rsid w:val="00AC7F5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0">
    <w:name w:val="Plain Table 21"/>
    <w:basedOn w:val="TableNormal"/>
    <w:uiPriority w:val="42"/>
    <w:rsid w:val="00E443F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gkelc">
    <w:name w:val="hgkelc"/>
    <w:basedOn w:val="DefaultParagraphFont"/>
    <w:rsid w:val="003C6347"/>
  </w:style>
  <w:style w:type="character" w:customStyle="1" w:styleId="jss7040">
    <w:name w:val="jss7040"/>
    <w:basedOn w:val="DefaultParagraphFont"/>
    <w:rsid w:val="003C6347"/>
  </w:style>
  <w:style w:type="character" w:styleId="LineNumber">
    <w:name w:val="line number"/>
    <w:basedOn w:val="DefaultParagraphFont"/>
    <w:uiPriority w:val="99"/>
    <w:semiHidden/>
    <w:unhideWhenUsed/>
    <w:rsid w:val="0007748E"/>
  </w:style>
  <w:style w:type="paragraph" w:styleId="BalloonText">
    <w:name w:val="Balloon Text"/>
    <w:basedOn w:val="Normal"/>
    <w:link w:val="BalloonTextChar"/>
    <w:uiPriority w:val="99"/>
    <w:semiHidden/>
    <w:unhideWhenUsed/>
    <w:rsid w:val="00101C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C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8344">
      <w:bodyDiv w:val="1"/>
      <w:marLeft w:val="0"/>
      <w:marRight w:val="0"/>
      <w:marTop w:val="0"/>
      <w:marBottom w:val="0"/>
      <w:divBdr>
        <w:top w:val="none" w:sz="0" w:space="0" w:color="auto"/>
        <w:left w:val="none" w:sz="0" w:space="0" w:color="auto"/>
        <w:bottom w:val="none" w:sz="0" w:space="0" w:color="auto"/>
        <w:right w:val="none" w:sz="0" w:space="0" w:color="auto"/>
      </w:divBdr>
    </w:div>
    <w:div w:id="569775165">
      <w:bodyDiv w:val="1"/>
      <w:marLeft w:val="0"/>
      <w:marRight w:val="0"/>
      <w:marTop w:val="0"/>
      <w:marBottom w:val="0"/>
      <w:divBdr>
        <w:top w:val="none" w:sz="0" w:space="0" w:color="auto"/>
        <w:left w:val="none" w:sz="0" w:space="0" w:color="auto"/>
        <w:bottom w:val="none" w:sz="0" w:space="0" w:color="auto"/>
        <w:right w:val="none" w:sz="0" w:space="0" w:color="auto"/>
      </w:divBdr>
    </w:div>
    <w:div w:id="648359975">
      <w:bodyDiv w:val="1"/>
      <w:marLeft w:val="0"/>
      <w:marRight w:val="0"/>
      <w:marTop w:val="0"/>
      <w:marBottom w:val="0"/>
      <w:divBdr>
        <w:top w:val="none" w:sz="0" w:space="0" w:color="auto"/>
        <w:left w:val="none" w:sz="0" w:space="0" w:color="auto"/>
        <w:bottom w:val="none" w:sz="0" w:space="0" w:color="auto"/>
        <w:right w:val="none" w:sz="0" w:space="0" w:color="auto"/>
      </w:divBdr>
    </w:div>
    <w:div w:id="658534183">
      <w:bodyDiv w:val="1"/>
      <w:marLeft w:val="0"/>
      <w:marRight w:val="0"/>
      <w:marTop w:val="0"/>
      <w:marBottom w:val="0"/>
      <w:divBdr>
        <w:top w:val="none" w:sz="0" w:space="0" w:color="auto"/>
        <w:left w:val="none" w:sz="0" w:space="0" w:color="auto"/>
        <w:bottom w:val="none" w:sz="0" w:space="0" w:color="auto"/>
        <w:right w:val="none" w:sz="0" w:space="0" w:color="auto"/>
      </w:divBdr>
    </w:div>
    <w:div w:id="725102093">
      <w:bodyDiv w:val="1"/>
      <w:marLeft w:val="0"/>
      <w:marRight w:val="0"/>
      <w:marTop w:val="0"/>
      <w:marBottom w:val="0"/>
      <w:divBdr>
        <w:top w:val="none" w:sz="0" w:space="0" w:color="auto"/>
        <w:left w:val="none" w:sz="0" w:space="0" w:color="auto"/>
        <w:bottom w:val="none" w:sz="0" w:space="0" w:color="auto"/>
        <w:right w:val="none" w:sz="0" w:space="0" w:color="auto"/>
      </w:divBdr>
    </w:div>
    <w:div w:id="1028069359">
      <w:bodyDiv w:val="1"/>
      <w:marLeft w:val="0"/>
      <w:marRight w:val="0"/>
      <w:marTop w:val="0"/>
      <w:marBottom w:val="0"/>
      <w:divBdr>
        <w:top w:val="none" w:sz="0" w:space="0" w:color="auto"/>
        <w:left w:val="none" w:sz="0" w:space="0" w:color="auto"/>
        <w:bottom w:val="none" w:sz="0" w:space="0" w:color="auto"/>
        <w:right w:val="none" w:sz="0" w:space="0" w:color="auto"/>
      </w:divBdr>
    </w:div>
    <w:div w:id="1158426523">
      <w:bodyDiv w:val="1"/>
      <w:marLeft w:val="0"/>
      <w:marRight w:val="0"/>
      <w:marTop w:val="0"/>
      <w:marBottom w:val="0"/>
      <w:divBdr>
        <w:top w:val="none" w:sz="0" w:space="0" w:color="auto"/>
        <w:left w:val="none" w:sz="0" w:space="0" w:color="auto"/>
        <w:bottom w:val="none" w:sz="0" w:space="0" w:color="auto"/>
        <w:right w:val="none" w:sz="0" w:space="0" w:color="auto"/>
      </w:divBdr>
    </w:div>
    <w:div w:id="1430158100">
      <w:bodyDiv w:val="1"/>
      <w:marLeft w:val="0"/>
      <w:marRight w:val="0"/>
      <w:marTop w:val="0"/>
      <w:marBottom w:val="0"/>
      <w:divBdr>
        <w:top w:val="none" w:sz="0" w:space="0" w:color="auto"/>
        <w:left w:val="none" w:sz="0" w:space="0" w:color="auto"/>
        <w:bottom w:val="none" w:sz="0" w:space="0" w:color="auto"/>
        <w:right w:val="none" w:sz="0" w:space="0" w:color="auto"/>
      </w:divBdr>
    </w:div>
    <w:div w:id="1513913682">
      <w:bodyDiv w:val="1"/>
      <w:marLeft w:val="0"/>
      <w:marRight w:val="0"/>
      <w:marTop w:val="0"/>
      <w:marBottom w:val="0"/>
      <w:divBdr>
        <w:top w:val="none" w:sz="0" w:space="0" w:color="auto"/>
        <w:left w:val="none" w:sz="0" w:space="0" w:color="auto"/>
        <w:bottom w:val="none" w:sz="0" w:space="0" w:color="auto"/>
        <w:right w:val="none" w:sz="0" w:space="0" w:color="auto"/>
      </w:divBdr>
    </w:div>
    <w:div w:id="1624733293">
      <w:bodyDiv w:val="1"/>
      <w:marLeft w:val="0"/>
      <w:marRight w:val="0"/>
      <w:marTop w:val="0"/>
      <w:marBottom w:val="0"/>
      <w:divBdr>
        <w:top w:val="none" w:sz="0" w:space="0" w:color="auto"/>
        <w:left w:val="none" w:sz="0" w:space="0" w:color="auto"/>
        <w:bottom w:val="none" w:sz="0" w:space="0" w:color="auto"/>
        <w:right w:val="none" w:sz="0" w:space="0" w:color="auto"/>
      </w:divBdr>
    </w:div>
    <w:div w:id="1733306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wissadme.ch" TargetMode="External"/><Relationship Id="rId13" Type="http://schemas.openxmlformats.org/officeDocument/2006/relationships/image" Target="media/image3.tiff"/><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http://www.scfbio-iitd.res.in/software/drugdesign/lipinski.jsp" TargetMode="External"/><Relationship Id="rId12" Type="http://schemas.openxmlformats.org/officeDocument/2006/relationships/image" Target="media/image2.tiff"/><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tiff"/><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5.tiff"/><Relationship Id="rId23" Type="http://schemas.openxmlformats.org/officeDocument/2006/relationships/fontTable" Target="fontTable.xml"/><Relationship Id="rId10" Type="http://schemas.openxmlformats.org/officeDocument/2006/relationships/hyperlink" Target="https://biosig.lab.uq.edu.au/pkcsm/prediction" TargetMode="Externa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biosig.unimelb.edu.au" TargetMode="External"/><Relationship Id="rId14" Type="http://schemas.openxmlformats.org/officeDocument/2006/relationships/image" Target="media/image4.tiff"/><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FCF5D3E3047482D90D7DF0F2B37E456"/>
        <w:category>
          <w:name w:val="General"/>
          <w:gallery w:val="placeholder"/>
        </w:category>
        <w:types>
          <w:type w:val="bbPlcHdr"/>
        </w:types>
        <w:behaviors>
          <w:behavior w:val="content"/>
        </w:behaviors>
        <w:guid w:val="{E4E89F35-D43D-489B-979E-037DC1005267}"/>
      </w:docPartPr>
      <w:docPartBody>
        <w:p w:rsidR="004111ED" w:rsidRDefault="00C76651" w:rsidP="00C76651">
          <w:pPr>
            <w:pStyle w:val="EFCF5D3E3047482D90D7DF0F2B37E456"/>
          </w:pPr>
          <w:r w:rsidRPr="000A36C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ans CJK SC">
    <w:panose1 w:val="00000000000000000000"/>
    <w:charset w:val="00"/>
    <w:family w:val="roman"/>
    <w:notTrueType/>
    <w:pitch w:val="default"/>
  </w:font>
  <w:font w:name="Lohit Devanagari">
    <w:altName w:val="Times New Roman"/>
    <w:charset w:val="00"/>
    <w:family w:val="auto"/>
    <w:pitch w:val="default"/>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TimesNewRomanMTStd">
    <w:altName w:val="Malgun Gothic"/>
    <w:panose1 w:val="00000000000000000000"/>
    <w:charset w:val="81"/>
    <w:family w:val="auto"/>
    <w:notTrueType/>
    <w:pitch w:val="default"/>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6651"/>
    <w:rsid w:val="00070E45"/>
    <w:rsid w:val="000A5C5C"/>
    <w:rsid w:val="000C0878"/>
    <w:rsid w:val="000E55ED"/>
    <w:rsid w:val="000E625D"/>
    <w:rsid w:val="00116DCB"/>
    <w:rsid w:val="00173CAD"/>
    <w:rsid w:val="001A1E45"/>
    <w:rsid w:val="00212BA0"/>
    <w:rsid w:val="003142DD"/>
    <w:rsid w:val="003444A6"/>
    <w:rsid w:val="004111ED"/>
    <w:rsid w:val="005276FE"/>
    <w:rsid w:val="005539C2"/>
    <w:rsid w:val="005F0620"/>
    <w:rsid w:val="00825F9B"/>
    <w:rsid w:val="009B08EB"/>
    <w:rsid w:val="00A35745"/>
    <w:rsid w:val="00BD7BC3"/>
    <w:rsid w:val="00BF25F4"/>
    <w:rsid w:val="00C638E4"/>
    <w:rsid w:val="00C76651"/>
    <w:rsid w:val="00D30C42"/>
    <w:rsid w:val="00E24E90"/>
    <w:rsid w:val="00EA6388"/>
    <w:rsid w:val="00F0551D"/>
    <w:rsid w:val="00F71FF5"/>
    <w:rsid w:val="00F74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6651"/>
    <w:rPr>
      <w:color w:val="808080"/>
    </w:rPr>
  </w:style>
  <w:style w:type="paragraph" w:customStyle="1" w:styleId="EFCF5D3E3047482D90D7DF0F2B37E456">
    <w:name w:val="EFCF5D3E3047482D90D7DF0F2B37E456"/>
    <w:rsid w:val="00C7665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19A5A-64B8-465A-B4E6-224D8D9A1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1114</TotalTime>
  <Pages>29</Pages>
  <Words>40518</Words>
  <Characters>230957</Characters>
  <Application>Microsoft Office Word</Application>
  <DocSecurity>0</DocSecurity>
  <Lines>1924</Lines>
  <Paragraphs>541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G.R. BAYAZID</cp:lastModifiedBy>
  <cp:revision>203</cp:revision>
  <dcterms:created xsi:type="dcterms:W3CDTF">2022-06-19T10:26:00Z</dcterms:created>
  <dcterms:modified xsi:type="dcterms:W3CDTF">2023-07-31T14:02:00Z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http://www.zotero.org/styles/biomarker-research</vt:lpwstr>
  </property>
  <property fmtid="{D5CDD505-2E9C-101B-9397-08002B2CF9AE}" pid="9" name="Mendeley Recent Style Name 3_1">
    <vt:lpwstr>Biomarker Research</vt:lpwstr>
  </property>
  <property fmtid="{D5CDD505-2E9C-101B-9397-08002B2CF9AE}" pid="10" name="Mendeley Recent Style Id 4_1">
    <vt:lpwstr>http://www.zotero.org/styles/briefings-in-bioinformatics</vt:lpwstr>
  </property>
  <property fmtid="{D5CDD505-2E9C-101B-9397-08002B2CF9AE}" pid="11" name="Mendeley Recent Style Name 4_1">
    <vt:lpwstr>Briefings in Bioinformatics</vt:lpwstr>
  </property>
  <property fmtid="{D5CDD505-2E9C-101B-9397-08002B2CF9AE}" pid="12" name="Mendeley Recent Style Id 5_1">
    <vt:lpwstr>http://www.zotero.org/styles/cancers</vt:lpwstr>
  </property>
  <property fmtid="{D5CDD505-2E9C-101B-9397-08002B2CF9AE}" pid="13" name="Mendeley Recent Style Name 5_1">
    <vt:lpwstr>Cancers</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http://www.zotero.org/styles/membranes</vt:lpwstr>
  </property>
  <property fmtid="{D5CDD505-2E9C-101B-9397-08002B2CF9AE}" pid="19" name="Mendeley Recent Style Name 8_1">
    <vt:lpwstr>Membranes</vt:lpwstr>
  </property>
  <property fmtid="{D5CDD505-2E9C-101B-9397-08002B2CF9AE}" pid="20" name="Mendeley Recent Style Id 9_1">
    <vt:lpwstr>http://www.zotero.org/styles/plos-one</vt:lpwstr>
  </property>
  <property fmtid="{D5CDD505-2E9C-101B-9397-08002B2CF9AE}" pid="21" name="Mendeley Recent Style Name 9_1">
    <vt:lpwstr>PLOS ONE</vt:lpwstr>
  </property>
  <property fmtid="{D5CDD505-2E9C-101B-9397-08002B2CF9AE}" pid="22" name="Mendeley Document_1">
    <vt:lpwstr>True</vt:lpwstr>
  </property>
  <property fmtid="{D5CDD505-2E9C-101B-9397-08002B2CF9AE}" pid="23" name="Mendeley Citation Style_1">
    <vt:lpwstr>http://www.zotero.org/styles/biomarker-research</vt:lpwstr>
  </property>
  <property fmtid="{D5CDD505-2E9C-101B-9397-08002B2CF9AE}" pid="24" name="Mendeley Unique User Id_1">
    <vt:lpwstr>67e7876b-414a-333a-83da-9937bf15702e</vt:lpwstr>
  </property>
  <property fmtid="{D5CDD505-2E9C-101B-9397-08002B2CF9AE}" pid="25" name="GrammarlyDocumentId">
    <vt:lpwstr>c536072ef8d08a01f5a4e3aa9a284f4df33e22bd677511f741051b8f0a1b6974</vt:lpwstr>
  </property>
</Properties>
</file>