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01C281" w14:textId="3F8B34B6" w:rsidR="00FB2C48" w:rsidRPr="00637684" w:rsidRDefault="00FB2C48" w:rsidP="00E67F21">
      <w:pPr>
        <w:spacing w:after="0" w:line="480" w:lineRule="auto"/>
        <w:rPr>
          <w:rFonts w:ascii="Times New Roman" w:hAnsi="Times New Roman" w:cs="Times New Roman"/>
          <w:b/>
          <w:bCs/>
          <w:sz w:val="24"/>
          <w:szCs w:val="24"/>
          <w:lang w:val="en-GB"/>
        </w:rPr>
      </w:pPr>
      <w:r w:rsidRPr="00637684">
        <w:rPr>
          <w:rFonts w:ascii="Times New Roman" w:hAnsi="Times New Roman" w:cs="Times New Roman"/>
          <w:b/>
          <w:bCs/>
          <w:sz w:val="24"/>
          <w:szCs w:val="24"/>
          <w:lang w:val="en-GB"/>
        </w:rPr>
        <w:t xml:space="preserve">Supplementary </w:t>
      </w:r>
      <w:r w:rsidR="008D4936">
        <w:rPr>
          <w:rFonts w:ascii="Times New Roman" w:hAnsi="Times New Roman" w:cs="Times New Roman"/>
          <w:b/>
          <w:bCs/>
          <w:sz w:val="24"/>
          <w:szCs w:val="24"/>
          <w:lang w:val="en-GB"/>
        </w:rPr>
        <w:t>f</w:t>
      </w:r>
      <w:r w:rsidRPr="00637684">
        <w:rPr>
          <w:rFonts w:ascii="Times New Roman" w:hAnsi="Times New Roman" w:cs="Times New Roman"/>
          <w:b/>
          <w:bCs/>
          <w:sz w:val="24"/>
          <w:szCs w:val="24"/>
          <w:lang w:val="en-GB"/>
        </w:rPr>
        <w:t xml:space="preserve">igure </w:t>
      </w:r>
      <w:r w:rsidR="008D4936">
        <w:rPr>
          <w:rFonts w:ascii="Times New Roman" w:hAnsi="Times New Roman" w:cs="Times New Roman"/>
          <w:b/>
          <w:bCs/>
          <w:sz w:val="24"/>
          <w:szCs w:val="24"/>
          <w:lang w:val="en-GB"/>
        </w:rPr>
        <w:t>l</w:t>
      </w:r>
      <w:r w:rsidRPr="00637684">
        <w:rPr>
          <w:rFonts w:ascii="Times New Roman" w:hAnsi="Times New Roman" w:cs="Times New Roman"/>
          <w:b/>
          <w:bCs/>
          <w:sz w:val="24"/>
          <w:szCs w:val="24"/>
          <w:lang w:val="en-GB"/>
        </w:rPr>
        <w:t>egend</w:t>
      </w:r>
      <w:r w:rsidR="00AC37A7" w:rsidRPr="00637684">
        <w:rPr>
          <w:rFonts w:ascii="Times New Roman" w:hAnsi="Times New Roman" w:cs="Times New Roman"/>
          <w:b/>
          <w:bCs/>
          <w:sz w:val="24"/>
          <w:szCs w:val="24"/>
          <w:lang w:val="en-GB"/>
        </w:rPr>
        <w:t>s</w:t>
      </w:r>
    </w:p>
    <w:p w14:paraId="10EDF2CE" w14:textId="65015490" w:rsidR="00985D0E" w:rsidRDefault="00FB2C48" w:rsidP="00E67F21">
      <w:pPr>
        <w:spacing w:after="0" w:line="480" w:lineRule="auto"/>
        <w:rPr>
          <w:rFonts w:ascii="Times New Roman" w:hAnsi="Times New Roman" w:cs="Times New Roman"/>
          <w:sz w:val="24"/>
          <w:szCs w:val="24"/>
          <w:lang w:val="en-GB"/>
        </w:rPr>
      </w:pPr>
      <w:r w:rsidRPr="00BF1F5C">
        <w:rPr>
          <w:rFonts w:ascii="Times New Roman" w:hAnsi="Times New Roman" w:cs="Times New Roman"/>
          <w:b/>
          <w:bCs/>
          <w:sz w:val="24"/>
          <w:szCs w:val="24"/>
          <w:lang w:val="en-GB"/>
        </w:rPr>
        <w:t>Figure S1</w:t>
      </w:r>
      <w:r w:rsidRPr="00BF1F5C">
        <w:rPr>
          <w:rFonts w:ascii="Times New Roman" w:hAnsi="Times New Roman" w:cs="Times New Roman"/>
          <w:sz w:val="24"/>
          <w:szCs w:val="24"/>
          <w:lang w:val="en-GB"/>
        </w:rPr>
        <w:t xml:space="preserve"> </w:t>
      </w:r>
      <w:bookmarkStart w:id="0" w:name="_Hlk55468065"/>
      <w:r w:rsidR="00985D0E" w:rsidRPr="009F2307">
        <w:rPr>
          <w:rFonts w:ascii="Times New Roman" w:hAnsi="Times New Roman" w:cs="Times New Roman"/>
          <w:sz w:val="24"/>
          <w:szCs w:val="24"/>
          <w:lang w:val="en-GB"/>
        </w:rPr>
        <w:t>Funnel plot for the successful ablation rate after RAI therapy. Each dot represents a study; the y-axis represents study precision (standard error of effect size) and the x-axis shows the effect size. Large studies appear toward the top of the graph and tend to cluster near the mean effect size. Small studies appear toward the bottom of the graph and are dispersed across a range of values since there is more sampling variation in effect size estimates. The outer dashed lines indicate the triangular region within which 95% of studies are expected to lie in the absence of biases and heterogeneity. S.E., standard error.</w:t>
      </w:r>
    </w:p>
    <w:p w14:paraId="6B8276E4" w14:textId="7F1605C7" w:rsidR="00637684" w:rsidRDefault="00FB2C48" w:rsidP="00E67F21">
      <w:pPr>
        <w:spacing w:after="0" w:line="480" w:lineRule="auto"/>
        <w:rPr>
          <w:rFonts w:ascii="Times New Roman" w:hAnsi="Times New Roman" w:cs="Times New Roman"/>
          <w:b/>
          <w:bCs/>
          <w:sz w:val="24"/>
          <w:szCs w:val="24"/>
          <w:lang w:val="en-GB"/>
        </w:rPr>
      </w:pPr>
      <w:r w:rsidRPr="00BF1F5C">
        <w:rPr>
          <w:rFonts w:ascii="Times New Roman" w:hAnsi="Times New Roman" w:cs="Times New Roman"/>
          <w:b/>
          <w:bCs/>
          <w:sz w:val="24"/>
          <w:szCs w:val="24"/>
          <w:lang w:val="en-GB"/>
        </w:rPr>
        <w:t>Figure S2</w:t>
      </w:r>
      <w:bookmarkEnd w:id="0"/>
      <w:r w:rsidR="00637684">
        <w:rPr>
          <w:rFonts w:ascii="Times New Roman" w:hAnsi="Times New Roman" w:cs="Times New Roman"/>
          <w:b/>
          <w:bCs/>
          <w:sz w:val="24"/>
          <w:szCs w:val="24"/>
          <w:lang w:val="en-GB"/>
        </w:rPr>
        <w:t xml:space="preserve"> </w:t>
      </w:r>
      <w:r w:rsidR="00985D0E" w:rsidRPr="009F2307">
        <w:rPr>
          <w:rFonts w:ascii="Times New Roman" w:hAnsi="Times New Roman" w:cs="Times New Roman"/>
          <w:sz w:val="24"/>
          <w:szCs w:val="24"/>
          <w:lang w:val="en-GB"/>
        </w:rPr>
        <w:t xml:space="preserve">Forest plot for the successful ablation rate after RAI </w:t>
      </w:r>
      <w:r w:rsidR="00985D0E">
        <w:rPr>
          <w:rFonts w:ascii="Times New Roman" w:hAnsi="Times New Roman" w:cs="Times New Roman"/>
          <w:sz w:val="24"/>
          <w:szCs w:val="24"/>
          <w:lang w:val="en-GB"/>
        </w:rPr>
        <w:t xml:space="preserve">therapy in patients at intermediate risk of recurrence. </w:t>
      </w:r>
      <w:r w:rsidR="00985D0E" w:rsidRPr="009F2307">
        <w:rPr>
          <w:rFonts w:ascii="Times New Roman" w:hAnsi="Times New Roman" w:cs="Times New Roman"/>
          <w:sz w:val="24"/>
          <w:szCs w:val="24"/>
          <w:lang w:val="en-GB"/>
        </w:rPr>
        <w:t>Horizontal lines represent 95% confidence interval of the point estimates. The diamond represents the pooled estimate (size of the diamond = 95% confidence interval). The solid vertical line represents the reference of no increased risk and the dashed vertical line represents the overall point estimate</w:t>
      </w:r>
      <w:r w:rsidR="00985D0E">
        <w:rPr>
          <w:rFonts w:ascii="Times New Roman" w:hAnsi="Times New Roman" w:cs="Times New Roman"/>
          <w:sz w:val="24"/>
          <w:szCs w:val="24"/>
          <w:lang w:val="en-GB"/>
        </w:rPr>
        <w:t>.</w:t>
      </w:r>
    </w:p>
    <w:p w14:paraId="706DF14C" w14:textId="0AE8B1F6" w:rsidR="00985D0E" w:rsidRDefault="00767155" w:rsidP="00E67F21">
      <w:pPr>
        <w:spacing w:after="0" w:line="480" w:lineRule="auto"/>
        <w:rPr>
          <w:rFonts w:ascii="Times New Roman" w:hAnsi="Times New Roman" w:cs="Times New Roman"/>
          <w:b/>
          <w:bCs/>
          <w:sz w:val="24"/>
          <w:szCs w:val="24"/>
          <w:lang w:val="en-GB"/>
        </w:rPr>
      </w:pPr>
      <w:r w:rsidRPr="00BF1F5C">
        <w:rPr>
          <w:rFonts w:ascii="Times New Roman" w:hAnsi="Times New Roman" w:cs="Times New Roman"/>
          <w:b/>
          <w:bCs/>
          <w:sz w:val="24"/>
          <w:szCs w:val="24"/>
          <w:lang w:val="en-GB"/>
        </w:rPr>
        <w:t>Figure S3</w:t>
      </w:r>
      <w:r w:rsidR="00EF671D" w:rsidRPr="00BF1F5C">
        <w:rPr>
          <w:rFonts w:ascii="Times New Roman" w:hAnsi="Times New Roman" w:cs="Times New Roman"/>
          <w:b/>
          <w:bCs/>
          <w:sz w:val="24"/>
          <w:szCs w:val="24"/>
          <w:lang w:val="en-GB"/>
        </w:rPr>
        <w:t xml:space="preserve"> </w:t>
      </w:r>
      <w:r w:rsidR="00985D0E" w:rsidRPr="009F2307">
        <w:rPr>
          <w:rFonts w:ascii="Times New Roman" w:hAnsi="Times New Roman" w:cs="Times New Roman"/>
          <w:sz w:val="24"/>
          <w:szCs w:val="24"/>
          <w:lang w:val="en-GB"/>
        </w:rPr>
        <w:t>Funnel plot for the successful ablation rate after RAI therapy</w:t>
      </w:r>
      <w:r w:rsidR="00985D0E" w:rsidRPr="00BF1F5C">
        <w:rPr>
          <w:rFonts w:ascii="Times New Roman" w:hAnsi="Times New Roman" w:cs="Times New Roman"/>
          <w:b/>
          <w:bCs/>
          <w:sz w:val="24"/>
          <w:szCs w:val="24"/>
          <w:lang w:val="en-GB"/>
        </w:rPr>
        <w:t xml:space="preserve"> </w:t>
      </w:r>
      <w:r w:rsidR="00985D0E">
        <w:rPr>
          <w:rFonts w:ascii="Times New Roman" w:hAnsi="Times New Roman" w:cs="Times New Roman"/>
          <w:sz w:val="24"/>
          <w:szCs w:val="24"/>
          <w:lang w:val="en-GB"/>
        </w:rPr>
        <w:t xml:space="preserve">in patients at intermediate risk of recurrence. </w:t>
      </w:r>
      <w:r w:rsidR="00985D0E" w:rsidRPr="009F2307">
        <w:rPr>
          <w:rFonts w:ascii="Times New Roman" w:hAnsi="Times New Roman" w:cs="Times New Roman"/>
          <w:sz w:val="24"/>
          <w:szCs w:val="24"/>
          <w:lang w:val="en-GB"/>
        </w:rPr>
        <w:t>Horizontal lines represent 95% confidence interval of the point estimates. The diamond represents the pooled estimate (size of the diamond = 95% confidence interval). The solid vertical line represents the reference of no increased risk and the dashed vertical line represents the overall point estimate</w:t>
      </w:r>
      <w:r w:rsidR="00985D0E">
        <w:rPr>
          <w:rFonts w:ascii="Times New Roman" w:hAnsi="Times New Roman" w:cs="Times New Roman"/>
          <w:sz w:val="24"/>
          <w:szCs w:val="24"/>
          <w:lang w:val="en-GB"/>
        </w:rPr>
        <w:t>.</w:t>
      </w:r>
      <w:r w:rsidR="00D93E81" w:rsidRPr="00D93E81">
        <w:rPr>
          <w:rFonts w:ascii="Times New Roman" w:hAnsi="Times New Roman" w:cs="Times New Roman"/>
          <w:sz w:val="24"/>
          <w:szCs w:val="24"/>
          <w:lang w:val="en-GB"/>
        </w:rPr>
        <w:t xml:space="preserve"> </w:t>
      </w:r>
      <w:r w:rsidR="00D93E81" w:rsidRPr="009F2307">
        <w:rPr>
          <w:rFonts w:ascii="Times New Roman" w:hAnsi="Times New Roman" w:cs="Times New Roman"/>
          <w:sz w:val="24"/>
          <w:szCs w:val="24"/>
          <w:lang w:val="en-GB"/>
        </w:rPr>
        <w:t>S.E., standard error.</w:t>
      </w:r>
    </w:p>
    <w:p w14:paraId="619432AB" w14:textId="1BFFD7DA" w:rsidR="00985D0E" w:rsidRDefault="00767155" w:rsidP="00E67F21">
      <w:pPr>
        <w:spacing w:after="0" w:line="480" w:lineRule="auto"/>
        <w:rPr>
          <w:rFonts w:ascii="Times New Roman" w:hAnsi="Times New Roman" w:cs="Times New Roman"/>
          <w:b/>
          <w:bCs/>
          <w:sz w:val="24"/>
          <w:szCs w:val="24"/>
          <w:lang w:val="en-GB"/>
        </w:rPr>
      </w:pPr>
      <w:r w:rsidRPr="00BF1F5C">
        <w:rPr>
          <w:rFonts w:ascii="Times New Roman" w:hAnsi="Times New Roman" w:cs="Times New Roman"/>
          <w:b/>
          <w:bCs/>
          <w:sz w:val="24"/>
          <w:szCs w:val="24"/>
          <w:lang w:val="en-GB"/>
        </w:rPr>
        <w:t>Figure S</w:t>
      </w:r>
      <w:r w:rsidR="00EF671D" w:rsidRPr="00BF1F5C">
        <w:rPr>
          <w:rFonts w:ascii="Times New Roman" w:hAnsi="Times New Roman" w:cs="Times New Roman"/>
          <w:b/>
          <w:bCs/>
          <w:sz w:val="24"/>
          <w:szCs w:val="24"/>
          <w:lang w:val="en-GB"/>
        </w:rPr>
        <w:t xml:space="preserve">4 </w:t>
      </w:r>
      <w:r w:rsidR="00985D0E" w:rsidRPr="009F2307">
        <w:rPr>
          <w:rFonts w:ascii="Times New Roman" w:hAnsi="Times New Roman" w:cs="Times New Roman"/>
          <w:sz w:val="24"/>
          <w:szCs w:val="24"/>
          <w:lang w:val="en-GB"/>
        </w:rPr>
        <w:t xml:space="preserve">Forest plot for the successful ablation rate after RAI </w:t>
      </w:r>
      <w:r w:rsidR="00985D0E">
        <w:rPr>
          <w:rFonts w:ascii="Times New Roman" w:hAnsi="Times New Roman" w:cs="Times New Roman"/>
          <w:sz w:val="24"/>
          <w:szCs w:val="24"/>
          <w:lang w:val="en-GB"/>
        </w:rPr>
        <w:t xml:space="preserve">therapy in patients at high risk of recurrence. </w:t>
      </w:r>
      <w:r w:rsidR="00985D0E" w:rsidRPr="009F2307">
        <w:rPr>
          <w:rFonts w:ascii="Times New Roman" w:hAnsi="Times New Roman" w:cs="Times New Roman"/>
          <w:sz w:val="24"/>
          <w:szCs w:val="24"/>
          <w:lang w:val="en-GB"/>
        </w:rPr>
        <w:t>Horizontal lines represent 95% confidence interval of the point estimates. The diamond represents the pooled estimate (size of the diamond = 95% confidence interval). The solid vertical line represents the reference of no increased risk and the dashed vertical line represents the overall point estimate</w:t>
      </w:r>
      <w:r w:rsidR="00985D0E">
        <w:rPr>
          <w:rFonts w:ascii="Times New Roman" w:hAnsi="Times New Roman" w:cs="Times New Roman"/>
          <w:sz w:val="24"/>
          <w:szCs w:val="24"/>
          <w:lang w:val="en-GB"/>
        </w:rPr>
        <w:t>.</w:t>
      </w:r>
    </w:p>
    <w:p w14:paraId="595D42B3" w14:textId="4108837D" w:rsidR="00767155" w:rsidRPr="00985D0E" w:rsidRDefault="00767155" w:rsidP="00E67F21">
      <w:pPr>
        <w:spacing w:after="0" w:line="480" w:lineRule="auto"/>
        <w:rPr>
          <w:rFonts w:ascii="Times New Roman" w:hAnsi="Times New Roman" w:cs="Times New Roman"/>
          <w:b/>
          <w:bCs/>
          <w:sz w:val="24"/>
          <w:szCs w:val="24"/>
          <w:lang w:val="en-GB"/>
        </w:rPr>
      </w:pPr>
      <w:r w:rsidRPr="00BF1F5C">
        <w:rPr>
          <w:rFonts w:ascii="Times New Roman" w:hAnsi="Times New Roman" w:cs="Times New Roman"/>
          <w:b/>
          <w:bCs/>
          <w:sz w:val="24"/>
          <w:szCs w:val="24"/>
          <w:lang w:val="en-GB"/>
        </w:rPr>
        <w:t>Figure S</w:t>
      </w:r>
      <w:r w:rsidR="00C34846" w:rsidRPr="00BF1F5C">
        <w:rPr>
          <w:rFonts w:ascii="Times New Roman" w:hAnsi="Times New Roman" w:cs="Times New Roman"/>
          <w:b/>
          <w:bCs/>
          <w:sz w:val="24"/>
          <w:szCs w:val="24"/>
          <w:lang w:val="en-GB"/>
        </w:rPr>
        <w:t>5</w:t>
      </w:r>
      <w:r w:rsidR="00685F17" w:rsidRPr="00BF1F5C">
        <w:rPr>
          <w:rFonts w:ascii="Times New Roman" w:hAnsi="Times New Roman" w:cs="Times New Roman"/>
          <w:b/>
          <w:bCs/>
          <w:sz w:val="24"/>
          <w:szCs w:val="24"/>
          <w:lang w:val="en-GB"/>
        </w:rPr>
        <w:t xml:space="preserve"> </w:t>
      </w:r>
      <w:r w:rsidR="00985D0E" w:rsidRPr="009F2307">
        <w:rPr>
          <w:rFonts w:ascii="Times New Roman" w:hAnsi="Times New Roman" w:cs="Times New Roman"/>
          <w:sz w:val="24"/>
          <w:szCs w:val="24"/>
          <w:lang w:val="en-GB"/>
        </w:rPr>
        <w:t>Funnel plot for the successful ablation rate after RAI therapy</w:t>
      </w:r>
      <w:r w:rsidR="00985D0E" w:rsidRPr="00BF1F5C">
        <w:rPr>
          <w:rFonts w:ascii="Times New Roman" w:hAnsi="Times New Roman" w:cs="Times New Roman"/>
          <w:b/>
          <w:bCs/>
          <w:sz w:val="24"/>
          <w:szCs w:val="24"/>
          <w:lang w:val="en-GB"/>
        </w:rPr>
        <w:t xml:space="preserve"> </w:t>
      </w:r>
      <w:r w:rsidR="00985D0E">
        <w:rPr>
          <w:rFonts w:ascii="Times New Roman" w:hAnsi="Times New Roman" w:cs="Times New Roman"/>
          <w:sz w:val="24"/>
          <w:szCs w:val="24"/>
          <w:lang w:val="en-GB"/>
        </w:rPr>
        <w:t xml:space="preserve">in patients at high risk of recurrence. </w:t>
      </w:r>
      <w:r w:rsidR="00985D0E" w:rsidRPr="009F2307">
        <w:rPr>
          <w:rFonts w:ascii="Times New Roman" w:hAnsi="Times New Roman" w:cs="Times New Roman"/>
          <w:sz w:val="24"/>
          <w:szCs w:val="24"/>
          <w:lang w:val="en-GB"/>
        </w:rPr>
        <w:t>Horizontal lines represent 95% confidence interval of the point estimates. The diamond represents the pooled estimate (size of the diamond = 95% confidence interval). The solid vertical line represents the reference of no increased risk and the dashed vertical line represents the overall point estimate</w:t>
      </w:r>
      <w:r w:rsidR="00985D0E">
        <w:rPr>
          <w:rFonts w:ascii="Times New Roman" w:hAnsi="Times New Roman" w:cs="Times New Roman"/>
          <w:sz w:val="24"/>
          <w:szCs w:val="24"/>
          <w:lang w:val="en-GB"/>
        </w:rPr>
        <w:t>.</w:t>
      </w:r>
      <w:r w:rsidR="00D93E81" w:rsidRPr="00D93E81">
        <w:rPr>
          <w:rFonts w:ascii="Times New Roman" w:hAnsi="Times New Roman" w:cs="Times New Roman"/>
          <w:sz w:val="24"/>
          <w:szCs w:val="24"/>
          <w:lang w:val="en-GB"/>
        </w:rPr>
        <w:t xml:space="preserve"> </w:t>
      </w:r>
      <w:r w:rsidR="00D93E81" w:rsidRPr="009F2307">
        <w:rPr>
          <w:rFonts w:ascii="Times New Roman" w:hAnsi="Times New Roman" w:cs="Times New Roman"/>
          <w:sz w:val="24"/>
          <w:szCs w:val="24"/>
          <w:lang w:val="en-GB"/>
        </w:rPr>
        <w:t>S.E., standard error.</w:t>
      </w:r>
    </w:p>
    <w:p w14:paraId="7A3AF91A" w14:textId="7EA91C36" w:rsidR="00637684" w:rsidRPr="00BF1F5C" w:rsidRDefault="00637684" w:rsidP="00E67F21">
      <w:pPr>
        <w:spacing w:after="0" w:line="480" w:lineRule="auto"/>
        <w:rPr>
          <w:rFonts w:ascii="Times New Roman" w:hAnsi="Times New Roman" w:cs="Times New Roman"/>
          <w:sz w:val="24"/>
          <w:szCs w:val="24"/>
          <w:lang w:val="en-US"/>
        </w:rPr>
      </w:pPr>
      <w:r w:rsidRPr="00637684">
        <w:rPr>
          <w:rFonts w:ascii="Times New Roman" w:hAnsi="Times New Roman" w:cs="Times New Roman"/>
          <w:b/>
          <w:bCs/>
          <w:sz w:val="24"/>
          <w:szCs w:val="24"/>
          <w:lang w:val="en-GB"/>
        </w:rPr>
        <w:t>Figure S6</w:t>
      </w:r>
      <w:r>
        <w:rPr>
          <w:rFonts w:ascii="Times New Roman" w:hAnsi="Times New Roman" w:cs="Times New Roman"/>
          <w:sz w:val="24"/>
          <w:szCs w:val="24"/>
          <w:lang w:val="en-GB"/>
        </w:rPr>
        <w:t xml:space="preserve"> </w:t>
      </w:r>
      <w:r w:rsidRPr="008B6B49">
        <w:rPr>
          <w:rFonts w:ascii="Times New Roman" w:hAnsi="Times New Roman" w:cs="Times New Roman"/>
          <w:sz w:val="24"/>
          <w:szCs w:val="24"/>
          <w:lang w:val="en-US"/>
        </w:rPr>
        <w:t>Meta-regression analysis between SA and the mean RAI activity administered</w:t>
      </w:r>
      <w:r w:rsidR="00985D0E">
        <w:rPr>
          <w:rFonts w:ascii="Times New Roman" w:hAnsi="Times New Roman" w:cs="Times New Roman"/>
          <w:sz w:val="24"/>
          <w:szCs w:val="24"/>
          <w:lang w:val="en-US"/>
        </w:rPr>
        <w:t xml:space="preserve"> in patients at high risk of recurrence. </w:t>
      </w:r>
      <w:r w:rsidRPr="008B6B49">
        <w:rPr>
          <w:rFonts w:ascii="Times New Roman" w:hAnsi="Times New Roman" w:cs="Times New Roman"/>
          <w:sz w:val="24"/>
          <w:szCs w:val="24"/>
          <w:lang w:val="en-US"/>
        </w:rPr>
        <w:t>Bubble size for each study is proportional to the inverse of the variance.</w:t>
      </w:r>
      <w:r>
        <w:rPr>
          <w:rFonts w:ascii="Times New Roman" w:hAnsi="Times New Roman" w:cs="Times New Roman"/>
          <w:sz w:val="24"/>
          <w:szCs w:val="24"/>
          <w:lang w:val="en-US"/>
        </w:rPr>
        <w:t xml:space="preserve"> </w:t>
      </w:r>
    </w:p>
    <w:p w14:paraId="569E7772" w14:textId="38AC4099" w:rsidR="00FB2C48" w:rsidRPr="00767155" w:rsidRDefault="00637684" w:rsidP="00E67F21">
      <w:pPr>
        <w:spacing w:after="0" w:line="480" w:lineRule="auto"/>
        <w:rPr>
          <w:lang w:val="en-GB"/>
        </w:rPr>
      </w:pPr>
      <w:r w:rsidRPr="00BF1F5C">
        <w:rPr>
          <w:rFonts w:ascii="Times New Roman" w:hAnsi="Times New Roman" w:cs="Times New Roman"/>
          <w:b/>
          <w:bCs/>
          <w:sz w:val="24"/>
          <w:szCs w:val="24"/>
          <w:lang w:val="en-GB"/>
        </w:rPr>
        <w:lastRenderedPageBreak/>
        <w:t>Figure S</w:t>
      </w:r>
      <w:r>
        <w:rPr>
          <w:rFonts w:ascii="Times New Roman" w:hAnsi="Times New Roman" w:cs="Times New Roman"/>
          <w:b/>
          <w:bCs/>
          <w:sz w:val="24"/>
          <w:szCs w:val="24"/>
          <w:lang w:val="en-GB"/>
        </w:rPr>
        <w:t>7</w:t>
      </w:r>
      <w:r w:rsidRPr="00BF1F5C">
        <w:rPr>
          <w:rFonts w:ascii="Times New Roman" w:hAnsi="Times New Roman" w:cs="Times New Roman"/>
          <w:sz w:val="24"/>
          <w:szCs w:val="24"/>
          <w:lang w:val="en-GB"/>
        </w:rPr>
        <w:t xml:space="preserve"> </w:t>
      </w:r>
      <w:r w:rsidR="00985D0E" w:rsidRPr="009F2307">
        <w:rPr>
          <w:rFonts w:ascii="Times New Roman" w:hAnsi="Times New Roman" w:cs="Times New Roman"/>
          <w:sz w:val="24"/>
          <w:szCs w:val="24"/>
          <w:lang w:val="en-GB"/>
        </w:rPr>
        <w:t xml:space="preserve">Funnel plot for </w:t>
      </w:r>
      <w:r w:rsidR="00985D0E" w:rsidRPr="008B6B49">
        <w:rPr>
          <w:rFonts w:ascii="Times New Roman" w:hAnsi="Times New Roman" w:cs="Times New Roman"/>
          <w:sz w:val="24"/>
          <w:szCs w:val="24"/>
          <w:lang w:val="en-US"/>
        </w:rPr>
        <w:t>the recurrent disease rate at late follow-up in patients who achieved SA</w:t>
      </w:r>
      <w:r w:rsidR="00985D0E">
        <w:rPr>
          <w:rFonts w:ascii="Times New Roman" w:hAnsi="Times New Roman" w:cs="Times New Roman"/>
          <w:sz w:val="24"/>
          <w:szCs w:val="24"/>
          <w:lang w:val="en-GB"/>
        </w:rPr>
        <w:t xml:space="preserve">. </w:t>
      </w:r>
      <w:r w:rsidR="00985D0E" w:rsidRPr="009F2307">
        <w:rPr>
          <w:rFonts w:ascii="Times New Roman" w:hAnsi="Times New Roman" w:cs="Times New Roman"/>
          <w:sz w:val="24"/>
          <w:szCs w:val="24"/>
          <w:lang w:val="en-GB"/>
        </w:rPr>
        <w:t>Horizontal lines represent 95% confidence interval of the point estimates. The diamond represents the pooled estimate (size of the diamond = 95% confidence interval). The solid vertical line represents the reference of no increased risk and the dashed vertical line represents the overall point estimate</w:t>
      </w:r>
      <w:r w:rsidR="00985D0E">
        <w:rPr>
          <w:rFonts w:ascii="Times New Roman" w:hAnsi="Times New Roman" w:cs="Times New Roman"/>
          <w:sz w:val="24"/>
          <w:szCs w:val="24"/>
          <w:lang w:val="en-GB"/>
        </w:rPr>
        <w:t>.</w:t>
      </w:r>
      <w:r w:rsidR="00D93E81" w:rsidRPr="00D93E81">
        <w:rPr>
          <w:rFonts w:ascii="Times New Roman" w:hAnsi="Times New Roman" w:cs="Times New Roman"/>
          <w:sz w:val="24"/>
          <w:szCs w:val="24"/>
          <w:lang w:val="en-GB"/>
        </w:rPr>
        <w:t xml:space="preserve"> </w:t>
      </w:r>
      <w:r w:rsidR="00D93E81" w:rsidRPr="009F2307">
        <w:rPr>
          <w:rFonts w:ascii="Times New Roman" w:hAnsi="Times New Roman" w:cs="Times New Roman"/>
          <w:sz w:val="24"/>
          <w:szCs w:val="24"/>
          <w:lang w:val="en-GB"/>
        </w:rPr>
        <w:t>S.E., standard error.</w:t>
      </w:r>
    </w:p>
    <w:sectPr w:rsidR="00FB2C48" w:rsidRPr="00767155" w:rsidSect="00E67F21">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C48"/>
    <w:rsid w:val="000A4921"/>
    <w:rsid w:val="00637684"/>
    <w:rsid w:val="00685F17"/>
    <w:rsid w:val="00767155"/>
    <w:rsid w:val="008D4936"/>
    <w:rsid w:val="00985D0E"/>
    <w:rsid w:val="00AC37A7"/>
    <w:rsid w:val="00BF1F5C"/>
    <w:rsid w:val="00C34846"/>
    <w:rsid w:val="00CF4BB0"/>
    <w:rsid w:val="00D93E81"/>
    <w:rsid w:val="00E67F21"/>
    <w:rsid w:val="00EF671D"/>
    <w:rsid w:val="00FB2C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126EB"/>
  <w15:chartTrackingRefBased/>
  <w15:docId w15:val="{C288F169-BFC5-4206-95AC-EA248A1CD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FB2C48"/>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B2C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451</Words>
  <Characters>2573</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VALERIA CANTONI</dc:creator>
  <cp:keywords/>
  <dc:description/>
  <cp:lastModifiedBy>ALBERTO CUOCOLO</cp:lastModifiedBy>
  <cp:revision>12</cp:revision>
  <dcterms:created xsi:type="dcterms:W3CDTF">2020-11-05T10:22:00Z</dcterms:created>
  <dcterms:modified xsi:type="dcterms:W3CDTF">2021-03-09T15:27:00Z</dcterms:modified>
</cp:coreProperties>
</file>