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12E9FE" w14:textId="7AF428DF" w:rsidR="00AC51EA" w:rsidRPr="00E94030" w:rsidRDefault="00AC51EA" w:rsidP="00AC51EA">
      <w:pPr>
        <w:pStyle w:val="Author-Affiliation"/>
        <w:spacing w:line="360" w:lineRule="auto"/>
        <w:rPr>
          <w:rFonts w:ascii="Times New Roman" w:hAnsi="Times New Roman"/>
          <w:b/>
          <w:bCs/>
          <w:sz w:val="40"/>
          <w:szCs w:val="40"/>
        </w:rPr>
      </w:pPr>
      <w:r>
        <w:rPr>
          <w:rFonts w:ascii="Times New Roman" w:hAnsi="Times New Roman"/>
          <w:b/>
          <w:bCs/>
          <w:sz w:val="40"/>
          <w:szCs w:val="40"/>
        </w:rPr>
        <w:t>Additional file 2</w:t>
      </w:r>
    </w:p>
    <w:p w14:paraId="3BA77DF4" w14:textId="77777777" w:rsidR="00AC51EA" w:rsidRDefault="00AC51EA" w:rsidP="00AC51EA">
      <w:pPr>
        <w:widowControl/>
        <w:jc w:val="left"/>
        <w:rPr>
          <w:rFonts w:eastAsia="AdvOTb99cb1f1 . B"/>
          <w:b/>
          <w:bCs/>
          <w:color w:val="000000"/>
          <w:kern w:val="0"/>
          <w:sz w:val="27"/>
          <w:szCs w:val="27"/>
        </w:rPr>
      </w:pPr>
      <w:r>
        <w:rPr>
          <w:rFonts w:eastAsia="AdvOTb99cb1f1 . B"/>
          <w:b/>
          <w:bCs/>
          <w:color w:val="000000"/>
          <w:kern w:val="0"/>
          <w:sz w:val="27"/>
          <w:szCs w:val="27"/>
        </w:rPr>
        <w:t xml:space="preserve"> </w:t>
      </w:r>
    </w:p>
    <w:p w14:paraId="310FF206" w14:textId="7FF8AEC7" w:rsidR="00086FB8" w:rsidRDefault="00AC51EA" w:rsidP="00AC51EA">
      <w:pPr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Contribution value: A indicator for measuring the contribution of ncRNAs to transcriptome</w:t>
      </w:r>
    </w:p>
    <w:p w14:paraId="02560E45" w14:textId="570078E3" w:rsidR="00AC51EA" w:rsidRDefault="005114D8" w:rsidP="00AC51EA">
      <w:r>
        <w:rPr>
          <w:noProof/>
        </w:rPr>
        <w:lastRenderedPageBreak/>
        <w:drawing>
          <wp:inline distT="0" distB="0" distL="0" distR="0" wp14:anchorId="5A9E2D8C" wp14:editId="48ADA5CE">
            <wp:extent cx="5274310" cy="8950211"/>
            <wp:effectExtent l="0" t="0" r="254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950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E6F68B" w14:textId="77777777" w:rsidR="00AC51EA" w:rsidRPr="00AC51EA" w:rsidRDefault="00AC51EA" w:rsidP="00AC51EA">
      <w:pPr>
        <w:rPr>
          <w:sz w:val="20"/>
          <w:szCs w:val="20"/>
        </w:rPr>
      </w:pPr>
    </w:p>
    <w:p w14:paraId="1F427A09" w14:textId="45E0B43E" w:rsidR="00396499" w:rsidRPr="00396499" w:rsidRDefault="00AC51EA" w:rsidP="00396499">
      <w:pPr>
        <w:spacing w:line="360" w:lineRule="auto"/>
        <w:rPr>
          <w:sz w:val="20"/>
          <w:szCs w:val="20"/>
        </w:rPr>
      </w:pPr>
      <w:r w:rsidRPr="00AC51EA">
        <w:rPr>
          <w:b/>
          <w:sz w:val="20"/>
          <w:szCs w:val="20"/>
        </w:rPr>
        <w:t xml:space="preserve">Supplementary </w:t>
      </w:r>
      <w:r w:rsidRPr="00AC51EA">
        <w:rPr>
          <w:rFonts w:hint="eastAsia"/>
          <w:b/>
          <w:sz w:val="20"/>
          <w:szCs w:val="20"/>
        </w:rPr>
        <w:t xml:space="preserve">Figure S1. </w:t>
      </w:r>
      <w:r w:rsidRPr="00AC51EA">
        <w:rPr>
          <w:b/>
          <w:sz w:val="20"/>
          <w:szCs w:val="20"/>
        </w:rPr>
        <w:t>The distribution of miRNAs’ predictive target mRNAs in KEGG annotation network</w:t>
      </w:r>
      <w:r w:rsidRPr="00AC51EA">
        <w:rPr>
          <w:rFonts w:hint="eastAsia"/>
          <w:b/>
          <w:sz w:val="20"/>
          <w:szCs w:val="20"/>
        </w:rPr>
        <w:t>.</w:t>
      </w:r>
      <w:r w:rsidRPr="00EF7E89">
        <w:rPr>
          <w:rFonts w:hint="eastAsia"/>
          <w:sz w:val="20"/>
          <w:szCs w:val="20"/>
        </w:rPr>
        <w:t xml:space="preserve"> </w:t>
      </w:r>
      <w:r w:rsidRPr="002B02AD">
        <w:rPr>
          <w:sz w:val="20"/>
          <w:szCs w:val="20"/>
        </w:rPr>
        <w:t>(A) Skeletal muscle denervation. (B) Alzheimer's disease. (C) Prostate cancer. (D)</w:t>
      </w:r>
      <w:r w:rsidRPr="002B02AD">
        <w:rPr>
          <w:rFonts w:hint="eastAsia"/>
          <w:sz w:val="20"/>
          <w:szCs w:val="20"/>
        </w:rPr>
        <w:t xml:space="preserve"> </w:t>
      </w:r>
      <w:r w:rsidRPr="002B02AD">
        <w:rPr>
          <w:sz w:val="20"/>
          <w:szCs w:val="20"/>
        </w:rPr>
        <w:t xml:space="preserve">Gastric cancer. </w:t>
      </w:r>
      <w:r w:rsidRPr="00404FB7">
        <w:rPr>
          <w:sz w:val="20"/>
          <w:szCs w:val="20"/>
        </w:rPr>
        <w:t>Left</w:t>
      </w:r>
      <w:r>
        <w:rPr>
          <w:sz w:val="20"/>
          <w:szCs w:val="20"/>
        </w:rPr>
        <w:t>:</w:t>
      </w:r>
      <w:r w:rsidRPr="00404FB7">
        <w:rPr>
          <w:sz w:val="20"/>
          <w:szCs w:val="20"/>
        </w:rPr>
        <w:t xml:space="preserve"> </w:t>
      </w:r>
      <w:bookmarkStart w:id="0" w:name="_Hlk40818510"/>
      <w:r w:rsidRPr="00EF7E89">
        <w:rPr>
          <w:sz w:val="20"/>
          <w:szCs w:val="20"/>
        </w:rPr>
        <w:t>The distribution of top10 FC miRNAs’ predictive target mRNAs</w:t>
      </w:r>
      <w:bookmarkEnd w:id="0"/>
      <w:r w:rsidRPr="00EF7E89">
        <w:rPr>
          <w:sz w:val="20"/>
          <w:szCs w:val="20"/>
        </w:rPr>
        <w:t xml:space="preserve">. </w:t>
      </w:r>
      <w:r w:rsidRPr="00404FB7">
        <w:rPr>
          <w:sz w:val="20"/>
          <w:szCs w:val="20"/>
        </w:rPr>
        <w:t>Middle</w:t>
      </w:r>
      <w:r>
        <w:rPr>
          <w:sz w:val="20"/>
          <w:szCs w:val="20"/>
        </w:rPr>
        <w:t>:</w:t>
      </w:r>
      <w:r w:rsidRPr="00EF7E89">
        <w:rPr>
          <w:sz w:val="20"/>
          <w:szCs w:val="20"/>
        </w:rPr>
        <w:t xml:space="preserve"> The distribution of top10 P value miRNAs’ predictive target mRNAs</w:t>
      </w:r>
      <w:r>
        <w:rPr>
          <w:sz w:val="20"/>
          <w:szCs w:val="20"/>
        </w:rPr>
        <w:t>. R</w:t>
      </w:r>
      <w:r w:rsidRPr="00404FB7">
        <w:rPr>
          <w:sz w:val="20"/>
          <w:szCs w:val="20"/>
        </w:rPr>
        <w:t>ight</w:t>
      </w:r>
      <w:r>
        <w:rPr>
          <w:sz w:val="20"/>
          <w:szCs w:val="20"/>
        </w:rPr>
        <w:t xml:space="preserve">: </w:t>
      </w:r>
      <w:r w:rsidRPr="00EF7E89">
        <w:rPr>
          <w:sz w:val="20"/>
          <w:szCs w:val="20"/>
        </w:rPr>
        <w:t>The distribution of top10 C value miRNAs’ predictive target mRNAs.</w:t>
      </w:r>
      <w:r w:rsidR="00396499">
        <w:rPr>
          <w:sz w:val="20"/>
          <w:szCs w:val="20"/>
        </w:rPr>
        <w:t xml:space="preserve"> </w:t>
      </w:r>
      <w:r w:rsidR="00396499" w:rsidRPr="00396499">
        <w:rPr>
          <w:sz w:val="20"/>
          <w:szCs w:val="20"/>
        </w:rPr>
        <w:t xml:space="preserve">Picture drawn by </w:t>
      </w:r>
      <w:r w:rsidR="00396499" w:rsidRPr="00396499">
        <w:rPr>
          <w:rFonts w:hint="eastAsia"/>
          <w:sz w:val="20"/>
          <w:szCs w:val="20"/>
        </w:rPr>
        <w:t>cytoscape3.72</w:t>
      </w:r>
      <w:r w:rsidR="00396499">
        <w:rPr>
          <w:sz w:val="20"/>
          <w:szCs w:val="20"/>
        </w:rPr>
        <w:t>.</w:t>
      </w:r>
      <w:r w:rsidR="00396499" w:rsidRPr="00396499">
        <w:rPr>
          <w:rFonts w:ascii="TimesNewRomanPSMT" w:hAnsi="TimesNewRomanPSMT"/>
          <w:b/>
          <w:color w:val="000000"/>
        </w:rPr>
        <w:t xml:space="preserve"> </w:t>
      </w:r>
    </w:p>
    <w:p w14:paraId="248D0CB6" w14:textId="55A2869D" w:rsidR="00AC51EA" w:rsidRDefault="00AC51EA" w:rsidP="00AC51EA">
      <w:pPr>
        <w:spacing w:line="360" w:lineRule="auto"/>
        <w:rPr>
          <w:sz w:val="20"/>
          <w:szCs w:val="20"/>
        </w:rPr>
      </w:pPr>
    </w:p>
    <w:p w14:paraId="74C1D19A" w14:textId="77777777" w:rsidR="00AC51EA" w:rsidRPr="00AC51EA" w:rsidRDefault="00AC51EA" w:rsidP="00AC51EA"/>
    <w:p w14:paraId="0806C958" w14:textId="586F9267" w:rsidR="00AC51EA" w:rsidRDefault="005114D8" w:rsidP="00AC51EA">
      <w:r>
        <w:rPr>
          <w:noProof/>
        </w:rPr>
        <w:drawing>
          <wp:inline distT="0" distB="0" distL="0" distR="0" wp14:anchorId="72E2EECD" wp14:editId="2ADAAA83">
            <wp:extent cx="5274310" cy="4897063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97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14:paraId="4B505821" w14:textId="7F0FD0C8" w:rsidR="00396499" w:rsidRDefault="00396499" w:rsidP="00AC51EA">
      <w:pPr>
        <w:rPr>
          <w:rFonts w:hint="eastAsia"/>
        </w:rPr>
      </w:pPr>
      <w:r w:rsidRPr="00396499">
        <w:rPr>
          <w:b/>
        </w:rPr>
        <w:t xml:space="preserve">Supplementary Figure S2. KEGG analysis results and distribution of </w:t>
      </w:r>
      <w:proofErr w:type="spellStart"/>
      <w:r w:rsidRPr="00396499">
        <w:rPr>
          <w:b/>
        </w:rPr>
        <w:t>lncRNAs</w:t>
      </w:r>
      <w:proofErr w:type="spellEnd"/>
      <w:r w:rsidRPr="00396499">
        <w:rPr>
          <w:b/>
        </w:rPr>
        <w:t>’ predictive target mRNAs for adipocyte differentiation data set.</w:t>
      </w:r>
      <w:r w:rsidRPr="00396499">
        <w:t xml:space="preserve"> (A) KEGG enrichment analysis of DE mRNAs. (B) The distribution of top5 FC </w:t>
      </w:r>
      <w:proofErr w:type="spellStart"/>
      <w:r w:rsidRPr="00396499">
        <w:t>lncRNAs</w:t>
      </w:r>
      <w:proofErr w:type="spellEnd"/>
      <w:r w:rsidRPr="00396499">
        <w:t xml:space="preserve">’ predictive target mRNAs in the annotation network. (C) The distribution of top5 P value </w:t>
      </w:r>
      <w:proofErr w:type="spellStart"/>
      <w:r w:rsidRPr="00396499">
        <w:t>lncRNAs</w:t>
      </w:r>
      <w:proofErr w:type="spellEnd"/>
      <w:r w:rsidRPr="00396499">
        <w:t xml:space="preserve">’ predictive target mRNAs in the annotation network. (D) The distribution of top5 C value </w:t>
      </w:r>
      <w:proofErr w:type="spellStart"/>
      <w:r w:rsidRPr="00396499">
        <w:t>lncRNAs</w:t>
      </w:r>
      <w:proofErr w:type="spellEnd"/>
      <w:r w:rsidRPr="00396499">
        <w:t>’ predictive target mRNAs in the annotation network. Picture drawn by cytoscape3.72.</w:t>
      </w:r>
    </w:p>
    <w:sectPr w:rsidR="003964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B45335" w14:textId="77777777" w:rsidR="00995DBF" w:rsidRDefault="00995DBF" w:rsidP="00AC51EA">
      <w:r>
        <w:separator/>
      </w:r>
    </w:p>
  </w:endnote>
  <w:endnote w:type="continuationSeparator" w:id="0">
    <w:p w14:paraId="29ADEAA3" w14:textId="77777777" w:rsidR="00995DBF" w:rsidRDefault="00995DBF" w:rsidP="00AC51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-Light">
    <w:charset w:val="00"/>
    <w:family w:val="auto"/>
    <w:pitch w:val="default"/>
  </w:font>
  <w:font w:name="AdvOTb99cb1f1 . B">
    <w:charset w:val="00"/>
    <w:family w:val="auto"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DA9472" w14:textId="77777777" w:rsidR="00995DBF" w:rsidRDefault="00995DBF" w:rsidP="00AC51EA">
      <w:r>
        <w:separator/>
      </w:r>
    </w:p>
  </w:footnote>
  <w:footnote w:type="continuationSeparator" w:id="0">
    <w:p w14:paraId="2FA0B553" w14:textId="77777777" w:rsidR="00995DBF" w:rsidRDefault="00995DBF" w:rsidP="00AC51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398"/>
    <w:rsid w:val="00086FB8"/>
    <w:rsid w:val="00396499"/>
    <w:rsid w:val="0049583D"/>
    <w:rsid w:val="005114D8"/>
    <w:rsid w:val="00995DBF"/>
    <w:rsid w:val="00AC51EA"/>
    <w:rsid w:val="00B85996"/>
    <w:rsid w:val="00C45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3B29AAF"/>
  <w14:defaultImageDpi w14:val="32767"/>
  <w15:chartTrackingRefBased/>
  <w15:docId w15:val="{8BA5C1D4-7D9B-46C7-A636-9C5A73376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C51E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51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51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51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51EA"/>
    <w:rPr>
      <w:sz w:val="18"/>
      <w:szCs w:val="18"/>
    </w:rPr>
  </w:style>
  <w:style w:type="paragraph" w:customStyle="1" w:styleId="Author-Affiliation">
    <w:name w:val="Author-Affiliation"/>
    <w:basedOn w:val="a"/>
    <w:rsid w:val="00AC51EA"/>
    <w:pPr>
      <w:widowControl/>
      <w:spacing w:before="100" w:after="52" w:line="240" w:lineRule="exact"/>
    </w:pPr>
    <w:rPr>
      <w:rFonts w:ascii="Helvetica-Light" w:eastAsia="Times New Roman" w:hAnsi="Helvetica-Light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 Xinyi</dc:creator>
  <cp:keywords/>
  <dc:description/>
  <cp:lastModifiedBy>Gu Xinyi</cp:lastModifiedBy>
  <cp:revision>4</cp:revision>
  <dcterms:created xsi:type="dcterms:W3CDTF">2020-05-28T08:17:00Z</dcterms:created>
  <dcterms:modified xsi:type="dcterms:W3CDTF">2020-05-30T06:24:00Z</dcterms:modified>
</cp:coreProperties>
</file>