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E04A82" w14:textId="77777777" w:rsidR="00067AE7" w:rsidRDefault="00067AE7" w:rsidP="00067AE7">
      <w:pPr>
        <w:spacing w:line="480" w:lineRule="auto"/>
        <w:jc w:val="both"/>
        <w:rPr>
          <w:rFonts w:ascii="Arial" w:hAnsi="Arial" w:cs="Arial"/>
          <w:b/>
          <w:bCs/>
        </w:rPr>
      </w:pPr>
      <w:r>
        <w:rPr>
          <w:rFonts w:ascii="Arial" w:hAnsi="Arial" w:cs="Arial"/>
          <w:b/>
          <w:bCs/>
        </w:rPr>
        <w:t>Supplementary Methods:</w:t>
      </w:r>
    </w:p>
    <w:p w14:paraId="3C9741A2" w14:textId="77777777" w:rsidR="00067AE7" w:rsidRDefault="00067AE7" w:rsidP="00067AE7">
      <w:pPr>
        <w:spacing w:line="480" w:lineRule="auto"/>
        <w:jc w:val="both"/>
        <w:rPr>
          <w:rFonts w:ascii="Arial" w:hAnsi="Arial" w:cs="Arial"/>
          <w:b/>
          <w:bCs/>
        </w:rPr>
      </w:pPr>
      <w:r>
        <w:rPr>
          <w:rFonts w:ascii="Arial" w:hAnsi="Arial" w:cs="Arial"/>
          <w:b/>
          <w:bCs/>
        </w:rPr>
        <w:t xml:space="preserve">Flow Cytometry: </w:t>
      </w:r>
    </w:p>
    <w:p w14:paraId="11BDA69E" w14:textId="77777777" w:rsidR="00067AE7" w:rsidRDefault="00067AE7" w:rsidP="00067AE7">
      <w:pPr>
        <w:spacing w:line="480" w:lineRule="auto"/>
        <w:jc w:val="both"/>
        <w:rPr>
          <w:rFonts w:ascii="Arial" w:hAnsi="Arial" w:cs="Arial"/>
        </w:rPr>
      </w:pPr>
      <w:r w:rsidRPr="00E63FD6">
        <w:rPr>
          <w:rFonts w:ascii="Arial" w:hAnsi="Arial" w:cs="Arial"/>
        </w:rPr>
        <w:t xml:space="preserve">Tumor cell and splenic suspensions were prepared with or without the </w:t>
      </w:r>
      <w:proofErr w:type="spellStart"/>
      <w:r w:rsidRPr="00E63FD6">
        <w:rPr>
          <w:rFonts w:ascii="Arial" w:hAnsi="Arial" w:cs="Arial"/>
        </w:rPr>
        <w:t>Lympholyte</w:t>
      </w:r>
      <w:proofErr w:type="spellEnd"/>
      <w:r w:rsidRPr="00E63FD6">
        <w:rPr>
          <w:rFonts w:ascii="Arial" w:hAnsi="Arial" w:cs="Arial"/>
        </w:rPr>
        <w:t xml:space="preserve"> M (</w:t>
      </w:r>
      <w:proofErr w:type="spellStart"/>
      <w:r w:rsidRPr="00E63FD6">
        <w:rPr>
          <w:rFonts w:ascii="Arial" w:hAnsi="Arial" w:cs="Arial"/>
        </w:rPr>
        <w:t>Cedarlane</w:t>
      </w:r>
      <w:proofErr w:type="spellEnd"/>
      <w:r w:rsidRPr="00E63FD6">
        <w:rPr>
          <w:rFonts w:ascii="Arial" w:hAnsi="Arial" w:cs="Arial"/>
        </w:rPr>
        <w:t xml:space="preserve"> Labs, Burlington, NC) purification step</w:t>
      </w:r>
      <w:r>
        <w:rPr>
          <w:rFonts w:ascii="Arial" w:hAnsi="Arial" w:cs="Arial"/>
        </w:rPr>
        <w:t>. T</w:t>
      </w:r>
      <w:r w:rsidRPr="00E63FD6">
        <w:rPr>
          <w:rFonts w:ascii="Arial" w:hAnsi="Arial" w:cs="Arial"/>
        </w:rPr>
        <w:t xml:space="preserve">issue was extracted, kept cold, ground through a filter, washed, either purified or processed to lyse red blood cells, and used for downstream applications. Tumor cell suspensions were processed </w:t>
      </w:r>
      <w:r>
        <w:rPr>
          <w:rFonts w:ascii="Arial" w:hAnsi="Arial" w:cs="Arial"/>
        </w:rPr>
        <w:t>immediately</w:t>
      </w:r>
      <w:r w:rsidRPr="00E63FD6">
        <w:rPr>
          <w:rFonts w:ascii="Arial" w:hAnsi="Arial" w:cs="Arial"/>
        </w:rPr>
        <w:t>.</w:t>
      </w:r>
      <w:r>
        <w:rPr>
          <w:rFonts w:ascii="Arial" w:hAnsi="Arial" w:cs="Arial"/>
        </w:rPr>
        <w:t xml:space="preserve"> </w:t>
      </w:r>
      <w:r w:rsidRPr="00E63FD6">
        <w:rPr>
          <w:rFonts w:ascii="Arial" w:hAnsi="Arial" w:cs="Arial"/>
        </w:rPr>
        <w:t>Splenocytes were cryopreserved in 90% FBS 10% DMSO freezing media using isopropanol baths at -80ºC prior to moving the samples to -150ºC.  Splenocytes were quick-thawed and rest</w:t>
      </w:r>
      <w:r>
        <w:rPr>
          <w:rFonts w:ascii="Arial" w:hAnsi="Arial" w:cs="Arial"/>
        </w:rPr>
        <w:t>ed</w:t>
      </w:r>
      <w:r w:rsidRPr="00E63FD6">
        <w:rPr>
          <w:rFonts w:ascii="Arial" w:hAnsi="Arial" w:cs="Arial"/>
        </w:rPr>
        <w:t xml:space="preserve"> for at least 2 hours at 37ºC</w:t>
      </w:r>
      <w:r>
        <w:rPr>
          <w:rFonts w:ascii="Arial" w:hAnsi="Arial" w:cs="Arial"/>
        </w:rPr>
        <w:t>.</w:t>
      </w:r>
      <w:r w:rsidRPr="00E63FD6">
        <w:rPr>
          <w:rFonts w:ascii="Arial" w:hAnsi="Arial" w:cs="Arial"/>
        </w:rPr>
        <w:t xml:space="preserve"> Cells were </w:t>
      </w:r>
      <w:r>
        <w:rPr>
          <w:rFonts w:ascii="Arial" w:hAnsi="Arial" w:cs="Arial"/>
        </w:rPr>
        <w:t xml:space="preserve">stimulated for 4-6 hours with </w:t>
      </w:r>
      <w:r w:rsidRPr="00201C7C">
        <w:rPr>
          <w:rFonts w:ascii="Arial" w:hAnsi="Arial" w:cs="Arial"/>
        </w:rPr>
        <w:t>equal concentrations of known immunodominant peptides gp100</w:t>
      </w:r>
      <w:r w:rsidRPr="00201C7C">
        <w:rPr>
          <w:rFonts w:ascii="Arial" w:hAnsi="Arial" w:cs="Arial"/>
          <w:vertAlign w:val="subscript"/>
        </w:rPr>
        <w:t>25–33</w:t>
      </w:r>
      <w:r w:rsidRPr="00201C7C">
        <w:rPr>
          <w:rFonts w:ascii="Arial" w:hAnsi="Arial" w:cs="Arial"/>
        </w:rPr>
        <w:t>(KVPRNQDWL; JHU School of Medicine Synthesis and</w:t>
      </w:r>
      <w:r>
        <w:rPr>
          <w:rFonts w:ascii="Arial" w:hAnsi="Arial" w:cs="Arial"/>
        </w:rPr>
        <w:t xml:space="preserve"> </w:t>
      </w:r>
      <w:r w:rsidRPr="00201C7C">
        <w:rPr>
          <w:rFonts w:ascii="Arial" w:hAnsi="Arial" w:cs="Arial"/>
        </w:rPr>
        <w:t>Sequencing Facility</w:t>
      </w:r>
      <w:r>
        <w:rPr>
          <w:rFonts w:ascii="Arial" w:hAnsi="Arial" w:cs="Arial"/>
        </w:rPr>
        <w:t xml:space="preserve"> (S&amp;SF)</w:t>
      </w:r>
      <w:r w:rsidRPr="00201C7C">
        <w:rPr>
          <w:rFonts w:ascii="Arial" w:hAnsi="Arial" w:cs="Arial"/>
        </w:rPr>
        <w:t>; Baltimore, MD) and</w:t>
      </w:r>
      <w:r>
        <w:rPr>
          <w:rFonts w:ascii="Arial" w:hAnsi="Arial" w:cs="Arial"/>
        </w:rPr>
        <w:t xml:space="preserve"> </w:t>
      </w:r>
      <w:r w:rsidRPr="00201C7C">
        <w:rPr>
          <w:rFonts w:ascii="Arial" w:hAnsi="Arial" w:cs="Arial"/>
        </w:rPr>
        <w:t>Trp2</w:t>
      </w:r>
      <w:r w:rsidRPr="00201C7C">
        <w:rPr>
          <w:rFonts w:ascii="Arial" w:hAnsi="Arial" w:cs="Arial"/>
          <w:vertAlign w:val="subscript"/>
        </w:rPr>
        <w:t>180–188</w:t>
      </w:r>
      <w:r w:rsidRPr="00201C7C">
        <w:rPr>
          <w:rFonts w:ascii="Arial" w:hAnsi="Arial" w:cs="Arial"/>
        </w:rPr>
        <w:t xml:space="preserve"> (SVYDFFVWL; </w:t>
      </w:r>
      <w:proofErr w:type="spellStart"/>
      <w:r w:rsidRPr="00201C7C">
        <w:rPr>
          <w:rFonts w:ascii="Arial" w:hAnsi="Arial" w:cs="Arial"/>
        </w:rPr>
        <w:t>Anaspec</w:t>
      </w:r>
      <w:proofErr w:type="spellEnd"/>
      <w:r w:rsidRPr="00201C7C">
        <w:rPr>
          <w:rFonts w:ascii="Arial" w:hAnsi="Arial" w:cs="Arial"/>
        </w:rPr>
        <w:t xml:space="preserve"> Inc. Fremont, CA) or</w:t>
      </w:r>
      <w:r>
        <w:rPr>
          <w:rFonts w:ascii="Arial" w:hAnsi="Arial" w:cs="Arial"/>
        </w:rPr>
        <w:t xml:space="preserve"> </w:t>
      </w:r>
      <w:r w:rsidRPr="00201C7C">
        <w:rPr>
          <w:rFonts w:ascii="Arial" w:hAnsi="Arial" w:cs="Arial"/>
        </w:rPr>
        <w:t xml:space="preserve">with control HA peptide (YPYDVPDYA; </w:t>
      </w:r>
      <w:r>
        <w:rPr>
          <w:rFonts w:ascii="Arial" w:hAnsi="Arial" w:cs="Arial"/>
        </w:rPr>
        <w:t>S&amp;SF</w:t>
      </w:r>
      <w:r w:rsidRPr="00201C7C">
        <w:rPr>
          <w:rFonts w:ascii="Arial" w:hAnsi="Arial" w:cs="Arial"/>
        </w:rPr>
        <w:t>)</w:t>
      </w:r>
      <w:r>
        <w:rPr>
          <w:rFonts w:ascii="Arial" w:hAnsi="Arial" w:cs="Arial"/>
        </w:rPr>
        <w:t xml:space="preserve"> </w:t>
      </w:r>
      <w:r w:rsidRPr="00201C7C">
        <w:rPr>
          <w:rFonts w:ascii="Arial" w:hAnsi="Arial" w:cs="Arial"/>
        </w:rPr>
        <w:t xml:space="preserve">for a total of 20 </w:t>
      </w:r>
      <w:proofErr w:type="spellStart"/>
      <w:r w:rsidRPr="00201C7C">
        <w:rPr>
          <w:rFonts w:ascii="Arial" w:hAnsi="Arial" w:cs="Arial"/>
        </w:rPr>
        <w:t>μg</w:t>
      </w:r>
      <w:proofErr w:type="spellEnd"/>
      <w:r w:rsidRPr="00201C7C">
        <w:rPr>
          <w:rFonts w:ascii="Arial" w:hAnsi="Arial" w:cs="Arial"/>
        </w:rPr>
        <w:t xml:space="preserve"> of peptide per sample</w:t>
      </w:r>
      <w:r>
        <w:rPr>
          <w:rFonts w:ascii="Arial" w:hAnsi="Arial" w:cs="Arial"/>
        </w:rPr>
        <w:t xml:space="preserve"> along </w:t>
      </w:r>
      <w:r w:rsidRPr="00201C7C">
        <w:rPr>
          <w:rFonts w:ascii="Arial" w:hAnsi="Arial" w:cs="Arial"/>
        </w:rPr>
        <w:t>with co</w:t>
      </w:r>
      <w:r>
        <w:rPr>
          <w:rFonts w:ascii="Arial" w:hAnsi="Arial" w:cs="Arial"/>
        </w:rPr>
        <w:t>-</w:t>
      </w:r>
      <w:r w:rsidRPr="00201C7C">
        <w:rPr>
          <w:rFonts w:ascii="Arial" w:hAnsi="Arial" w:cs="Arial"/>
        </w:rPr>
        <w:t>stimulatory anti-CD28 and anti-CD49d agonizing antibodies</w:t>
      </w:r>
      <w:r>
        <w:rPr>
          <w:rFonts w:ascii="Arial" w:hAnsi="Arial" w:cs="Arial"/>
        </w:rPr>
        <w:t xml:space="preserve"> </w:t>
      </w:r>
      <w:r w:rsidRPr="00201C7C">
        <w:rPr>
          <w:rFonts w:ascii="Arial" w:hAnsi="Arial" w:cs="Arial"/>
        </w:rPr>
        <w:t>(</w:t>
      </w:r>
      <w:proofErr w:type="spellStart"/>
      <w:r w:rsidRPr="00201C7C">
        <w:rPr>
          <w:rFonts w:ascii="Arial" w:hAnsi="Arial" w:cs="Arial"/>
        </w:rPr>
        <w:t>eBioscience</w:t>
      </w:r>
      <w:proofErr w:type="spellEnd"/>
      <w:r w:rsidRPr="00201C7C">
        <w:rPr>
          <w:rFonts w:ascii="Arial" w:hAnsi="Arial" w:cs="Arial"/>
        </w:rPr>
        <w:t xml:space="preserve"> Inc., San Diego, CA).</w:t>
      </w:r>
      <w:r>
        <w:rPr>
          <w:rFonts w:ascii="Arial" w:hAnsi="Arial" w:cs="Arial"/>
        </w:rPr>
        <w:t xml:space="preserve"> Cytokine accumulation tests also included Brefeldin A (</w:t>
      </w:r>
      <w:proofErr w:type="spellStart"/>
      <w:r>
        <w:rPr>
          <w:rFonts w:ascii="Arial" w:hAnsi="Arial" w:cs="Arial"/>
        </w:rPr>
        <w:t>Biolegend</w:t>
      </w:r>
      <w:proofErr w:type="spellEnd"/>
      <w:r>
        <w:rPr>
          <w:rFonts w:ascii="Arial" w:hAnsi="Arial" w:cs="Arial"/>
        </w:rPr>
        <w:t>). P</w:t>
      </w:r>
      <w:r w:rsidRPr="00201C7C">
        <w:rPr>
          <w:rFonts w:ascii="Arial" w:hAnsi="Arial" w:cs="Arial"/>
        </w:rPr>
        <w:t>ositive</w:t>
      </w:r>
      <w:r>
        <w:rPr>
          <w:rFonts w:ascii="Arial" w:hAnsi="Arial" w:cs="Arial"/>
        </w:rPr>
        <w:t xml:space="preserve"> </w:t>
      </w:r>
      <w:r w:rsidRPr="00201C7C">
        <w:rPr>
          <w:rFonts w:ascii="Arial" w:hAnsi="Arial" w:cs="Arial"/>
        </w:rPr>
        <w:t>control</w:t>
      </w:r>
      <w:r>
        <w:rPr>
          <w:rFonts w:ascii="Arial" w:hAnsi="Arial" w:cs="Arial"/>
        </w:rPr>
        <w:t xml:space="preserve"> wells</w:t>
      </w:r>
      <w:r w:rsidRPr="00201C7C">
        <w:rPr>
          <w:rFonts w:ascii="Arial" w:hAnsi="Arial" w:cs="Arial"/>
        </w:rPr>
        <w:t xml:space="preserve"> were stimulated with Cell Stimulation</w:t>
      </w:r>
      <w:r>
        <w:rPr>
          <w:rFonts w:ascii="Arial" w:hAnsi="Arial" w:cs="Arial"/>
        </w:rPr>
        <w:t xml:space="preserve"> Cocktail with</w:t>
      </w:r>
      <w:r w:rsidRPr="00201C7C">
        <w:rPr>
          <w:rFonts w:ascii="Arial" w:hAnsi="Arial" w:cs="Arial"/>
        </w:rPr>
        <w:t xml:space="preserve"> </w:t>
      </w:r>
      <w:r>
        <w:rPr>
          <w:rFonts w:ascii="Arial" w:hAnsi="Arial" w:cs="Arial"/>
        </w:rPr>
        <w:t>Cell</w:t>
      </w:r>
      <w:r w:rsidRPr="00201C7C">
        <w:rPr>
          <w:rFonts w:ascii="Arial" w:hAnsi="Arial" w:cs="Arial"/>
        </w:rPr>
        <w:t xml:space="preserve"> Transport Inhibitor (</w:t>
      </w:r>
      <w:proofErr w:type="spellStart"/>
      <w:r w:rsidRPr="00201C7C">
        <w:rPr>
          <w:rFonts w:ascii="Arial" w:hAnsi="Arial" w:cs="Arial"/>
        </w:rPr>
        <w:t>eBioscience</w:t>
      </w:r>
      <w:proofErr w:type="spellEnd"/>
      <w:r w:rsidRPr="00201C7C">
        <w:rPr>
          <w:rFonts w:ascii="Arial" w:hAnsi="Arial" w:cs="Arial"/>
        </w:rPr>
        <w:t>). Cells were collected using FACS buffer</w:t>
      </w:r>
      <w:r>
        <w:rPr>
          <w:rFonts w:ascii="Arial" w:hAnsi="Arial" w:cs="Arial"/>
        </w:rPr>
        <w:t xml:space="preserve"> </w:t>
      </w:r>
      <w:r w:rsidRPr="00201C7C">
        <w:rPr>
          <w:rFonts w:ascii="Arial" w:hAnsi="Arial" w:cs="Arial"/>
        </w:rPr>
        <w:t>(PBS + 0.5% Bovine serum albumin (Sigma-</w:t>
      </w:r>
      <w:proofErr w:type="spellStart"/>
      <w:proofErr w:type="gramStart"/>
      <w:r w:rsidRPr="00201C7C">
        <w:rPr>
          <w:rFonts w:ascii="Arial" w:hAnsi="Arial" w:cs="Arial"/>
        </w:rPr>
        <w:t>Aldrich,St</w:t>
      </w:r>
      <w:proofErr w:type="spellEnd"/>
      <w:r w:rsidRPr="00201C7C">
        <w:rPr>
          <w:rFonts w:ascii="Arial" w:hAnsi="Arial" w:cs="Arial"/>
        </w:rPr>
        <w:t>.</w:t>
      </w:r>
      <w:proofErr w:type="gramEnd"/>
      <w:r w:rsidRPr="00201C7C">
        <w:rPr>
          <w:rFonts w:ascii="Arial" w:hAnsi="Arial" w:cs="Arial"/>
        </w:rPr>
        <w:t xml:space="preserve"> Louis, MO))</w:t>
      </w:r>
      <w:r>
        <w:rPr>
          <w:rFonts w:ascii="Arial" w:hAnsi="Arial" w:cs="Arial"/>
        </w:rPr>
        <w:t xml:space="preserve"> and </w:t>
      </w:r>
      <w:r w:rsidRPr="00E63FD6">
        <w:rPr>
          <w:rFonts w:ascii="Arial" w:hAnsi="Arial" w:cs="Arial"/>
        </w:rPr>
        <w:t xml:space="preserve">stained in a 96-well V-bottom plate (Sarstedt, Inc., Newton, NC), with combinations of the anti-mouse </w:t>
      </w:r>
      <w:proofErr w:type="spellStart"/>
      <w:r w:rsidRPr="00E63FD6">
        <w:rPr>
          <w:rFonts w:ascii="Arial" w:hAnsi="Arial" w:cs="Arial"/>
        </w:rPr>
        <w:t>mAbs</w:t>
      </w:r>
      <w:proofErr w:type="spellEnd"/>
      <w:r w:rsidRPr="00E63FD6">
        <w:rPr>
          <w:rFonts w:ascii="Arial" w:hAnsi="Arial" w:cs="Arial"/>
        </w:rPr>
        <w:t xml:space="preserve"> described in Supplementary Table 1.</w:t>
      </w:r>
      <w:r>
        <w:rPr>
          <w:rFonts w:ascii="Arial" w:hAnsi="Arial" w:cs="Arial"/>
        </w:rPr>
        <w:t xml:space="preserve"> All pelleting steps performed at 300xg for 5 minutes. First, cells were stained with Live Dead for 30 minutes, then washed, then incubated with </w:t>
      </w:r>
      <w:proofErr w:type="spellStart"/>
      <w:r>
        <w:rPr>
          <w:rFonts w:ascii="Arial" w:hAnsi="Arial" w:cs="Arial"/>
        </w:rPr>
        <w:t>Trustain</w:t>
      </w:r>
      <w:proofErr w:type="spellEnd"/>
      <w:r>
        <w:rPr>
          <w:rFonts w:ascii="Arial" w:hAnsi="Arial" w:cs="Arial"/>
        </w:rPr>
        <w:t xml:space="preserve"> </w:t>
      </w:r>
      <w:proofErr w:type="spellStart"/>
      <w:r>
        <w:rPr>
          <w:rFonts w:ascii="Arial" w:hAnsi="Arial" w:cs="Arial"/>
        </w:rPr>
        <w:t>FcX</w:t>
      </w:r>
      <w:proofErr w:type="spellEnd"/>
      <w:r>
        <w:rPr>
          <w:rFonts w:ascii="Arial" w:hAnsi="Arial" w:cs="Arial"/>
        </w:rPr>
        <w:t xml:space="preserve"> (Supp. Table) for 15 min at 4</w:t>
      </w:r>
      <w:r w:rsidRPr="00E63FD6">
        <w:rPr>
          <w:rFonts w:ascii="Arial" w:hAnsi="Arial" w:cs="Arial"/>
        </w:rPr>
        <w:t>ºC</w:t>
      </w:r>
      <w:r>
        <w:rPr>
          <w:rFonts w:ascii="Arial" w:hAnsi="Arial" w:cs="Arial"/>
        </w:rPr>
        <w:t xml:space="preserve"> to block Fc-receptors, then surface stain cocktail for 20 minutes, then overnight fixation with Fixation Buffer (</w:t>
      </w:r>
      <w:proofErr w:type="spellStart"/>
      <w:r>
        <w:rPr>
          <w:rFonts w:ascii="Arial" w:hAnsi="Arial" w:cs="Arial"/>
        </w:rPr>
        <w:t>Biolegend</w:t>
      </w:r>
      <w:proofErr w:type="spellEnd"/>
      <w:r>
        <w:rPr>
          <w:rFonts w:ascii="Arial" w:hAnsi="Arial" w:cs="Arial"/>
        </w:rPr>
        <w:t>) at 4</w:t>
      </w:r>
      <w:r w:rsidRPr="00E63FD6">
        <w:rPr>
          <w:rFonts w:ascii="Arial" w:hAnsi="Arial" w:cs="Arial"/>
        </w:rPr>
        <w:t>ºC</w:t>
      </w:r>
      <w:r>
        <w:rPr>
          <w:rFonts w:ascii="Arial" w:hAnsi="Arial" w:cs="Arial"/>
        </w:rPr>
        <w:t>. The following morning, for cytokine accumulation tests, the cells are incubated with the intracellular antibodies diluted in Permeabilization Buffer (</w:t>
      </w:r>
      <w:proofErr w:type="spellStart"/>
      <w:r>
        <w:rPr>
          <w:rFonts w:ascii="Arial" w:hAnsi="Arial" w:cs="Arial"/>
        </w:rPr>
        <w:t>Biolegend</w:t>
      </w:r>
      <w:proofErr w:type="spellEnd"/>
      <w:r>
        <w:rPr>
          <w:rFonts w:ascii="Arial" w:hAnsi="Arial" w:cs="Arial"/>
        </w:rPr>
        <w:t>) for 20 minutes. Wells are washed 3-5 times and then analyzed by cytometry.</w:t>
      </w:r>
    </w:p>
    <w:p w14:paraId="33ADA8CE" w14:textId="77777777" w:rsidR="00067AE7" w:rsidRDefault="00067AE7" w:rsidP="00067AE7">
      <w:pPr>
        <w:spacing w:line="480" w:lineRule="auto"/>
        <w:jc w:val="both"/>
        <w:rPr>
          <w:rFonts w:ascii="Arial" w:hAnsi="Arial" w:cs="Arial"/>
        </w:rPr>
      </w:pPr>
    </w:p>
    <w:p w14:paraId="2831C386" w14:textId="77777777" w:rsidR="00067AE7" w:rsidRDefault="00067AE7" w:rsidP="00067AE7">
      <w:pPr>
        <w:spacing w:line="480" w:lineRule="auto"/>
        <w:jc w:val="both"/>
        <w:rPr>
          <w:rFonts w:ascii="Arial" w:hAnsi="Arial" w:cs="Arial"/>
          <w:b/>
          <w:bCs/>
        </w:rPr>
      </w:pPr>
      <w:r>
        <w:rPr>
          <w:rFonts w:ascii="Arial" w:hAnsi="Arial" w:cs="Arial"/>
          <w:b/>
          <w:bCs/>
        </w:rPr>
        <w:lastRenderedPageBreak/>
        <w:t>Immunofluorescence Staining</w:t>
      </w:r>
    </w:p>
    <w:p w14:paraId="1826B99C" w14:textId="77777777" w:rsidR="00067AE7" w:rsidRDefault="00067AE7" w:rsidP="00067AE7">
      <w:pPr>
        <w:spacing w:line="480" w:lineRule="auto"/>
        <w:jc w:val="both"/>
        <w:rPr>
          <w:rFonts w:ascii="Arial" w:hAnsi="Arial" w:cs="Arial"/>
        </w:rPr>
      </w:pPr>
      <w:r>
        <w:rPr>
          <w:rFonts w:ascii="Arial" w:hAnsi="Arial" w:cs="Arial"/>
        </w:rPr>
        <w:t>After fixation, tissue was stored at 4</w:t>
      </w:r>
      <w:r w:rsidRPr="00E63FD6">
        <w:rPr>
          <w:rFonts w:ascii="Arial" w:hAnsi="Arial" w:cs="Arial"/>
        </w:rPr>
        <w:t>ºC</w:t>
      </w:r>
      <w:r>
        <w:rPr>
          <w:rFonts w:ascii="Arial" w:hAnsi="Arial" w:cs="Arial"/>
        </w:rPr>
        <w:t xml:space="preserve"> in 1xPBS until processed </w:t>
      </w:r>
      <w:r w:rsidRPr="00767488">
        <w:rPr>
          <w:rFonts w:ascii="Arial" w:hAnsi="Arial" w:cs="Arial"/>
        </w:rPr>
        <w:t>by the Sidney Kimmel Comprehensive Cancer Center</w:t>
      </w:r>
      <w:r>
        <w:rPr>
          <w:rFonts w:ascii="Arial" w:hAnsi="Arial" w:cs="Arial"/>
        </w:rPr>
        <w:t xml:space="preserve"> (SKCCC)</w:t>
      </w:r>
      <w:r w:rsidRPr="00767488">
        <w:rPr>
          <w:rFonts w:ascii="Arial" w:hAnsi="Arial" w:cs="Arial"/>
        </w:rPr>
        <w:t xml:space="preserve"> Oncology Tissue Services core facility using their standard protocols</w:t>
      </w:r>
      <w:r>
        <w:rPr>
          <w:rFonts w:ascii="Arial" w:hAnsi="Arial" w:cs="Arial"/>
        </w:rPr>
        <w:t xml:space="preserve"> for FFPE blocks and slide creation.</w:t>
      </w:r>
      <w:r w:rsidRPr="00767488">
        <w:rPr>
          <w:rFonts w:ascii="Arial" w:hAnsi="Arial" w:cs="Arial"/>
        </w:rPr>
        <w:t xml:space="preserve"> </w:t>
      </w:r>
      <w:r w:rsidRPr="00767488">
        <w:rPr>
          <w:rFonts w:ascii="Arial" w:hAnsi="Arial" w:cs="Arial" w:hint="eastAsia"/>
        </w:rPr>
        <w:t>T</w:t>
      </w:r>
      <w:r w:rsidRPr="00767488">
        <w:rPr>
          <w:rFonts w:ascii="Arial" w:hAnsi="Arial" w:cs="Arial"/>
        </w:rPr>
        <w:t>he slides were</w:t>
      </w:r>
      <w:r w:rsidRPr="00767488">
        <w:rPr>
          <w:rFonts w:ascii="Arial" w:hAnsi="Arial" w:cs="Arial" w:hint="eastAsia"/>
        </w:rPr>
        <w:t xml:space="preserve"> </w:t>
      </w:r>
      <w:r w:rsidRPr="00767488">
        <w:rPr>
          <w:rFonts w:ascii="Arial" w:hAnsi="Arial" w:cs="Arial"/>
        </w:rPr>
        <w:t>deparaffiniz</w:t>
      </w:r>
      <w:r w:rsidRPr="00767488">
        <w:rPr>
          <w:rFonts w:ascii="Arial" w:hAnsi="Arial" w:cs="Arial" w:hint="eastAsia"/>
        </w:rPr>
        <w:t>ed</w:t>
      </w:r>
      <w:r w:rsidRPr="00767488">
        <w:rPr>
          <w:rFonts w:ascii="Arial" w:hAnsi="Arial" w:cs="Arial"/>
        </w:rPr>
        <w:t xml:space="preserve"> in xylene</w:t>
      </w:r>
      <w:r w:rsidRPr="00767488">
        <w:rPr>
          <w:rFonts w:ascii="Arial" w:hAnsi="Arial" w:cs="Arial" w:hint="eastAsia"/>
        </w:rPr>
        <w:t>,</w:t>
      </w:r>
      <w:r w:rsidRPr="00767488">
        <w:rPr>
          <w:rFonts w:ascii="Arial" w:hAnsi="Arial" w:cs="Arial"/>
        </w:rPr>
        <w:t xml:space="preserve"> rehydrat</w:t>
      </w:r>
      <w:r w:rsidRPr="00767488">
        <w:rPr>
          <w:rFonts w:ascii="Arial" w:hAnsi="Arial" w:cs="Arial" w:hint="eastAsia"/>
        </w:rPr>
        <w:t xml:space="preserve">ed with gradient </w:t>
      </w:r>
      <w:r w:rsidRPr="00767488">
        <w:rPr>
          <w:rFonts w:ascii="Arial" w:hAnsi="Arial" w:cs="Arial"/>
        </w:rPr>
        <w:t>ethanol</w:t>
      </w:r>
      <w:r w:rsidRPr="00767488">
        <w:rPr>
          <w:rFonts w:ascii="Arial" w:hAnsi="Arial" w:cs="Arial" w:hint="eastAsia"/>
        </w:rPr>
        <w:t>, and washed with dH</w:t>
      </w:r>
      <w:r w:rsidRPr="00767488">
        <w:rPr>
          <w:rFonts w:ascii="Arial" w:hAnsi="Arial" w:cs="Arial" w:hint="eastAsia"/>
          <w:vertAlign w:val="subscript"/>
        </w:rPr>
        <w:t>2</w:t>
      </w:r>
      <w:r w:rsidRPr="00767488">
        <w:rPr>
          <w:rFonts w:ascii="Arial" w:hAnsi="Arial" w:cs="Arial" w:hint="eastAsia"/>
        </w:rPr>
        <w:t xml:space="preserve">O and 1xPBS. Next, the slides were placed in </w:t>
      </w:r>
      <w:r w:rsidRPr="00767488">
        <w:rPr>
          <w:rFonts w:ascii="Arial" w:hAnsi="Arial" w:cs="Arial"/>
        </w:rPr>
        <w:t>sodium citrate buffer</w:t>
      </w:r>
      <w:r w:rsidRPr="00767488">
        <w:rPr>
          <w:rFonts w:ascii="Arial" w:hAnsi="Arial" w:cs="Arial" w:hint="eastAsia"/>
        </w:rPr>
        <w:t xml:space="preserve"> (</w:t>
      </w:r>
      <w:r w:rsidRPr="00767488">
        <w:rPr>
          <w:rFonts w:ascii="Arial" w:hAnsi="Arial" w:cs="Arial"/>
        </w:rPr>
        <w:t>pH 6.0</w:t>
      </w:r>
      <w:r w:rsidRPr="00767488">
        <w:rPr>
          <w:rFonts w:ascii="Arial" w:hAnsi="Arial" w:cs="Arial" w:hint="eastAsia"/>
        </w:rPr>
        <w:t xml:space="preserve">) for heat-induced antigen </w:t>
      </w:r>
      <w:r w:rsidRPr="00767488">
        <w:rPr>
          <w:rFonts w:ascii="Arial" w:hAnsi="Arial" w:cs="Arial"/>
        </w:rPr>
        <w:t>retr</w:t>
      </w:r>
      <w:r w:rsidRPr="00767488">
        <w:rPr>
          <w:rFonts w:ascii="Arial" w:hAnsi="Arial" w:cs="Arial" w:hint="eastAsia"/>
        </w:rPr>
        <w:t>ieval</w:t>
      </w:r>
      <w:r w:rsidRPr="00767488">
        <w:rPr>
          <w:rFonts w:ascii="Arial" w:hAnsi="Arial" w:cs="Arial"/>
        </w:rPr>
        <w:t xml:space="preserve"> </w:t>
      </w:r>
      <w:r w:rsidRPr="00767488">
        <w:rPr>
          <w:rFonts w:ascii="Arial" w:hAnsi="Arial" w:cs="Arial" w:hint="eastAsia"/>
        </w:rPr>
        <w:t xml:space="preserve">by first </w:t>
      </w:r>
      <w:r w:rsidRPr="00767488">
        <w:rPr>
          <w:rFonts w:ascii="Arial" w:hAnsi="Arial" w:cs="Arial"/>
        </w:rPr>
        <w:t>bringing</w:t>
      </w:r>
      <w:r w:rsidRPr="00767488">
        <w:rPr>
          <w:rFonts w:ascii="Arial" w:hAnsi="Arial" w:cs="Arial" w:hint="eastAsia"/>
        </w:rPr>
        <w:t xml:space="preserve"> the liquid to boiling,</w:t>
      </w:r>
      <w:r w:rsidRPr="00767488">
        <w:rPr>
          <w:rFonts w:ascii="Arial" w:hAnsi="Arial" w:cs="Arial"/>
        </w:rPr>
        <w:t xml:space="preserve"> then microwaving for an additional 15 min at </w:t>
      </w:r>
      <w:r w:rsidRPr="00767488">
        <w:rPr>
          <w:rFonts w:ascii="Arial" w:hAnsi="Arial" w:cs="Arial" w:hint="eastAsia"/>
        </w:rPr>
        <w:t xml:space="preserve">250W. Blocking was </w:t>
      </w:r>
      <w:r w:rsidRPr="00767488">
        <w:rPr>
          <w:rFonts w:ascii="Arial" w:hAnsi="Arial" w:cs="Arial"/>
        </w:rPr>
        <w:t>performed</w:t>
      </w:r>
      <w:r w:rsidRPr="00767488">
        <w:rPr>
          <w:rFonts w:ascii="Arial" w:hAnsi="Arial" w:cs="Arial" w:hint="eastAsia"/>
        </w:rPr>
        <w:t xml:space="preserve"> with 1% goat serum + 0.3% Triton X-100 in 1</w:t>
      </w:r>
      <w:r w:rsidRPr="00767488">
        <w:rPr>
          <w:rFonts w:ascii="Arial" w:hAnsi="Arial" w:cs="Arial"/>
        </w:rPr>
        <w:t>x</w:t>
      </w:r>
      <w:r w:rsidRPr="00767488">
        <w:rPr>
          <w:rFonts w:ascii="Arial" w:hAnsi="Arial" w:cs="Arial" w:hint="eastAsia"/>
        </w:rPr>
        <w:t>PBS for 30 min at room temperature.</w:t>
      </w:r>
      <w:r>
        <w:rPr>
          <w:rFonts w:ascii="Arial" w:hAnsi="Arial" w:cs="Arial"/>
        </w:rPr>
        <w:t xml:space="preserve"> The slides were </w:t>
      </w:r>
      <w:r w:rsidRPr="00767488">
        <w:rPr>
          <w:rFonts w:ascii="Arial" w:hAnsi="Arial" w:cs="Arial"/>
        </w:rPr>
        <w:t xml:space="preserve">incubated </w:t>
      </w:r>
      <w:r w:rsidRPr="00767488">
        <w:rPr>
          <w:rFonts w:ascii="Arial" w:hAnsi="Arial" w:cs="Arial" w:hint="eastAsia"/>
        </w:rPr>
        <w:t xml:space="preserve">with </w:t>
      </w:r>
      <w:r>
        <w:rPr>
          <w:rFonts w:ascii="Arial" w:hAnsi="Arial" w:cs="Arial"/>
          <w:lang w:val="el-GR"/>
        </w:rPr>
        <w:t>α</w:t>
      </w:r>
      <w:r w:rsidRPr="00767488">
        <w:rPr>
          <w:rFonts w:ascii="Arial" w:hAnsi="Arial" w:cs="Arial" w:hint="eastAsia"/>
        </w:rPr>
        <w:t>CD3</w:t>
      </w:r>
      <w:r w:rsidRPr="00767488">
        <w:rPr>
          <w:rFonts w:ascii="Arial" w:hAnsi="Arial" w:cs="Arial"/>
        </w:rPr>
        <w:t xml:space="preserve"> </w:t>
      </w:r>
      <w:r w:rsidRPr="00767488">
        <w:rPr>
          <w:rFonts w:ascii="Arial" w:hAnsi="Arial" w:cs="Arial" w:hint="eastAsia"/>
        </w:rPr>
        <w:t>primary antibody (</w:t>
      </w:r>
      <w:r w:rsidRPr="00767488">
        <w:rPr>
          <w:rFonts w:ascii="Arial" w:hAnsi="Arial" w:cs="Arial"/>
        </w:rPr>
        <w:t>Invitrogen</w:t>
      </w:r>
      <w:r w:rsidRPr="00767488">
        <w:rPr>
          <w:rFonts w:ascii="Arial" w:hAnsi="Arial" w:cs="Arial" w:hint="eastAsia"/>
        </w:rPr>
        <w:t>,</w:t>
      </w:r>
      <w:r w:rsidRPr="00767488">
        <w:rPr>
          <w:rFonts w:ascii="Arial" w:hAnsi="Arial" w:cs="Arial"/>
        </w:rPr>
        <w:t xml:space="preserve"> 14-0032-82</w:t>
      </w:r>
      <w:r w:rsidRPr="00767488">
        <w:rPr>
          <w:rFonts w:ascii="Arial" w:hAnsi="Arial" w:cs="Arial" w:hint="eastAsia"/>
        </w:rPr>
        <w:t>, 1:200) overnight at 4</w:t>
      </w:r>
      <w:r w:rsidRPr="00767488">
        <w:rPr>
          <w:rFonts w:ascii="Cambria Math" w:hAnsi="Cambria Math" w:cs="Cambria Math"/>
        </w:rPr>
        <w:t>℃</w:t>
      </w:r>
      <w:r w:rsidRPr="00767488">
        <w:rPr>
          <w:rFonts w:ascii="Arial" w:hAnsi="Arial" w:cs="Arial" w:hint="eastAsia"/>
        </w:rPr>
        <w:t xml:space="preserve">, washed three times with 1xPBS, followed by incubation with </w:t>
      </w:r>
      <w:r w:rsidRPr="00767488">
        <w:rPr>
          <w:rFonts w:ascii="Arial" w:hAnsi="Arial" w:cs="Arial"/>
        </w:rPr>
        <w:t>Anti-</w:t>
      </w:r>
      <w:r w:rsidRPr="00767488">
        <w:rPr>
          <w:rFonts w:ascii="Arial" w:hAnsi="Arial" w:cs="Arial" w:hint="eastAsia"/>
        </w:rPr>
        <w:t>r</w:t>
      </w:r>
      <w:r w:rsidRPr="00767488">
        <w:rPr>
          <w:rFonts w:ascii="Arial" w:hAnsi="Arial" w:cs="Arial"/>
        </w:rPr>
        <w:t>at AF488</w:t>
      </w:r>
      <w:r w:rsidRPr="00767488">
        <w:rPr>
          <w:rFonts w:ascii="Arial" w:hAnsi="Arial" w:cs="Arial" w:hint="eastAsia"/>
        </w:rPr>
        <w:t xml:space="preserve"> </w:t>
      </w:r>
      <w:bookmarkStart w:id="0" w:name="_Hlk172076543"/>
      <w:r w:rsidRPr="00767488">
        <w:rPr>
          <w:rFonts w:ascii="Arial" w:hAnsi="Arial" w:cs="Arial"/>
        </w:rPr>
        <w:t>secondary antibod</w:t>
      </w:r>
      <w:r w:rsidRPr="00767488">
        <w:rPr>
          <w:rFonts w:ascii="Arial" w:hAnsi="Arial" w:cs="Arial" w:hint="eastAsia"/>
        </w:rPr>
        <w:t>y</w:t>
      </w:r>
      <w:bookmarkEnd w:id="0"/>
      <w:r w:rsidRPr="00767488">
        <w:rPr>
          <w:rFonts w:ascii="Arial" w:hAnsi="Arial" w:cs="Arial"/>
        </w:rPr>
        <w:t xml:space="preserve"> </w:t>
      </w:r>
      <w:r w:rsidRPr="00767488">
        <w:rPr>
          <w:rFonts w:ascii="Arial" w:hAnsi="Arial" w:cs="Arial" w:hint="eastAsia"/>
        </w:rPr>
        <w:t>(</w:t>
      </w:r>
      <w:r w:rsidRPr="00767488">
        <w:rPr>
          <w:rFonts w:ascii="Arial" w:hAnsi="Arial" w:cs="Arial"/>
        </w:rPr>
        <w:t>Invitrogen, A-11006</w:t>
      </w:r>
      <w:r w:rsidRPr="00767488">
        <w:rPr>
          <w:rFonts w:ascii="Arial" w:hAnsi="Arial" w:cs="Arial" w:hint="eastAsia"/>
        </w:rPr>
        <w:t xml:space="preserve">, </w:t>
      </w:r>
      <w:r w:rsidRPr="00767488">
        <w:rPr>
          <w:rFonts w:ascii="Arial" w:hAnsi="Arial" w:cs="Arial"/>
        </w:rPr>
        <w:t>1:400</w:t>
      </w:r>
      <w:r w:rsidRPr="00767488">
        <w:rPr>
          <w:rFonts w:ascii="Arial" w:hAnsi="Arial" w:cs="Arial" w:hint="eastAsia"/>
        </w:rPr>
        <w:t xml:space="preserve">) for 45 min at room </w:t>
      </w:r>
      <w:r w:rsidRPr="00767488">
        <w:rPr>
          <w:rFonts w:ascii="Arial" w:hAnsi="Arial" w:cs="Arial"/>
        </w:rPr>
        <w:t>temperature and</w:t>
      </w:r>
      <w:r w:rsidRPr="00767488">
        <w:rPr>
          <w:rFonts w:ascii="Arial" w:hAnsi="Arial" w:cs="Arial" w:hint="eastAsia"/>
        </w:rPr>
        <w:t xml:space="preserve"> </w:t>
      </w:r>
      <w:r w:rsidRPr="00767488">
        <w:rPr>
          <w:rFonts w:ascii="Arial" w:hAnsi="Arial" w:cs="Arial"/>
        </w:rPr>
        <w:t>three</w:t>
      </w:r>
      <w:r w:rsidRPr="00767488">
        <w:rPr>
          <w:rFonts w:ascii="Arial" w:hAnsi="Arial" w:cs="Arial" w:hint="eastAsia"/>
        </w:rPr>
        <w:t xml:space="preserve"> </w:t>
      </w:r>
      <w:r w:rsidRPr="00767488">
        <w:rPr>
          <w:rFonts w:ascii="Arial" w:hAnsi="Arial" w:cs="Arial"/>
        </w:rPr>
        <w:t>washes</w:t>
      </w:r>
      <w:r w:rsidRPr="00767488">
        <w:rPr>
          <w:rFonts w:ascii="Arial" w:hAnsi="Arial" w:cs="Arial" w:hint="eastAsia"/>
        </w:rPr>
        <w:t xml:space="preserve"> in 1xPBS. The process was repeated with </w:t>
      </w:r>
      <w:r>
        <w:rPr>
          <w:rFonts w:ascii="Arial" w:hAnsi="Arial" w:cs="Arial"/>
          <w:lang w:val="el-GR"/>
        </w:rPr>
        <w:t>α</w:t>
      </w:r>
      <w:r w:rsidRPr="00767488">
        <w:rPr>
          <w:rFonts w:ascii="Arial" w:hAnsi="Arial" w:cs="Arial" w:hint="eastAsia"/>
        </w:rPr>
        <w:t xml:space="preserve">CD11c </w:t>
      </w:r>
      <w:bookmarkStart w:id="1" w:name="OLE_LINK2"/>
      <w:r w:rsidRPr="00767488">
        <w:rPr>
          <w:rFonts w:ascii="Arial" w:hAnsi="Arial" w:cs="Arial" w:hint="eastAsia"/>
        </w:rPr>
        <w:t>primary antibody</w:t>
      </w:r>
      <w:bookmarkEnd w:id="1"/>
      <w:r w:rsidRPr="00767488">
        <w:rPr>
          <w:rFonts w:ascii="Arial" w:hAnsi="Arial" w:cs="Arial" w:hint="eastAsia"/>
        </w:rPr>
        <w:t xml:space="preserve"> (Cell Signaling, 97585, 1:50) </w:t>
      </w:r>
      <w:r w:rsidRPr="00767488">
        <w:rPr>
          <w:rFonts w:ascii="Arial" w:hAnsi="Arial" w:cs="Arial"/>
        </w:rPr>
        <w:t xml:space="preserve">and </w:t>
      </w:r>
      <w:r w:rsidRPr="00767488">
        <w:rPr>
          <w:rFonts w:ascii="Arial" w:hAnsi="Arial" w:cs="Arial" w:hint="eastAsia"/>
        </w:rPr>
        <w:t>Anti-rabbit AF647 secondary antibody (I</w:t>
      </w:r>
      <w:r w:rsidRPr="00767488">
        <w:rPr>
          <w:rFonts w:ascii="Arial" w:hAnsi="Arial" w:cs="Arial"/>
        </w:rPr>
        <w:t>nvitrogen</w:t>
      </w:r>
      <w:r w:rsidRPr="00767488">
        <w:rPr>
          <w:rFonts w:ascii="Arial" w:hAnsi="Arial" w:cs="Arial" w:hint="eastAsia"/>
        </w:rPr>
        <w:t xml:space="preserve">, </w:t>
      </w:r>
      <w:r w:rsidRPr="00767488">
        <w:rPr>
          <w:rFonts w:ascii="Arial" w:hAnsi="Arial" w:cs="Arial"/>
        </w:rPr>
        <w:t>A32733</w:t>
      </w:r>
      <w:r w:rsidRPr="00767488">
        <w:rPr>
          <w:rFonts w:ascii="Arial" w:hAnsi="Arial" w:cs="Arial" w:hint="eastAsia"/>
        </w:rPr>
        <w:t>, 1:400</w:t>
      </w:r>
      <w:r w:rsidRPr="00767488">
        <w:rPr>
          <w:rFonts w:ascii="Arial" w:hAnsi="Arial" w:cs="Arial"/>
        </w:rPr>
        <w:t>)</w:t>
      </w:r>
      <w:r w:rsidRPr="00767488">
        <w:rPr>
          <w:rFonts w:ascii="Arial" w:hAnsi="Arial" w:cs="Arial" w:hint="eastAsia"/>
        </w:rPr>
        <w:t>.</w:t>
      </w:r>
      <w:r>
        <w:rPr>
          <w:rFonts w:ascii="Arial" w:hAnsi="Arial" w:cs="Arial"/>
        </w:rPr>
        <w:t xml:space="preserve"> Slides were counterstained with DAPI (</w:t>
      </w:r>
      <w:proofErr w:type="spellStart"/>
      <w:r>
        <w:rPr>
          <w:rFonts w:ascii="Arial" w:hAnsi="Arial" w:cs="Arial"/>
        </w:rPr>
        <w:t>ThermoFisher</w:t>
      </w:r>
      <w:proofErr w:type="spellEnd"/>
      <w:r>
        <w:rPr>
          <w:rFonts w:ascii="Arial" w:hAnsi="Arial" w:cs="Arial"/>
        </w:rPr>
        <w:t xml:space="preserve"> Scientific) at </w:t>
      </w:r>
      <w:r w:rsidRPr="00767488">
        <w:rPr>
          <w:rFonts w:ascii="Arial" w:hAnsi="Arial" w:cs="Arial" w:hint="eastAsia"/>
        </w:rPr>
        <w:t>1</w:t>
      </w:r>
      <w:r w:rsidRPr="00767488">
        <w:rPr>
          <w:rFonts w:ascii="Arial" w:hAnsi="Arial" w:cs="Arial"/>
        </w:rPr>
        <w:t>μ</w:t>
      </w:r>
      <w:r w:rsidRPr="00767488">
        <w:rPr>
          <w:rFonts w:ascii="Arial" w:hAnsi="Arial" w:cs="Arial" w:hint="eastAsia"/>
        </w:rPr>
        <w:t>g/ml</w:t>
      </w:r>
      <w:r>
        <w:rPr>
          <w:rFonts w:ascii="Arial" w:hAnsi="Arial" w:cs="Arial"/>
        </w:rPr>
        <w:t xml:space="preserve"> for 5 minutes and were mounted </w:t>
      </w:r>
      <w:r w:rsidRPr="00767488">
        <w:rPr>
          <w:rFonts w:ascii="Arial" w:hAnsi="Arial" w:cs="Arial" w:hint="eastAsia"/>
        </w:rPr>
        <w:t xml:space="preserve">with </w:t>
      </w:r>
      <w:proofErr w:type="spellStart"/>
      <w:r w:rsidRPr="00767488">
        <w:rPr>
          <w:rFonts w:ascii="Arial" w:hAnsi="Arial" w:cs="Arial"/>
        </w:rPr>
        <w:t>EverBrite</w:t>
      </w:r>
      <w:proofErr w:type="spellEnd"/>
      <w:r w:rsidRPr="00767488">
        <w:rPr>
          <w:rFonts w:ascii="Arial" w:hAnsi="Arial" w:cs="Arial"/>
        </w:rPr>
        <w:t xml:space="preserve">™ </w:t>
      </w:r>
      <w:proofErr w:type="spellStart"/>
      <w:r w:rsidRPr="00767488">
        <w:rPr>
          <w:rFonts w:ascii="Arial" w:hAnsi="Arial" w:cs="Arial"/>
        </w:rPr>
        <w:t>Hardset</w:t>
      </w:r>
      <w:proofErr w:type="spellEnd"/>
      <w:r w:rsidRPr="00767488">
        <w:rPr>
          <w:rFonts w:ascii="Arial" w:hAnsi="Arial" w:cs="Arial"/>
        </w:rPr>
        <w:t xml:space="preserve"> Mounting Medium</w:t>
      </w:r>
      <w:r>
        <w:rPr>
          <w:rFonts w:ascii="Arial" w:hAnsi="Arial" w:cs="Arial"/>
        </w:rPr>
        <w:t xml:space="preserve"> (</w:t>
      </w:r>
      <w:proofErr w:type="spellStart"/>
      <w:r>
        <w:rPr>
          <w:rFonts w:ascii="Arial" w:hAnsi="Arial" w:cs="Arial"/>
        </w:rPr>
        <w:t>Biotium</w:t>
      </w:r>
      <w:proofErr w:type="spellEnd"/>
      <w:r>
        <w:rPr>
          <w:rFonts w:ascii="Arial" w:hAnsi="Arial" w:cs="Arial"/>
        </w:rPr>
        <w:t>, Fremont, CA)</w:t>
      </w:r>
      <w:r w:rsidRPr="00767488">
        <w:rPr>
          <w:rFonts w:ascii="Arial" w:hAnsi="Arial" w:cs="Arial" w:hint="eastAsia"/>
        </w:rPr>
        <w:t>. S</w:t>
      </w:r>
      <w:r w:rsidRPr="00767488">
        <w:rPr>
          <w:rFonts w:ascii="Arial" w:hAnsi="Arial" w:cs="Arial"/>
        </w:rPr>
        <w:t xml:space="preserve">lides </w:t>
      </w:r>
      <w:r w:rsidRPr="00767488">
        <w:rPr>
          <w:rFonts w:ascii="Arial" w:hAnsi="Arial" w:cs="Arial" w:hint="eastAsia"/>
        </w:rPr>
        <w:t>stained</w:t>
      </w:r>
      <w:r w:rsidRPr="00767488">
        <w:rPr>
          <w:rFonts w:ascii="Arial" w:hAnsi="Arial" w:cs="Arial"/>
        </w:rPr>
        <w:t xml:space="preserve"> with </w:t>
      </w:r>
      <w:r w:rsidRPr="00767488">
        <w:rPr>
          <w:rFonts w:ascii="Arial" w:hAnsi="Arial" w:cs="Arial" w:hint="eastAsia"/>
        </w:rPr>
        <w:t xml:space="preserve">CD3 or CD11c </w:t>
      </w:r>
      <w:r w:rsidRPr="00767488">
        <w:rPr>
          <w:rFonts w:ascii="Arial" w:hAnsi="Arial" w:cs="Arial"/>
        </w:rPr>
        <w:t xml:space="preserve">primary antibodies and </w:t>
      </w:r>
      <w:r w:rsidRPr="00767488">
        <w:rPr>
          <w:rFonts w:ascii="Arial" w:hAnsi="Arial" w:cs="Arial" w:hint="eastAsia"/>
        </w:rPr>
        <w:t xml:space="preserve">both </w:t>
      </w:r>
      <w:r w:rsidRPr="00767488">
        <w:rPr>
          <w:rFonts w:ascii="Arial" w:hAnsi="Arial" w:cs="Arial"/>
        </w:rPr>
        <w:t>secondary</w:t>
      </w:r>
      <w:r w:rsidRPr="00767488">
        <w:rPr>
          <w:rFonts w:ascii="Arial" w:hAnsi="Arial" w:cs="Arial" w:hint="eastAsia"/>
        </w:rPr>
        <w:t xml:space="preserve"> </w:t>
      </w:r>
      <w:r w:rsidRPr="00767488">
        <w:rPr>
          <w:rFonts w:ascii="Arial" w:hAnsi="Arial" w:cs="Arial"/>
        </w:rPr>
        <w:t>antibodies</w:t>
      </w:r>
      <w:r w:rsidRPr="00767488">
        <w:rPr>
          <w:rFonts w:ascii="Arial" w:hAnsi="Arial" w:cs="Arial" w:hint="eastAsia"/>
        </w:rPr>
        <w:t xml:space="preserve"> </w:t>
      </w:r>
      <w:r w:rsidRPr="00767488">
        <w:rPr>
          <w:rFonts w:ascii="Arial" w:hAnsi="Arial" w:cs="Arial"/>
        </w:rPr>
        <w:t>were included as negative</w:t>
      </w:r>
      <w:r w:rsidRPr="00767488">
        <w:rPr>
          <w:rFonts w:ascii="Arial" w:hAnsi="Arial" w:cs="Arial" w:hint="eastAsia"/>
        </w:rPr>
        <w:t xml:space="preserve"> </w:t>
      </w:r>
      <w:r w:rsidRPr="00767488">
        <w:rPr>
          <w:rFonts w:ascii="Arial" w:hAnsi="Arial" w:cs="Arial"/>
        </w:rPr>
        <w:t>controls</w:t>
      </w:r>
      <w:r w:rsidRPr="00767488">
        <w:rPr>
          <w:rFonts w:ascii="Arial" w:hAnsi="Arial" w:cs="Arial" w:hint="eastAsia"/>
        </w:rPr>
        <w:t xml:space="preserve"> for staining (Supplementary Fig. 2).</w:t>
      </w:r>
    </w:p>
    <w:p w14:paraId="20AB458E" w14:textId="77777777" w:rsidR="00067AE7" w:rsidRPr="006D01B5" w:rsidRDefault="00067AE7" w:rsidP="00067AE7">
      <w:pPr>
        <w:spacing w:line="480" w:lineRule="auto"/>
        <w:jc w:val="both"/>
        <w:rPr>
          <w:rFonts w:ascii="Arial" w:hAnsi="Arial" w:cs="Arial"/>
          <w:b/>
          <w:bCs/>
        </w:rPr>
      </w:pPr>
      <w:r w:rsidRPr="006D01B5">
        <w:rPr>
          <w:rFonts w:ascii="Arial" w:hAnsi="Arial" w:cs="Arial"/>
          <w:b/>
          <w:bCs/>
        </w:rPr>
        <w:t>Database Collection</w:t>
      </w:r>
    </w:p>
    <w:p w14:paraId="51797537" w14:textId="2ED782F5" w:rsidR="004852D8" w:rsidRDefault="00067AE7" w:rsidP="00067AE7">
      <w:pPr>
        <w:spacing w:line="480" w:lineRule="auto"/>
        <w:jc w:val="both"/>
        <w:rPr>
          <w:rFonts w:ascii="Arial" w:hAnsi="Arial" w:cs="Arial"/>
        </w:rPr>
      </w:pPr>
      <w:r w:rsidRPr="005169BE">
        <w:rPr>
          <w:rFonts w:ascii="Arial" w:hAnsi="Arial" w:cs="Arial"/>
        </w:rPr>
        <w:t xml:space="preserve">Gene expression profiles and survival data of </w:t>
      </w:r>
      <w:r w:rsidRPr="0031667E">
        <w:rPr>
          <w:rFonts w:ascii="Arial" w:hAnsi="Arial" w:cs="Arial"/>
          <w:u w:val="single"/>
        </w:rPr>
        <w:t>T</w:t>
      </w:r>
      <w:r w:rsidRPr="005169BE">
        <w:rPr>
          <w:rFonts w:ascii="Arial" w:hAnsi="Arial" w:cs="Arial"/>
        </w:rPr>
        <w:t xml:space="preserve">he </w:t>
      </w:r>
      <w:r w:rsidRPr="0031667E">
        <w:rPr>
          <w:rFonts w:ascii="Arial" w:hAnsi="Arial" w:cs="Arial"/>
          <w:u w:val="single"/>
        </w:rPr>
        <w:t>C</w:t>
      </w:r>
      <w:r w:rsidRPr="005169BE">
        <w:rPr>
          <w:rFonts w:ascii="Arial" w:hAnsi="Arial" w:cs="Arial"/>
        </w:rPr>
        <w:t xml:space="preserve">ancer </w:t>
      </w:r>
      <w:r w:rsidRPr="0031667E">
        <w:rPr>
          <w:rFonts w:ascii="Arial" w:hAnsi="Arial" w:cs="Arial"/>
          <w:u w:val="single"/>
        </w:rPr>
        <w:t>G</w:t>
      </w:r>
      <w:r w:rsidRPr="005169BE">
        <w:rPr>
          <w:rFonts w:ascii="Arial" w:hAnsi="Arial" w:cs="Arial"/>
        </w:rPr>
        <w:t xml:space="preserve">enome </w:t>
      </w:r>
      <w:r w:rsidRPr="0031667E">
        <w:rPr>
          <w:rFonts w:ascii="Arial" w:hAnsi="Arial" w:cs="Arial"/>
          <w:u w:val="single"/>
        </w:rPr>
        <w:t>A</w:t>
      </w:r>
      <w:r w:rsidRPr="005169BE">
        <w:rPr>
          <w:rFonts w:ascii="Arial" w:hAnsi="Arial" w:cs="Arial"/>
        </w:rPr>
        <w:t xml:space="preserve">tlas </w:t>
      </w:r>
      <w:r w:rsidRPr="0031667E">
        <w:rPr>
          <w:rFonts w:ascii="Arial" w:hAnsi="Arial" w:cs="Arial"/>
          <w:u w:val="single"/>
        </w:rPr>
        <w:t>Sk</w:t>
      </w:r>
      <w:r w:rsidRPr="005169BE">
        <w:rPr>
          <w:rFonts w:ascii="Arial" w:hAnsi="Arial" w:cs="Arial"/>
        </w:rPr>
        <w:t xml:space="preserve">in </w:t>
      </w:r>
      <w:r w:rsidRPr="0031667E">
        <w:rPr>
          <w:rFonts w:ascii="Arial" w:hAnsi="Arial" w:cs="Arial"/>
          <w:u w:val="single"/>
        </w:rPr>
        <w:t>C</w:t>
      </w:r>
      <w:r w:rsidRPr="005169BE">
        <w:rPr>
          <w:rFonts w:ascii="Arial" w:hAnsi="Arial" w:cs="Arial"/>
        </w:rPr>
        <w:t xml:space="preserve">utaneous </w:t>
      </w:r>
      <w:r w:rsidRPr="0031667E">
        <w:rPr>
          <w:rFonts w:ascii="Arial" w:hAnsi="Arial" w:cs="Arial"/>
          <w:u w:val="single"/>
        </w:rPr>
        <w:t>M</w:t>
      </w:r>
      <w:r w:rsidRPr="005169BE">
        <w:rPr>
          <w:rFonts w:ascii="Arial" w:hAnsi="Arial" w:cs="Arial"/>
        </w:rPr>
        <w:t>elanoma (TCGA-SKCM) cohort were downloaded from the UCSC Xena browser (</w:t>
      </w:r>
      <w:hyperlink r:id="rId4" w:history="1">
        <w:r w:rsidRPr="004208CC">
          <w:rPr>
            <w:rStyle w:val="Hyperlink"/>
            <w:rFonts w:ascii="Arial" w:hAnsi="Arial" w:cs="Arial"/>
          </w:rPr>
          <w:t>https://gdc.xenahubs.net</w:t>
        </w:r>
      </w:hyperlink>
      <w:r w:rsidRPr="005169BE">
        <w:rPr>
          <w:rFonts w:ascii="Arial" w:hAnsi="Arial" w:cs="Arial"/>
        </w:rPr>
        <w:t>).</w:t>
      </w:r>
      <w:r>
        <w:rPr>
          <w:rFonts w:ascii="Arial" w:hAnsi="Arial" w:cs="Arial"/>
        </w:rPr>
        <w:t xml:space="preserve"> </w:t>
      </w:r>
      <w:r w:rsidRPr="005169BE">
        <w:rPr>
          <w:rFonts w:ascii="Arial" w:hAnsi="Arial" w:cs="Arial"/>
        </w:rPr>
        <w:t xml:space="preserve">Kaplan-Meier survival analysis and log-rank test were performed using GEPIA (http://gepia.cancer-pku.cn/index.html) to assess survival and risk difference between subgroups. The median of CD11c (ITGAX) expression was selected as a cutoff value for groups with high and low ITGAX expression levels.  For immune checkpoint inhibitors (ICI) treated patient cohorts, data were obtained </w:t>
      </w:r>
      <w:r w:rsidRPr="00041A41">
        <w:rPr>
          <w:rFonts w:ascii="Arial" w:hAnsi="Arial" w:cs="Arial"/>
        </w:rPr>
        <w:t xml:space="preserve">from </w:t>
      </w:r>
      <w:proofErr w:type="spellStart"/>
      <w:r w:rsidRPr="00041A41">
        <w:rPr>
          <w:rFonts w:ascii="Arial" w:hAnsi="Arial" w:cs="Arial"/>
        </w:rPr>
        <w:t>Kovács</w:t>
      </w:r>
      <w:proofErr w:type="spellEnd"/>
      <w:r w:rsidRPr="00041A41">
        <w:rPr>
          <w:rFonts w:ascii="Arial" w:hAnsi="Arial" w:cs="Arial"/>
        </w:rPr>
        <w:t xml:space="preserve"> et al. (2023) </w:t>
      </w:r>
      <w:sdt>
        <w:sdtPr>
          <w:rPr>
            <w:rFonts w:ascii="Arial" w:hAnsi="Arial" w:cs="Arial"/>
          </w:rPr>
          <w:alias w:val="SmartCite Citation"/>
          <w:tag w:val="3d302615-e416-4158-a519-2baa0b15df97:2bd0b32f-41ac-44fd-a3f3-77e20be006d6+"/>
          <w:id w:val="-1937202651"/>
          <w:placeholder>
            <w:docPart w:val="FAB6544EA8E04E46ACE577931ACFD752"/>
          </w:placeholder>
        </w:sdtPr>
        <w:sdtContent>
          <w:r w:rsidRPr="009855B2">
            <w:rPr>
              <w:rFonts w:ascii="Arial" w:eastAsia="Times New Roman" w:hAnsi="Arial" w:cs="Arial"/>
            </w:rPr>
            <w:t>[1]</w:t>
          </w:r>
        </w:sdtContent>
      </w:sdt>
      <w:r>
        <w:rPr>
          <w:rFonts w:ascii="Arial" w:hAnsi="Arial" w:cs="Arial"/>
        </w:rPr>
        <w:t xml:space="preserve"> </w:t>
      </w:r>
      <w:r w:rsidRPr="00041A41">
        <w:rPr>
          <w:rFonts w:ascii="Arial" w:hAnsi="Arial" w:cs="Arial"/>
        </w:rPr>
        <w:t>including</w:t>
      </w:r>
      <w:r w:rsidRPr="005169BE">
        <w:rPr>
          <w:rFonts w:ascii="Arial" w:hAnsi="Arial" w:cs="Arial"/>
        </w:rPr>
        <w:t xml:space="preserve"> samples derived from 10 independent melanoma datasets (n=570, 345 non-responders and 225 </w:t>
      </w:r>
      <w:r w:rsidRPr="005169BE">
        <w:rPr>
          <w:rFonts w:ascii="Arial" w:hAnsi="Arial" w:cs="Arial"/>
        </w:rPr>
        <w:lastRenderedPageBreak/>
        <w:t>responders). The original datasets are available from the NCBI Gene Expression Omnibus (GEO) database.</w:t>
      </w:r>
    </w:p>
    <w:p w14:paraId="4AE0C0D2" w14:textId="6F23646B" w:rsidR="004852D8" w:rsidRPr="00F76FC1" w:rsidRDefault="004852D8" w:rsidP="00067AE7">
      <w:pPr>
        <w:spacing w:line="480" w:lineRule="auto"/>
        <w:jc w:val="both"/>
        <w:rPr>
          <w:rFonts w:ascii="Arial" w:hAnsi="Arial" w:cs="Arial"/>
          <w:b/>
          <w:bCs/>
        </w:rPr>
      </w:pPr>
      <w:r>
        <w:rPr>
          <w:rFonts w:ascii="Arial" w:hAnsi="Arial" w:cs="Arial"/>
          <w:b/>
          <w:bCs/>
        </w:rPr>
        <w:t>Supplementary Figure Legends:</w:t>
      </w:r>
    </w:p>
    <w:p w14:paraId="0ABFA962" w14:textId="77777777" w:rsidR="004852D8" w:rsidRPr="004852D8" w:rsidRDefault="004852D8" w:rsidP="004852D8">
      <w:pPr>
        <w:spacing w:line="480" w:lineRule="auto"/>
        <w:jc w:val="both"/>
        <w:rPr>
          <w:rFonts w:ascii="Arial" w:hAnsi="Arial" w:cs="Arial"/>
        </w:rPr>
      </w:pPr>
      <w:r w:rsidRPr="004852D8">
        <w:rPr>
          <w:rFonts w:ascii="Arial" w:hAnsi="Arial" w:cs="Arial"/>
          <w:b/>
          <w:bCs/>
        </w:rPr>
        <w:t>Supplementary Table</w:t>
      </w:r>
      <w:r w:rsidRPr="004852D8">
        <w:rPr>
          <w:rFonts w:ascii="Arial" w:hAnsi="Arial" w:cs="Arial"/>
        </w:rPr>
        <w:t>: Flow cytometry antibody information and panel constructions</w:t>
      </w:r>
    </w:p>
    <w:p w14:paraId="75D1B9B1" w14:textId="77777777" w:rsidR="004852D8" w:rsidRPr="004852D8" w:rsidRDefault="004852D8" w:rsidP="004852D8">
      <w:pPr>
        <w:spacing w:line="480" w:lineRule="auto"/>
        <w:jc w:val="both"/>
        <w:rPr>
          <w:rFonts w:ascii="Arial" w:hAnsi="Arial" w:cs="Arial"/>
        </w:rPr>
      </w:pPr>
      <w:r w:rsidRPr="004852D8">
        <w:rPr>
          <w:rFonts w:ascii="Arial" w:hAnsi="Arial" w:cs="Arial"/>
          <w:b/>
          <w:bCs/>
        </w:rPr>
        <w:t>Supplementary Figure 1:</w:t>
      </w:r>
      <w:r w:rsidRPr="004852D8">
        <w:rPr>
          <w:rFonts w:ascii="Arial" w:hAnsi="Arial" w:cs="Arial"/>
        </w:rPr>
        <w:t xml:space="preserve"> Flow cytometry gating structure and stimulation protocols for the datasets. Cells were gated by </w:t>
      </w:r>
      <w:proofErr w:type="spellStart"/>
      <w:r w:rsidRPr="004852D8">
        <w:rPr>
          <w:rFonts w:ascii="Arial" w:hAnsi="Arial" w:cs="Arial"/>
        </w:rPr>
        <w:t>FSCxSSC</w:t>
      </w:r>
      <w:proofErr w:type="spellEnd"/>
      <w:r w:rsidRPr="004852D8">
        <w:rPr>
          <w:rFonts w:ascii="Arial" w:hAnsi="Arial" w:cs="Arial"/>
        </w:rPr>
        <w:t xml:space="preserve"> lymphocytes, single cells, and live cells followed by positivity for CD3, CD8, and CD11c. The population positive for all three were further analyzed by CD62L and CD44 in tumor suspensions and for activation markers (41BB, KLRG1, IFN</w:t>
      </w:r>
      <w:r w:rsidRPr="004852D8">
        <w:rPr>
          <w:rFonts w:ascii="Arial" w:hAnsi="Arial" w:cs="Arial"/>
          <w:lang w:val="el-GR"/>
        </w:rPr>
        <w:t>γ</w:t>
      </w:r>
      <w:r w:rsidRPr="004852D8">
        <w:rPr>
          <w:rFonts w:ascii="Arial" w:hAnsi="Arial" w:cs="Arial"/>
        </w:rPr>
        <w:t>) in splenocytes. Splenocytes were stimulated using a cocktail of gp100</w:t>
      </w:r>
      <w:r w:rsidRPr="004852D8">
        <w:rPr>
          <w:rFonts w:ascii="Arial" w:hAnsi="Arial" w:cs="Arial"/>
          <w:vertAlign w:val="subscript"/>
        </w:rPr>
        <w:t>25-33</w:t>
      </w:r>
      <w:r w:rsidRPr="004852D8">
        <w:rPr>
          <w:rFonts w:ascii="Arial" w:hAnsi="Arial" w:cs="Arial"/>
        </w:rPr>
        <w:t>, Trp2</w:t>
      </w:r>
      <w:r w:rsidRPr="004852D8">
        <w:rPr>
          <w:rFonts w:ascii="Arial" w:hAnsi="Arial" w:cs="Arial"/>
          <w:vertAlign w:val="subscript"/>
        </w:rPr>
        <w:t>180-188</w:t>
      </w:r>
      <w:r w:rsidRPr="004852D8">
        <w:rPr>
          <w:rFonts w:ascii="Arial" w:hAnsi="Arial" w:cs="Arial"/>
        </w:rPr>
        <w:t>, costimulatory antibodies, and cell transport inhibitor for 5 hours with or without cell transport inhibitor. Cell counts were normalized and represented as counts per 100,000 viable, single, lymphocytes.</w:t>
      </w:r>
    </w:p>
    <w:p w14:paraId="09CDA8C4" w14:textId="77777777" w:rsidR="004852D8" w:rsidRPr="004852D8" w:rsidRDefault="004852D8" w:rsidP="004852D8">
      <w:pPr>
        <w:spacing w:line="480" w:lineRule="auto"/>
        <w:jc w:val="both"/>
        <w:rPr>
          <w:rFonts w:ascii="Arial" w:hAnsi="Arial" w:cs="Arial"/>
        </w:rPr>
      </w:pPr>
      <w:r w:rsidRPr="004852D8">
        <w:rPr>
          <w:rFonts w:ascii="Arial" w:hAnsi="Arial" w:cs="Arial"/>
          <w:b/>
          <w:bCs/>
        </w:rPr>
        <w:t>Supplementary Figure 2:</w:t>
      </w:r>
      <w:r w:rsidRPr="004852D8">
        <w:rPr>
          <w:rFonts w:ascii="Arial" w:hAnsi="Arial" w:cs="Arial"/>
        </w:rPr>
        <w:t xml:space="preserve"> Negative and autofluorescence controls for immunofluorescence staining of T cells and CD11c+ cells. Cells were stained by antibodies to CD3 (green) or CD11c (red) with both secondary antibodies and DAPI (cyan). x400 total magnification. NG: negative controls</w:t>
      </w:r>
    </w:p>
    <w:p w14:paraId="31D019EE" w14:textId="77777777" w:rsidR="004852D8" w:rsidRPr="004852D8" w:rsidRDefault="004852D8" w:rsidP="004852D8">
      <w:pPr>
        <w:spacing w:line="480" w:lineRule="auto"/>
        <w:jc w:val="both"/>
        <w:rPr>
          <w:rFonts w:ascii="Arial" w:hAnsi="Arial" w:cs="Arial"/>
        </w:rPr>
      </w:pPr>
      <w:r w:rsidRPr="004852D8">
        <w:rPr>
          <w:rFonts w:ascii="Arial" w:hAnsi="Arial" w:cs="Arial"/>
          <w:b/>
          <w:bCs/>
        </w:rPr>
        <w:t xml:space="preserve">Supplementary Figure 3: </w:t>
      </w:r>
      <w:r w:rsidRPr="004852D8">
        <w:rPr>
          <w:rFonts w:ascii="Arial" w:hAnsi="Arial" w:cs="Arial"/>
        </w:rPr>
        <w:t>Kaplan–Meier analysis of the relationship between CD11c (ITGAX) expression and OS in SKCM. Data from TCGA-SKCM database, with sample size and statistics on the graph. Dotted lines represent 95% CI of survival curves.</w:t>
      </w:r>
    </w:p>
    <w:p w14:paraId="02FBA398" w14:textId="1CC7C72D" w:rsidR="004852D8" w:rsidRPr="00470025" w:rsidRDefault="004852D8" w:rsidP="00470025">
      <w:pPr>
        <w:spacing w:line="480" w:lineRule="auto"/>
        <w:jc w:val="both"/>
        <w:rPr>
          <w:rFonts w:ascii="Arial" w:hAnsi="Arial" w:cs="Arial"/>
        </w:rPr>
      </w:pPr>
      <w:r w:rsidRPr="004852D8">
        <w:rPr>
          <w:rFonts w:ascii="Arial" w:hAnsi="Arial" w:cs="Arial"/>
          <w:b/>
          <w:bCs/>
        </w:rPr>
        <w:t xml:space="preserve">Supplementary Figure 4: </w:t>
      </w:r>
      <w:r w:rsidRPr="004852D8">
        <w:rPr>
          <w:rFonts w:ascii="Arial" w:hAnsi="Arial" w:cs="Arial"/>
        </w:rPr>
        <w:t xml:space="preserve"> The difference in CD11c (ITGAX) expression levels between responders and non-responders of (A) anti-PD-1 and (B) anti-CTLA-4 therapy. Data were obtained from </w:t>
      </w:r>
      <w:proofErr w:type="spellStart"/>
      <w:r w:rsidRPr="004852D8">
        <w:rPr>
          <w:rFonts w:ascii="Arial" w:hAnsi="Arial" w:cs="Arial"/>
        </w:rPr>
        <w:t>Kovács</w:t>
      </w:r>
      <w:proofErr w:type="spellEnd"/>
      <w:r w:rsidRPr="004852D8">
        <w:rPr>
          <w:rFonts w:ascii="Arial" w:hAnsi="Arial" w:cs="Arial"/>
        </w:rPr>
        <w:t xml:space="preserve"> et al. (2023) (Supp. Ref [1]), including samples derived from 10 independent melanoma datasets (n=570, 345 non-responders and 225 responders). (**** P&lt; 0.0001)</w:t>
      </w:r>
    </w:p>
    <w:p w14:paraId="0690F06F" w14:textId="671DF2E2" w:rsidR="00067AE7" w:rsidRPr="00A126C8" w:rsidRDefault="00067AE7" w:rsidP="00067AE7">
      <w:pPr>
        <w:rPr>
          <w:rFonts w:ascii="Calibri" w:eastAsia="Times New Roman" w:hAnsi="Calibri" w:cs="Calibri"/>
          <w:b/>
          <w:bCs/>
          <w:szCs w:val="24"/>
        </w:rPr>
      </w:pPr>
      <w:r>
        <w:rPr>
          <w:b/>
          <w:bCs/>
        </w:rPr>
        <w:lastRenderedPageBreak/>
        <w:t>Supplement References</w:t>
      </w:r>
    </w:p>
    <w:p w14:paraId="01648F52" w14:textId="77777777" w:rsidR="00067AE7" w:rsidRPr="009855B2" w:rsidRDefault="00067AE7" w:rsidP="00067AE7">
      <w:pPr>
        <w:pStyle w:val="Bibliography1"/>
        <w:rPr>
          <w:rFonts w:ascii="Calibri" w:hAnsi="Calibri" w:cs="Calibri"/>
          <w:sz w:val="22"/>
        </w:rPr>
      </w:pPr>
      <w:r w:rsidRPr="009855B2">
        <w:rPr>
          <w:rFonts w:ascii="Calibri" w:hAnsi="Calibri" w:cs="Calibri"/>
          <w:sz w:val="22"/>
        </w:rPr>
        <w:t xml:space="preserve">1. </w:t>
      </w:r>
      <w:proofErr w:type="spellStart"/>
      <w:r w:rsidRPr="009855B2">
        <w:rPr>
          <w:rFonts w:ascii="Calibri" w:hAnsi="Calibri" w:cs="Calibri"/>
          <w:sz w:val="22"/>
        </w:rPr>
        <w:t>Kovács</w:t>
      </w:r>
      <w:proofErr w:type="spellEnd"/>
      <w:r w:rsidRPr="009855B2">
        <w:rPr>
          <w:rFonts w:ascii="Calibri" w:hAnsi="Calibri" w:cs="Calibri"/>
          <w:sz w:val="22"/>
        </w:rPr>
        <w:t xml:space="preserve"> SA, Fekete JT, </w:t>
      </w:r>
      <w:proofErr w:type="spellStart"/>
      <w:r w:rsidRPr="009855B2">
        <w:rPr>
          <w:rFonts w:ascii="Calibri" w:hAnsi="Calibri" w:cs="Calibri"/>
          <w:sz w:val="22"/>
        </w:rPr>
        <w:t>Győrffy</w:t>
      </w:r>
      <w:proofErr w:type="spellEnd"/>
      <w:r w:rsidRPr="009855B2">
        <w:rPr>
          <w:rFonts w:ascii="Calibri" w:hAnsi="Calibri" w:cs="Calibri"/>
          <w:sz w:val="22"/>
        </w:rPr>
        <w:t xml:space="preserve"> B (2023) Predictive biomarkers of immunotherapy response with pharmacological applications in solid tumors. Acta </w:t>
      </w:r>
      <w:proofErr w:type="spellStart"/>
      <w:r w:rsidRPr="009855B2">
        <w:rPr>
          <w:rFonts w:ascii="Calibri" w:hAnsi="Calibri" w:cs="Calibri"/>
          <w:sz w:val="22"/>
        </w:rPr>
        <w:t>Pharmacol</w:t>
      </w:r>
      <w:proofErr w:type="spellEnd"/>
      <w:r w:rsidRPr="009855B2">
        <w:rPr>
          <w:rFonts w:ascii="Calibri" w:hAnsi="Calibri" w:cs="Calibri"/>
          <w:sz w:val="22"/>
        </w:rPr>
        <w:t xml:space="preserve"> Sin 44:1879–1889. </w:t>
      </w:r>
      <w:hyperlink r:id="rId5" w:history="1">
        <w:r w:rsidRPr="009855B2">
          <w:rPr>
            <w:rStyle w:val="Hyperlink"/>
            <w:rFonts w:ascii="Calibri" w:hAnsi="Calibri" w:cs="Calibri"/>
            <w:sz w:val="22"/>
          </w:rPr>
          <w:t>https://doi.org/10.1038/s41401-023-01079-6</w:t>
        </w:r>
      </w:hyperlink>
    </w:p>
    <w:p w14:paraId="2E219FAC" w14:textId="77777777" w:rsidR="00A41C06" w:rsidRDefault="00A41C06"/>
    <w:sectPr w:rsidR="00A41C06" w:rsidSect="00F818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7"/>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AE7"/>
    <w:rsid w:val="00022C9B"/>
    <w:rsid w:val="00023F15"/>
    <w:rsid w:val="00067AE7"/>
    <w:rsid w:val="00085217"/>
    <w:rsid w:val="000B284B"/>
    <w:rsid w:val="000D7DB5"/>
    <w:rsid w:val="000E6EC3"/>
    <w:rsid w:val="00157C53"/>
    <w:rsid w:val="00177AA5"/>
    <w:rsid w:val="001A2B62"/>
    <w:rsid w:val="001B5357"/>
    <w:rsid w:val="001F2242"/>
    <w:rsid w:val="002248DA"/>
    <w:rsid w:val="00240A29"/>
    <w:rsid w:val="002C3AF9"/>
    <w:rsid w:val="00422A5F"/>
    <w:rsid w:val="004576CA"/>
    <w:rsid w:val="00470025"/>
    <w:rsid w:val="00475251"/>
    <w:rsid w:val="00481811"/>
    <w:rsid w:val="00483712"/>
    <w:rsid w:val="004852D8"/>
    <w:rsid w:val="004D5DA4"/>
    <w:rsid w:val="00535322"/>
    <w:rsid w:val="00550929"/>
    <w:rsid w:val="00574CCB"/>
    <w:rsid w:val="00602655"/>
    <w:rsid w:val="007042F7"/>
    <w:rsid w:val="0072397A"/>
    <w:rsid w:val="00724D0A"/>
    <w:rsid w:val="00776800"/>
    <w:rsid w:val="007A2482"/>
    <w:rsid w:val="007F1672"/>
    <w:rsid w:val="00800C19"/>
    <w:rsid w:val="00872499"/>
    <w:rsid w:val="008F7E3F"/>
    <w:rsid w:val="00903763"/>
    <w:rsid w:val="009B18BB"/>
    <w:rsid w:val="009B2AB0"/>
    <w:rsid w:val="009E3AD2"/>
    <w:rsid w:val="00A41C06"/>
    <w:rsid w:val="00AC566E"/>
    <w:rsid w:val="00B17594"/>
    <w:rsid w:val="00B67E2D"/>
    <w:rsid w:val="00B9351B"/>
    <w:rsid w:val="00BF4CDA"/>
    <w:rsid w:val="00C53CA7"/>
    <w:rsid w:val="00CA22AA"/>
    <w:rsid w:val="00CF0A17"/>
    <w:rsid w:val="00CF10A3"/>
    <w:rsid w:val="00D34800"/>
    <w:rsid w:val="00E21B34"/>
    <w:rsid w:val="00E81ADD"/>
    <w:rsid w:val="00EE78C9"/>
    <w:rsid w:val="00F1338B"/>
    <w:rsid w:val="00F42868"/>
    <w:rsid w:val="00F54FF6"/>
    <w:rsid w:val="00F81899"/>
    <w:rsid w:val="00FC20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9338C4"/>
  <w15:chartTrackingRefBased/>
  <w15:docId w15:val="{57E2165D-AFF2-E141-BF9D-D390BACFD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AE7"/>
    <w:pPr>
      <w:spacing w:after="160" w:line="259"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7AE7"/>
    <w:rPr>
      <w:color w:val="467886" w:themeColor="hyperlink"/>
      <w:u w:val="single"/>
    </w:rPr>
  </w:style>
  <w:style w:type="paragraph" w:customStyle="1" w:styleId="Bibliography1">
    <w:name w:val="Bibliography1"/>
    <w:basedOn w:val="Normal"/>
    <w:rsid w:val="00067AE7"/>
    <w:pPr>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oi.org/10.1038/s41401-023-01079-6" TargetMode="External"/><Relationship Id="rId4" Type="http://schemas.openxmlformats.org/officeDocument/2006/relationships/hyperlink" Target="https://gdc.xenahubs.ne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gordy/Library/Group%20Containers/UBF8T346G9.Office/User%20Content.localized/Templates.localized/Normal.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FAB6544EA8E04E46ACE577931ACFD752"/>
        <w:category>
          <w:name w:val="General"/>
          <w:gallery w:val="placeholder"/>
        </w:category>
        <w:types>
          <w:type w:val="bbPlcHdr"/>
        </w:types>
        <w:behaviors>
          <w:behavior w:val="content"/>
        </w:behaviors>
        <w:guid w:val="{564B0565-20AD-AE40-B6E0-977C76781ACF}"/>
      </w:docPartPr>
      <w:docPartBody>
        <w:p w:rsidR="00BB4EEB" w:rsidRDefault="0045131B" w:rsidP="0045131B">
          <w:pPr>
            <w:pStyle w:val="FAB6544EA8E04E46ACE577931ACFD752"/>
          </w:pPr>
          <w:r w:rsidRPr="00856AD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31B"/>
    <w:rsid w:val="0045131B"/>
    <w:rsid w:val="00550929"/>
    <w:rsid w:val="00800F27"/>
    <w:rsid w:val="00BB4EEB"/>
    <w:rsid w:val="00E03C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5131B"/>
    <w:rPr>
      <w:color w:val="666666"/>
    </w:rPr>
  </w:style>
  <w:style w:type="paragraph" w:customStyle="1" w:styleId="FAB6544EA8E04E46ACE577931ACFD752">
    <w:name w:val="FAB6544EA8E04E46ACE577931ACFD752"/>
    <w:rsid w:val="0045131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932</Words>
  <Characters>5313</Characters>
  <Application>Microsoft Office Word</Application>
  <DocSecurity>0</DocSecurity>
  <Lines>44</Lines>
  <Paragraphs>12</Paragraphs>
  <ScaleCrop>false</ScaleCrop>
  <Company/>
  <LinksUpToDate>false</LinksUpToDate>
  <CharactersWithSpaces>6233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James Gordy</cp:lastModifiedBy>
  <cp:revision>3</cp:revision>
  <dcterms:created xsi:type="dcterms:W3CDTF">2024-08-07T15:23:00Z</dcterms:created>
  <dcterms:modified xsi:type="dcterms:W3CDTF">2024-08-08T14:47:00Z</dcterms:modified>
</cp:coreProperties>
</file>