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E634BB" w14:textId="4E5E7537" w:rsidR="00EE05E4" w:rsidRPr="00BE41A6" w:rsidRDefault="00EE05E4" w:rsidP="006076B5">
      <w:pPr>
        <w:spacing w:line="480" w:lineRule="auto"/>
        <w:rPr>
          <w:rFonts w:ascii="Times New Roman" w:hAnsi="Times New Roman" w:cs="Times New Roman"/>
          <w:b/>
          <w:bCs/>
        </w:rPr>
      </w:pPr>
      <w:r w:rsidRPr="00BE41A6">
        <w:rPr>
          <w:rFonts w:ascii="Times New Roman" w:hAnsi="Times New Roman" w:cs="Times New Roman"/>
          <w:b/>
          <w:bCs/>
        </w:rPr>
        <w:t>Supplemental Materials</w:t>
      </w:r>
    </w:p>
    <w:p w14:paraId="57A60038" w14:textId="77777777" w:rsidR="00BE41A6" w:rsidRPr="00AA44E6" w:rsidRDefault="00BE41A6" w:rsidP="006076B5">
      <w:pPr>
        <w:spacing w:line="480" w:lineRule="auto"/>
        <w:jc w:val="both"/>
        <w:rPr>
          <w:rFonts w:ascii="Times New Roman" w:hAnsi="Times New Roman"/>
          <w:b/>
          <w:color w:val="000000"/>
        </w:rPr>
      </w:pPr>
      <w:r w:rsidRPr="00AA44E6">
        <w:rPr>
          <w:rFonts w:ascii="Times New Roman" w:hAnsi="Times New Roman"/>
          <w:b/>
          <w:color w:val="000000"/>
        </w:rPr>
        <w:t xml:space="preserve">Estimation of the basic reproduction number of novel coronavirus (COVID-19) in Bangladesh: A </w:t>
      </w:r>
      <w:r w:rsidRPr="00AA44E6">
        <w:rPr>
          <w:rFonts w:ascii="Times New Roman" w:hAnsi="Times New Roman"/>
          <w:b/>
        </w:rPr>
        <w:t xml:space="preserve">65-day’s </w:t>
      </w:r>
      <w:r w:rsidRPr="00AA44E6">
        <w:rPr>
          <w:rFonts w:ascii="Times New Roman" w:hAnsi="Times New Roman"/>
          <w:b/>
          <w:color w:val="000000"/>
        </w:rPr>
        <w:t>outbreak data-driven analysis</w:t>
      </w:r>
    </w:p>
    <w:p w14:paraId="166340CF" w14:textId="5236BE93" w:rsidR="00BE41A6" w:rsidRPr="00AA44E6" w:rsidRDefault="00BE41A6" w:rsidP="006076B5">
      <w:pPr>
        <w:spacing w:after="0" w:line="480" w:lineRule="auto"/>
        <w:jc w:val="both"/>
        <w:rPr>
          <w:rFonts w:ascii="Times New Roman" w:hAnsi="Times New Roman"/>
          <w:bCs/>
          <w:vertAlign w:val="superscript"/>
        </w:rPr>
      </w:pPr>
      <w:r w:rsidRPr="00AA44E6">
        <w:rPr>
          <w:rFonts w:ascii="Times New Roman" w:hAnsi="Times New Roman"/>
        </w:rPr>
        <w:t xml:space="preserve">Md. Hasan, Akhtar Hossain, </w:t>
      </w:r>
      <w:proofErr w:type="spellStart"/>
      <w:r w:rsidRPr="00AA44E6">
        <w:rPr>
          <w:rFonts w:ascii="Times New Roman" w:hAnsi="Times New Roman"/>
        </w:rPr>
        <w:t>Wasimul</w:t>
      </w:r>
      <w:proofErr w:type="spellEnd"/>
      <w:r w:rsidRPr="00AA44E6">
        <w:rPr>
          <w:rFonts w:ascii="Times New Roman" w:hAnsi="Times New Roman"/>
        </w:rPr>
        <w:t xml:space="preserve"> Bar</w:t>
      </w:r>
      <w:r>
        <w:rPr>
          <w:rFonts w:ascii="Times New Roman" w:hAnsi="Times New Roman"/>
        </w:rPr>
        <w:t>i</w:t>
      </w:r>
      <w:r w:rsidRPr="00AA44E6">
        <w:rPr>
          <w:rFonts w:ascii="Times New Roman" w:hAnsi="Times New Roman"/>
        </w:rPr>
        <w:t xml:space="preserve">, Syed </w:t>
      </w:r>
      <w:proofErr w:type="spellStart"/>
      <w:r w:rsidRPr="00AA44E6">
        <w:rPr>
          <w:rFonts w:ascii="Times New Roman" w:hAnsi="Times New Roman"/>
        </w:rPr>
        <w:t>Shariful</w:t>
      </w:r>
      <w:proofErr w:type="spellEnd"/>
      <w:r w:rsidRPr="00AA44E6">
        <w:rPr>
          <w:rFonts w:ascii="Times New Roman" w:hAnsi="Times New Roman"/>
        </w:rPr>
        <w:t xml:space="preserve"> Islam</w:t>
      </w:r>
    </w:p>
    <w:p w14:paraId="2A8BFE42" w14:textId="77777777" w:rsidR="00BE41A6" w:rsidRDefault="00BE41A6" w:rsidP="006076B5">
      <w:pPr>
        <w:spacing w:line="480" w:lineRule="auto"/>
        <w:rPr>
          <w:rFonts w:ascii="Times New Roman" w:hAnsi="Times New Roman" w:cs="Times New Roman"/>
        </w:rPr>
      </w:pPr>
    </w:p>
    <w:p w14:paraId="3610102E" w14:textId="2CC5426C" w:rsidR="00EE05E4" w:rsidRPr="00EE05E4" w:rsidRDefault="00EE05E4" w:rsidP="006076B5">
      <w:pPr>
        <w:tabs>
          <w:tab w:val="left" w:pos="1835"/>
        </w:tabs>
        <w:spacing w:line="480" w:lineRule="auto"/>
        <w:rPr>
          <w:rFonts w:ascii="Times New Roman" w:hAnsi="Times New Roman" w:cs="Times New Roman"/>
        </w:rPr>
        <w:sectPr w:rsidR="00EE05E4" w:rsidRPr="00EE05E4" w:rsidSect="00B343A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72F2C75" w14:textId="18FBD37A" w:rsidR="00D109A8" w:rsidRPr="00356D97" w:rsidRDefault="00D059D6" w:rsidP="006076B5">
      <w:pPr>
        <w:spacing w:line="480" w:lineRule="auto"/>
        <w:jc w:val="center"/>
        <w:rPr>
          <w:rFonts w:ascii="Times New Roman" w:hAnsi="Times New Roman" w:cs="Times New Roman"/>
        </w:rPr>
      </w:pPr>
      <w:r w:rsidRPr="00D059D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AB4261C" wp14:editId="2273165B">
            <wp:extent cx="8728063" cy="27908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2494" cy="2792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763F4E" w14:textId="0D40CCCA" w:rsidR="00E812E5" w:rsidRDefault="00E812E5" w:rsidP="006076B5">
      <w:pPr>
        <w:spacing w:line="480" w:lineRule="auto"/>
        <w:rPr>
          <w:rStyle w:val="fontstyle21"/>
          <w:rFonts w:ascii="Times New Roman" w:hAnsi="Times New Roman"/>
          <w:sz w:val="24"/>
          <w:szCs w:val="24"/>
        </w:rPr>
      </w:pPr>
      <w:r w:rsidRPr="0094256A">
        <w:rPr>
          <w:rFonts w:ascii="Times New Roman" w:hAnsi="Times New Roman"/>
          <w:b/>
          <w:sz w:val="24"/>
          <w:szCs w:val="24"/>
        </w:rPr>
        <w:t xml:space="preserve">Figure </w:t>
      </w:r>
      <w:r>
        <w:rPr>
          <w:rFonts w:ascii="Times New Roman" w:hAnsi="Times New Roman"/>
          <w:b/>
          <w:sz w:val="24"/>
          <w:szCs w:val="24"/>
        </w:rPr>
        <w:t>S</w:t>
      </w:r>
      <w:r w:rsidRPr="0094256A">
        <w:rPr>
          <w:rFonts w:ascii="Times New Roman" w:hAnsi="Times New Roman"/>
          <w:b/>
          <w:sz w:val="24"/>
          <w:szCs w:val="24"/>
        </w:rPr>
        <w:t xml:space="preserve">1: 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The scenarios of the change in the reporting rate (top panels) and the exponential growth </w:t>
      </w:r>
      <w:r>
        <w:rPr>
          <w:rStyle w:val="fontstyle31"/>
          <w:rFonts w:ascii="Times New Roman" w:hAnsi="Times New Roman"/>
          <w:sz w:val="24"/>
          <w:szCs w:val="24"/>
        </w:rPr>
        <w:t>fitting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 (bottom panels)</w:t>
      </w:r>
      <w:r>
        <w:rPr>
          <w:rStyle w:val="fontstyle21"/>
          <w:rFonts w:ascii="Times New Roman" w:hAnsi="Times New Roman"/>
          <w:sz w:val="24"/>
          <w:szCs w:val="24"/>
        </w:rPr>
        <w:t xml:space="preserve"> based on </w:t>
      </w:r>
      <w:r>
        <w:rPr>
          <w:rStyle w:val="fontstyle21"/>
          <w:rFonts w:ascii="Times New Roman" w:hAnsi="Times New Roman"/>
          <w:sz w:val="24"/>
          <w:szCs w:val="24"/>
        </w:rPr>
        <w:t>the MERS</w:t>
      </w:r>
      <w:r>
        <w:rPr>
          <w:rStyle w:val="fontstyle21"/>
          <w:rFonts w:ascii="Times New Roman" w:hAnsi="Times New Roman"/>
          <w:sz w:val="24"/>
          <w:szCs w:val="24"/>
        </w:rPr>
        <w:t xml:space="preserve"> SI</w:t>
      </w:r>
      <w:r w:rsidRPr="0094256A">
        <w:rPr>
          <w:rStyle w:val="fontstyle21"/>
          <w:rFonts w:ascii="Times New Roman" w:hAnsi="Times New Roman"/>
          <w:sz w:val="24"/>
          <w:szCs w:val="24"/>
        </w:rPr>
        <w:t>. The top panels</w:t>
      </w:r>
      <w:r>
        <w:rPr>
          <w:rStyle w:val="fontstyle21"/>
          <w:rFonts w:ascii="Times New Roman" w:hAnsi="Times New Roman"/>
          <w:sz w:val="24"/>
          <w:szCs w:val="24"/>
        </w:rPr>
        <w:t>, i.e., (a), (c), (e), (g), (</w:t>
      </w:r>
      <w:proofErr w:type="spellStart"/>
      <w:r>
        <w:rPr>
          <w:rStyle w:val="fontstyle21"/>
          <w:rFonts w:ascii="Times New Roman" w:hAnsi="Times New Roman"/>
          <w:sz w:val="24"/>
          <w:szCs w:val="24"/>
        </w:rPr>
        <w:t>i</w:t>
      </w:r>
      <w:proofErr w:type="spellEnd"/>
      <w:r>
        <w:rPr>
          <w:rStyle w:val="fontstyle21"/>
          <w:rFonts w:ascii="Times New Roman" w:hAnsi="Times New Roman"/>
          <w:sz w:val="24"/>
          <w:szCs w:val="24"/>
        </w:rPr>
        <w:t xml:space="preserve">), 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(k), </w:t>
      </w:r>
      <w:r>
        <w:rPr>
          <w:rStyle w:val="fontstyle21"/>
          <w:rFonts w:ascii="Times New Roman" w:hAnsi="Times New Roman"/>
          <w:sz w:val="24"/>
          <w:szCs w:val="24"/>
        </w:rPr>
        <w:t xml:space="preserve">and (m) </w:t>
      </w:r>
      <w:r w:rsidRPr="0094256A">
        <w:rPr>
          <w:rStyle w:val="fontstyle21"/>
          <w:rFonts w:ascii="Times New Roman" w:hAnsi="Times New Roman"/>
          <w:sz w:val="24"/>
          <w:szCs w:val="24"/>
        </w:rPr>
        <w:t>show the assumed change in the reporting rate. The bottom panels</w:t>
      </w:r>
      <w:r>
        <w:rPr>
          <w:rStyle w:val="fontstyle21"/>
          <w:rFonts w:ascii="Times New Roman" w:hAnsi="Times New Roman"/>
          <w:sz w:val="24"/>
          <w:szCs w:val="24"/>
        </w:rPr>
        <w:t xml:space="preserve">, i.e., (b), (d), (f), (h), (j), </w:t>
      </w:r>
      <w:r w:rsidRPr="0094256A">
        <w:rPr>
          <w:rStyle w:val="fontstyle21"/>
          <w:rFonts w:ascii="Times New Roman" w:hAnsi="Times New Roman"/>
          <w:sz w:val="24"/>
          <w:szCs w:val="24"/>
        </w:rPr>
        <w:t>(l),</w:t>
      </w:r>
      <w:r>
        <w:rPr>
          <w:rStyle w:val="fontstyle21"/>
          <w:rFonts w:ascii="Times New Roman" w:hAnsi="Times New Roman"/>
          <w:sz w:val="24"/>
          <w:szCs w:val="24"/>
        </w:rPr>
        <w:t xml:space="preserve"> 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and </w:t>
      </w:r>
      <w:r>
        <w:rPr>
          <w:rStyle w:val="fontstyle21"/>
          <w:rFonts w:ascii="Times New Roman" w:hAnsi="Times New Roman"/>
          <w:sz w:val="24"/>
          <w:szCs w:val="24"/>
        </w:rPr>
        <w:t xml:space="preserve">(n) 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show the reported (or observed, </w:t>
      </w:r>
      <w:r>
        <w:rPr>
          <w:rStyle w:val="fontstyle21"/>
          <w:rFonts w:ascii="Times New Roman" w:hAnsi="Times New Roman"/>
          <w:sz w:val="24"/>
          <w:szCs w:val="24"/>
        </w:rPr>
        <w:t>black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 circles), adjusted (</w:t>
      </w:r>
      <w:r>
        <w:rPr>
          <w:rStyle w:val="fontstyle21"/>
          <w:rFonts w:ascii="Times New Roman" w:hAnsi="Times New Roman"/>
          <w:sz w:val="24"/>
          <w:szCs w:val="24"/>
        </w:rPr>
        <w:t>green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 dots) and </w:t>
      </w:r>
      <w:r>
        <w:rPr>
          <w:rStyle w:val="fontstyle21"/>
          <w:rFonts w:ascii="Times New Roman" w:hAnsi="Times New Roman"/>
          <w:sz w:val="24"/>
          <w:szCs w:val="24"/>
        </w:rPr>
        <w:t>fitted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 (blue</w:t>
      </w:r>
      <w:r>
        <w:rPr>
          <w:rStyle w:val="fontstyle21"/>
          <w:rFonts w:ascii="Times New Roman" w:hAnsi="Times New Roman"/>
          <w:sz w:val="24"/>
          <w:szCs w:val="24"/>
        </w:rPr>
        <w:t xml:space="preserve"> curve) the number of COVID-19 infections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. The vertical grey line represents the date </w:t>
      </w:r>
      <w:r>
        <w:rPr>
          <w:rStyle w:val="fontstyle21"/>
          <w:rFonts w:ascii="Times New Roman" w:hAnsi="Times New Roman"/>
          <w:sz w:val="24"/>
          <w:szCs w:val="24"/>
        </w:rPr>
        <w:t>when the number of tests reached 100, 500, 1000, and 2000.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 Panels (a) and (b) show the scenarios that the reporting rate was unchanged. Panels (c) and (d) show the scenarios that the reporting rate increased by 0.5-fold. Panels (e) and (f) show the scenarios that the reporting rate increased by 1-fold. Panels (g) and (h) show the scenarios that the reporting rate increased by 2-fold. Panels (</w:t>
      </w:r>
      <w:proofErr w:type="spellStart"/>
      <w:r w:rsidRPr="0094256A">
        <w:rPr>
          <w:rStyle w:val="fontstyle21"/>
          <w:rFonts w:ascii="Times New Roman" w:hAnsi="Times New Roman"/>
          <w:sz w:val="24"/>
          <w:szCs w:val="24"/>
        </w:rPr>
        <w:t>i</w:t>
      </w:r>
      <w:proofErr w:type="spellEnd"/>
      <w:r w:rsidRPr="0094256A">
        <w:rPr>
          <w:rStyle w:val="fontstyle21"/>
          <w:rFonts w:ascii="Times New Roman" w:hAnsi="Times New Roman"/>
          <w:sz w:val="24"/>
          <w:szCs w:val="24"/>
        </w:rPr>
        <w:t>) and (j) show the scenarios that t</w:t>
      </w:r>
      <w:r>
        <w:rPr>
          <w:rStyle w:val="fontstyle21"/>
          <w:rFonts w:ascii="Times New Roman" w:hAnsi="Times New Roman"/>
          <w:sz w:val="24"/>
          <w:szCs w:val="24"/>
        </w:rPr>
        <w:t xml:space="preserve">he reporting rate increased by </w:t>
      </w:r>
      <w:r>
        <w:rPr>
          <w:rStyle w:val="fontstyle21"/>
          <w:rFonts w:ascii="Times New Roman" w:hAnsi="Times New Roman"/>
          <w:sz w:val="24"/>
          <w:szCs w:val="24"/>
        </w:rPr>
        <w:lastRenderedPageBreak/>
        <w:t>3</w:t>
      </w:r>
      <w:r w:rsidRPr="0094256A">
        <w:rPr>
          <w:rStyle w:val="fontstyle21"/>
          <w:rFonts w:ascii="Times New Roman" w:hAnsi="Times New Roman"/>
          <w:sz w:val="24"/>
          <w:szCs w:val="24"/>
        </w:rPr>
        <w:t>-fold. Panels (k) and (l) show the scenarios that t</w:t>
      </w:r>
      <w:r>
        <w:rPr>
          <w:rStyle w:val="fontstyle21"/>
          <w:rFonts w:ascii="Times New Roman" w:hAnsi="Times New Roman"/>
          <w:sz w:val="24"/>
          <w:szCs w:val="24"/>
        </w:rPr>
        <w:t>he reporting rate increased by 4</w:t>
      </w:r>
      <w:r w:rsidRPr="0094256A">
        <w:rPr>
          <w:rStyle w:val="fontstyle21"/>
          <w:rFonts w:ascii="Times New Roman" w:hAnsi="Times New Roman"/>
          <w:sz w:val="24"/>
          <w:szCs w:val="24"/>
        </w:rPr>
        <w:t>-fold.</w:t>
      </w:r>
      <w:r>
        <w:rPr>
          <w:rStyle w:val="fontstyle21"/>
          <w:rFonts w:ascii="Times New Roman" w:hAnsi="Times New Roman"/>
          <w:sz w:val="24"/>
          <w:szCs w:val="24"/>
        </w:rPr>
        <w:t xml:space="preserve"> Panels (m</w:t>
      </w:r>
      <w:r w:rsidRPr="0094256A">
        <w:rPr>
          <w:rStyle w:val="fontstyle21"/>
          <w:rFonts w:ascii="Times New Roman" w:hAnsi="Times New Roman"/>
          <w:sz w:val="24"/>
          <w:szCs w:val="24"/>
        </w:rPr>
        <w:t>) and (</w:t>
      </w:r>
      <w:r>
        <w:rPr>
          <w:rStyle w:val="fontstyle21"/>
          <w:rFonts w:ascii="Times New Roman" w:hAnsi="Times New Roman"/>
          <w:sz w:val="24"/>
          <w:szCs w:val="24"/>
        </w:rPr>
        <w:t>n</w:t>
      </w:r>
      <w:r w:rsidRPr="0094256A">
        <w:rPr>
          <w:rStyle w:val="fontstyle21"/>
          <w:rFonts w:ascii="Times New Roman" w:hAnsi="Times New Roman"/>
          <w:sz w:val="24"/>
          <w:szCs w:val="24"/>
        </w:rPr>
        <w:t>) show the scenarios that t</w:t>
      </w:r>
      <w:r>
        <w:rPr>
          <w:rStyle w:val="fontstyle21"/>
          <w:rFonts w:ascii="Times New Roman" w:hAnsi="Times New Roman"/>
          <w:sz w:val="24"/>
          <w:szCs w:val="24"/>
        </w:rPr>
        <w:t>he reporting rate increased by 5</w:t>
      </w:r>
      <w:r w:rsidRPr="0094256A">
        <w:rPr>
          <w:rStyle w:val="fontstyle21"/>
          <w:rFonts w:ascii="Times New Roman" w:hAnsi="Times New Roman"/>
          <w:sz w:val="24"/>
          <w:szCs w:val="24"/>
        </w:rPr>
        <w:t>-fold.</w:t>
      </w:r>
    </w:p>
    <w:p w14:paraId="51E34FB9" w14:textId="77777777" w:rsidR="00E812E5" w:rsidRDefault="00E812E5" w:rsidP="006076B5">
      <w:pPr>
        <w:spacing w:line="480" w:lineRule="auto"/>
        <w:jc w:val="both"/>
        <w:rPr>
          <w:rFonts w:ascii="Times New Roman" w:hAnsi="Times New Roman" w:cs="Times New Roman"/>
        </w:rPr>
      </w:pPr>
    </w:p>
    <w:p w14:paraId="67323D76" w14:textId="77777777" w:rsidR="009D361F" w:rsidRDefault="009D361F" w:rsidP="006076B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bookmarkStart w:id="0" w:name="_GoBack"/>
      <w:bookmarkEnd w:id="0"/>
    </w:p>
    <w:p w14:paraId="1FD2E871" w14:textId="1EDF1FAE" w:rsidR="009D361F" w:rsidRDefault="000C18A7" w:rsidP="006076B5">
      <w:pPr>
        <w:spacing w:line="480" w:lineRule="auto"/>
        <w:jc w:val="both"/>
        <w:rPr>
          <w:rFonts w:ascii="Times New Roman" w:hAnsi="Times New Roman" w:cs="Times New Roman"/>
        </w:rPr>
      </w:pPr>
      <w:r w:rsidRPr="000C18A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A16C5B9" wp14:editId="35883788">
            <wp:extent cx="8229600" cy="26314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15B4D" w14:textId="7BD3469E" w:rsidR="009D361F" w:rsidRPr="00356D97" w:rsidRDefault="00E812E5" w:rsidP="006076B5">
      <w:pPr>
        <w:spacing w:line="480" w:lineRule="auto"/>
        <w:jc w:val="both"/>
        <w:rPr>
          <w:rFonts w:ascii="Times New Roman" w:hAnsi="Times New Roman" w:cs="Times New Roman"/>
        </w:rPr>
      </w:pPr>
      <w:r w:rsidRPr="0094256A">
        <w:rPr>
          <w:rFonts w:ascii="Times New Roman" w:hAnsi="Times New Roman"/>
          <w:b/>
          <w:sz w:val="24"/>
          <w:szCs w:val="24"/>
        </w:rPr>
        <w:t xml:space="preserve">Figure </w:t>
      </w:r>
      <w:r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2</w:t>
      </w:r>
      <w:r w:rsidRPr="0094256A">
        <w:rPr>
          <w:rFonts w:ascii="Times New Roman" w:hAnsi="Times New Roman"/>
          <w:b/>
          <w:sz w:val="24"/>
          <w:szCs w:val="24"/>
        </w:rPr>
        <w:t xml:space="preserve">: 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The scenarios of the change in the reporting rate (top panels) and the exponential growth </w:t>
      </w:r>
      <w:r>
        <w:rPr>
          <w:rStyle w:val="fontstyle31"/>
          <w:rFonts w:ascii="Times New Roman" w:hAnsi="Times New Roman"/>
          <w:sz w:val="24"/>
          <w:szCs w:val="24"/>
        </w:rPr>
        <w:t>fitting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 (bottom panels)</w:t>
      </w:r>
      <w:r>
        <w:rPr>
          <w:rStyle w:val="fontstyle21"/>
          <w:rFonts w:ascii="Times New Roman" w:hAnsi="Times New Roman"/>
          <w:sz w:val="24"/>
          <w:szCs w:val="24"/>
        </w:rPr>
        <w:t xml:space="preserve"> based on the </w:t>
      </w:r>
      <w:r>
        <w:rPr>
          <w:rStyle w:val="fontstyle21"/>
          <w:rFonts w:ascii="Times New Roman" w:hAnsi="Times New Roman"/>
          <w:sz w:val="24"/>
          <w:szCs w:val="24"/>
        </w:rPr>
        <w:t>SARS</w:t>
      </w:r>
      <w:r>
        <w:rPr>
          <w:rStyle w:val="fontstyle21"/>
          <w:rFonts w:ascii="Times New Roman" w:hAnsi="Times New Roman"/>
          <w:sz w:val="24"/>
          <w:szCs w:val="24"/>
        </w:rPr>
        <w:t xml:space="preserve"> SI</w:t>
      </w:r>
      <w:r w:rsidRPr="0094256A">
        <w:rPr>
          <w:rStyle w:val="fontstyle21"/>
          <w:rFonts w:ascii="Times New Roman" w:hAnsi="Times New Roman"/>
          <w:sz w:val="24"/>
          <w:szCs w:val="24"/>
        </w:rPr>
        <w:t>. The top panels</w:t>
      </w:r>
      <w:r>
        <w:rPr>
          <w:rStyle w:val="fontstyle21"/>
          <w:rFonts w:ascii="Times New Roman" w:hAnsi="Times New Roman"/>
          <w:sz w:val="24"/>
          <w:szCs w:val="24"/>
        </w:rPr>
        <w:t>, i.e., (a), (c), (e), (g), (</w:t>
      </w:r>
      <w:proofErr w:type="spellStart"/>
      <w:r>
        <w:rPr>
          <w:rStyle w:val="fontstyle21"/>
          <w:rFonts w:ascii="Times New Roman" w:hAnsi="Times New Roman"/>
          <w:sz w:val="24"/>
          <w:szCs w:val="24"/>
        </w:rPr>
        <w:t>i</w:t>
      </w:r>
      <w:proofErr w:type="spellEnd"/>
      <w:r>
        <w:rPr>
          <w:rStyle w:val="fontstyle21"/>
          <w:rFonts w:ascii="Times New Roman" w:hAnsi="Times New Roman"/>
          <w:sz w:val="24"/>
          <w:szCs w:val="24"/>
        </w:rPr>
        <w:t xml:space="preserve">), 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(k), </w:t>
      </w:r>
      <w:r>
        <w:rPr>
          <w:rStyle w:val="fontstyle21"/>
          <w:rFonts w:ascii="Times New Roman" w:hAnsi="Times New Roman"/>
          <w:sz w:val="24"/>
          <w:szCs w:val="24"/>
        </w:rPr>
        <w:t xml:space="preserve">and (m) </w:t>
      </w:r>
      <w:r w:rsidRPr="0094256A">
        <w:rPr>
          <w:rStyle w:val="fontstyle21"/>
          <w:rFonts w:ascii="Times New Roman" w:hAnsi="Times New Roman"/>
          <w:sz w:val="24"/>
          <w:szCs w:val="24"/>
        </w:rPr>
        <w:t>show the assumed change in the reporting rate. The bottom panels</w:t>
      </w:r>
      <w:r>
        <w:rPr>
          <w:rStyle w:val="fontstyle21"/>
          <w:rFonts w:ascii="Times New Roman" w:hAnsi="Times New Roman"/>
          <w:sz w:val="24"/>
          <w:szCs w:val="24"/>
        </w:rPr>
        <w:t xml:space="preserve">, i.e., (b), (d), (f), (h), (j), </w:t>
      </w:r>
      <w:r w:rsidRPr="0094256A">
        <w:rPr>
          <w:rStyle w:val="fontstyle21"/>
          <w:rFonts w:ascii="Times New Roman" w:hAnsi="Times New Roman"/>
          <w:sz w:val="24"/>
          <w:szCs w:val="24"/>
        </w:rPr>
        <w:t>(l),</w:t>
      </w:r>
      <w:r>
        <w:rPr>
          <w:rStyle w:val="fontstyle21"/>
          <w:rFonts w:ascii="Times New Roman" w:hAnsi="Times New Roman"/>
          <w:sz w:val="24"/>
          <w:szCs w:val="24"/>
        </w:rPr>
        <w:t xml:space="preserve"> 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and </w:t>
      </w:r>
      <w:r>
        <w:rPr>
          <w:rStyle w:val="fontstyle21"/>
          <w:rFonts w:ascii="Times New Roman" w:hAnsi="Times New Roman"/>
          <w:sz w:val="24"/>
          <w:szCs w:val="24"/>
        </w:rPr>
        <w:t xml:space="preserve">(n) 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show the reported (or observed, </w:t>
      </w:r>
      <w:r>
        <w:rPr>
          <w:rStyle w:val="fontstyle21"/>
          <w:rFonts w:ascii="Times New Roman" w:hAnsi="Times New Roman"/>
          <w:sz w:val="24"/>
          <w:szCs w:val="24"/>
        </w:rPr>
        <w:t>black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 circles), adjusted (</w:t>
      </w:r>
      <w:r>
        <w:rPr>
          <w:rStyle w:val="fontstyle21"/>
          <w:rFonts w:ascii="Times New Roman" w:hAnsi="Times New Roman"/>
          <w:sz w:val="24"/>
          <w:szCs w:val="24"/>
        </w:rPr>
        <w:t>green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 dots) and </w:t>
      </w:r>
      <w:r>
        <w:rPr>
          <w:rStyle w:val="fontstyle21"/>
          <w:rFonts w:ascii="Times New Roman" w:hAnsi="Times New Roman"/>
          <w:sz w:val="24"/>
          <w:szCs w:val="24"/>
        </w:rPr>
        <w:t>fitted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 (blue</w:t>
      </w:r>
      <w:r>
        <w:rPr>
          <w:rStyle w:val="fontstyle21"/>
          <w:rFonts w:ascii="Times New Roman" w:hAnsi="Times New Roman"/>
          <w:sz w:val="24"/>
          <w:szCs w:val="24"/>
        </w:rPr>
        <w:t xml:space="preserve"> curve) the number of COVID-19 infections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. The vertical grey line represents the date </w:t>
      </w:r>
      <w:r>
        <w:rPr>
          <w:rStyle w:val="fontstyle21"/>
          <w:rFonts w:ascii="Times New Roman" w:hAnsi="Times New Roman"/>
          <w:sz w:val="24"/>
          <w:szCs w:val="24"/>
        </w:rPr>
        <w:t>when the number of tests reached 100, 500, 1000, and 2000.</w:t>
      </w:r>
      <w:r w:rsidRPr="0094256A">
        <w:rPr>
          <w:rStyle w:val="fontstyle21"/>
          <w:rFonts w:ascii="Times New Roman" w:hAnsi="Times New Roman"/>
          <w:sz w:val="24"/>
          <w:szCs w:val="24"/>
        </w:rPr>
        <w:t xml:space="preserve"> Panels (a) and (b) show the scenarios that the reporting rate was unchanged. Panels (c) and (d) show the scenarios that the reporting rate increased by 0.5-fold. Panels (e) and (f) show the scenarios that the reporting rate increased by 1-fold. Panels (g) and (h) show the scenarios that the reporting rate increased by 2-fold. Panels (</w:t>
      </w:r>
      <w:proofErr w:type="spellStart"/>
      <w:r w:rsidRPr="0094256A">
        <w:rPr>
          <w:rStyle w:val="fontstyle21"/>
          <w:rFonts w:ascii="Times New Roman" w:hAnsi="Times New Roman"/>
          <w:sz w:val="24"/>
          <w:szCs w:val="24"/>
        </w:rPr>
        <w:t>i</w:t>
      </w:r>
      <w:proofErr w:type="spellEnd"/>
      <w:r w:rsidRPr="0094256A">
        <w:rPr>
          <w:rStyle w:val="fontstyle21"/>
          <w:rFonts w:ascii="Times New Roman" w:hAnsi="Times New Roman"/>
          <w:sz w:val="24"/>
          <w:szCs w:val="24"/>
        </w:rPr>
        <w:t>) and (j) show the scenarios that t</w:t>
      </w:r>
      <w:r>
        <w:rPr>
          <w:rStyle w:val="fontstyle21"/>
          <w:rFonts w:ascii="Times New Roman" w:hAnsi="Times New Roman"/>
          <w:sz w:val="24"/>
          <w:szCs w:val="24"/>
        </w:rPr>
        <w:t>he reporting rate increased by 3</w:t>
      </w:r>
      <w:r w:rsidRPr="0094256A">
        <w:rPr>
          <w:rStyle w:val="fontstyle21"/>
          <w:rFonts w:ascii="Times New Roman" w:hAnsi="Times New Roman"/>
          <w:sz w:val="24"/>
          <w:szCs w:val="24"/>
        </w:rPr>
        <w:t>-fold. Panels (k) and (l) show the scenarios that t</w:t>
      </w:r>
      <w:r>
        <w:rPr>
          <w:rStyle w:val="fontstyle21"/>
          <w:rFonts w:ascii="Times New Roman" w:hAnsi="Times New Roman"/>
          <w:sz w:val="24"/>
          <w:szCs w:val="24"/>
        </w:rPr>
        <w:t>he reporting rate increased by 4</w:t>
      </w:r>
      <w:r w:rsidRPr="0094256A">
        <w:rPr>
          <w:rStyle w:val="fontstyle21"/>
          <w:rFonts w:ascii="Times New Roman" w:hAnsi="Times New Roman"/>
          <w:sz w:val="24"/>
          <w:szCs w:val="24"/>
        </w:rPr>
        <w:t>-fold.</w:t>
      </w:r>
      <w:r>
        <w:rPr>
          <w:rStyle w:val="fontstyle21"/>
          <w:rFonts w:ascii="Times New Roman" w:hAnsi="Times New Roman"/>
          <w:sz w:val="24"/>
          <w:szCs w:val="24"/>
        </w:rPr>
        <w:t xml:space="preserve"> Panels (m</w:t>
      </w:r>
      <w:r w:rsidRPr="0094256A">
        <w:rPr>
          <w:rStyle w:val="fontstyle21"/>
          <w:rFonts w:ascii="Times New Roman" w:hAnsi="Times New Roman"/>
          <w:sz w:val="24"/>
          <w:szCs w:val="24"/>
        </w:rPr>
        <w:t>) and (</w:t>
      </w:r>
      <w:r>
        <w:rPr>
          <w:rStyle w:val="fontstyle21"/>
          <w:rFonts w:ascii="Times New Roman" w:hAnsi="Times New Roman"/>
          <w:sz w:val="24"/>
          <w:szCs w:val="24"/>
        </w:rPr>
        <w:t>n</w:t>
      </w:r>
      <w:r w:rsidRPr="0094256A">
        <w:rPr>
          <w:rStyle w:val="fontstyle21"/>
          <w:rFonts w:ascii="Times New Roman" w:hAnsi="Times New Roman"/>
          <w:sz w:val="24"/>
          <w:szCs w:val="24"/>
        </w:rPr>
        <w:t>) show the scenarios that t</w:t>
      </w:r>
      <w:r>
        <w:rPr>
          <w:rStyle w:val="fontstyle21"/>
          <w:rFonts w:ascii="Times New Roman" w:hAnsi="Times New Roman"/>
          <w:sz w:val="24"/>
          <w:szCs w:val="24"/>
        </w:rPr>
        <w:t>he reporting rate increased by 5</w:t>
      </w:r>
      <w:r w:rsidRPr="0094256A">
        <w:rPr>
          <w:rStyle w:val="fontstyle21"/>
          <w:rFonts w:ascii="Times New Roman" w:hAnsi="Times New Roman"/>
          <w:sz w:val="24"/>
          <w:szCs w:val="24"/>
        </w:rPr>
        <w:t>-fold.</w:t>
      </w:r>
    </w:p>
    <w:sectPr w:rsidR="009D361F" w:rsidRPr="00356D97" w:rsidSect="00D109A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dvTT5843c571+fb">
    <w:altName w:val="Times New Roman"/>
    <w:panose1 w:val="00000000000000000000"/>
    <w:charset w:val="00"/>
    <w:family w:val="roman"/>
    <w:notTrueType/>
    <w:pitch w:val="default"/>
  </w:font>
  <w:font w:name="STIXMath-Italic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Y3NjIyMjCwtDAxMzBR0lEKTi0uzszPAykwrgUAjp7QLSwAAAA="/>
  </w:docVars>
  <w:rsids>
    <w:rsidRoot w:val="00195290"/>
    <w:rsid w:val="00045120"/>
    <w:rsid w:val="000C18A7"/>
    <w:rsid w:val="00121603"/>
    <w:rsid w:val="00195290"/>
    <w:rsid w:val="00351F2B"/>
    <w:rsid w:val="00356D97"/>
    <w:rsid w:val="006076B5"/>
    <w:rsid w:val="00742D3C"/>
    <w:rsid w:val="007B74D3"/>
    <w:rsid w:val="00890430"/>
    <w:rsid w:val="008F5484"/>
    <w:rsid w:val="009D361F"/>
    <w:rsid w:val="009E5E6F"/>
    <w:rsid w:val="00A65472"/>
    <w:rsid w:val="00B343A7"/>
    <w:rsid w:val="00BE41A6"/>
    <w:rsid w:val="00C31E24"/>
    <w:rsid w:val="00D059D6"/>
    <w:rsid w:val="00D109A8"/>
    <w:rsid w:val="00D914FB"/>
    <w:rsid w:val="00E17B98"/>
    <w:rsid w:val="00E812E5"/>
    <w:rsid w:val="00EE05E4"/>
    <w:rsid w:val="00F30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42B0E"/>
  <w15:chartTrackingRefBased/>
  <w15:docId w15:val="{88F0ED1C-7978-49F1-A3F6-9240F2C64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21">
    <w:name w:val="fontstyle21"/>
    <w:rsid w:val="00E812E5"/>
    <w:rPr>
      <w:rFonts w:ascii="AdvTT5843c571+fb" w:hAnsi="AdvTT5843c571+f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rsid w:val="00E812E5"/>
    <w:rPr>
      <w:rFonts w:ascii="STIXMath-Italic" w:hAnsi="STIXMath-Italic" w:hint="default"/>
      <w:b w:val="0"/>
      <w:bCs w:val="0"/>
      <w:i/>
      <w:iCs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Akhtar Hossain</dc:creator>
  <cp:keywords/>
  <dc:description/>
  <cp:lastModifiedBy>M. Hasan</cp:lastModifiedBy>
  <cp:revision>6</cp:revision>
  <dcterms:created xsi:type="dcterms:W3CDTF">2020-05-12T05:08:00Z</dcterms:created>
  <dcterms:modified xsi:type="dcterms:W3CDTF">2020-05-12T15:08:00Z</dcterms:modified>
</cp:coreProperties>
</file>