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7A447" w14:textId="0EDFA72E" w:rsidR="00C907A8" w:rsidRDefault="00C907A8">
      <w:r>
        <w:t xml:space="preserve">Fig. S1 </w:t>
      </w:r>
      <w:r w:rsidR="00042F0B" w:rsidRPr="00042F0B">
        <w:t xml:space="preserve">Toxicity of different iron treatment agents to </w:t>
      </w:r>
      <w:r w:rsidR="00042F0B">
        <w:t xml:space="preserve">HFF </w:t>
      </w:r>
      <w:r w:rsidR="00042F0B" w:rsidRPr="00042F0B">
        <w:t xml:space="preserve">cells and </w:t>
      </w:r>
      <w:r w:rsidR="00042F0B" w:rsidRPr="00042F0B">
        <w:rPr>
          <w:i/>
          <w:iCs/>
        </w:rPr>
        <w:t>Toxoplasma gondii</w:t>
      </w:r>
      <w:r w:rsidR="00042F0B" w:rsidRPr="00042F0B">
        <w:t xml:space="preserve"> </w:t>
      </w:r>
    </w:p>
    <w:p w14:paraId="445A432F" w14:textId="23648E47" w:rsidR="00042F0B" w:rsidRDefault="00042F0B" w:rsidP="00042F0B">
      <w:r>
        <w:rPr>
          <w:rFonts w:hint="eastAsia"/>
        </w:rPr>
        <w:t>A</w:t>
      </w:r>
      <w:r>
        <w:t>, c</w:t>
      </w:r>
      <w:r w:rsidRPr="00042F0B">
        <w:t xml:space="preserve">ytotoxicity of </w:t>
      </w:r>
      <w:r>
        <w:t xml:space="preserve">DFO </w:t>
      </w:r>
      <w:r w:rsidRPr="00042F0B">
        <w:t xml:space="preserve">on </w:t>
      </w:r>
      <w:r>
        <w:t>HFF</w:t>
      </w:r>
      <w:r w:rsidRPr="00042F0B">
        <w:t xml:space="preserve"> cells. Toxicity of </w:t>
      </w:r>
      <w:r>
        <w:t>DFO</w:t>
      </w:r>
      <w:r w:rsidR="00805B84" w:rsidRPr="00805B84">
        <w:t xml:space="preserve"> </w:t>
      </w:r>
      <w:r w:rsidR="00805B84" w:rsidRPr="00805B84">
        <w:t>at concentrations ranging from 0.1 to 500 μM</w:t>
      </w:r>
      <w:r w:rsidRPr="00042F0B">
        <w:t xml:space="preserve"> on </w:t>
      </w:r>
      <w:r>
        <w:t>HFF</w:t>
      </w:r>
      <w:r w:rsidRPr="00042F0B">
        <w:t xml:space="preserve"> cells was </w:t>
      </w:r>
      <w:r w:rsidR="00805B84" w:rsidRPr="00805B84">
        <w:t>assessed</w:t>
      </w:r>
      <w:r w:rsidRPr="00042F0B">
        <w:t xml:space="preserve"> using</w:t>
      </w:r>
      <w:r w:rsidR="00805B84">
        <w:t xml:space="preserve"> </w:t>
      </w:r>
      <w:r w:rsidR="00805B84">
        <w:rPr>
          <w:rFonts w:hint="eastAsia"/>
        </w:rPr>
        <w:t>the</w:t>
      </w:r>
      <w:r w:rsidRPr="00042F0B">
        <w:t xml:space="preserve"> CCK-8 reagent. DMSO </w:t>
      </w:r>
      <w:r w:rsidR="00805B84">
        <w:t xml:space="preserve">was </w:t>
      </w:r>
      <w:r w:rsidR="00805B84" w:rsidRPr="00805B84">
        <w:t>used as a control</w:t>
      </w:r>
      <w:r w:rsidRPr="00042F0B">
        <w:t xml:space="preserve">. </w:t>
      </w:r>
      <w:r w:rsidR="00805B84" w:rsidRPr="00805B84">
        <w:t>The survival rate was calculated as</w:t>
      </w:r>
      <w:r w:rsidR="00805B84" w:rsidRPr="00805B84">
        <w:t xml:space="preserve"> </w:t>
      </w:r>
      <w:r>
        <w:t>1-</w:t>
      </w:r>
      <w:r w:rsidRPr="00042F0B">
        <w:t xml:space="preserve"> (</w:t>
      </w:r>
      <w:r>
        <w:t>RLU</w:t>
      </w:r>
      <w:r w:rsidRPr="00042F0B">
        <w:rPr>
          <w:vertAlign w:val="subscript"/>
        </w:rPr>
        <w:t>DMSO</w:t>
      </w:r>
      <w:r w:rsidRPr="00042F0B">
        <w:t>-</w:t>
      </w:r>
      <w:r>
        <w:t>RLU</w:t>
      </w:r>
      <w:r w:rsidRPr="00042F0B">
        <w:rPr>
          <w:vertAlign w:val="subscript"/>
        </w:rPr>
        <w:t>DFO</w:t>
      </w:r>
      <w:r w:rsidRPr="00042F0B">
        <w:t>)/</w:t>
      </w:r>
      <w:r>
        <w:t>RLU</w:t>
      </w:r>
      <w:r w:rsidRPr="00042F0B">
        <w:rPr>
          <w:vertAlign w:val="subscript"/>
        </w:rPr>
        <w:t>DMSO</w:t>
      </w:r>
      <w:r w:rsidRPr="00042F0B">
        <w:t xml:space="preserve">. </w:t>
      </w:r>
      <w:r>
        <w:t>B, c</w:t>
      </w:r>
      <w:r w:rsidRPr="00042F0B">
        <w:t xml:space="preserve">ytotoxicity of </w:t>
      </w:r>
      <w:r w:rsidRPr="00F173A6">
        <w:t>ammonium iron(II) sulfate</w:t>
      </w:r>
      <w:r>
        <w:t xml:space="preserve"> (1</w:t>
      </w:r>
      <w:r w:rsidRPr="00042F0B">
        <w:t>–</w:t>
      </w:r>
      <w:r>
        <w:t>16</w:t>
      </w:r>
      <w:r w:rsidRPr="00042F0B">
        <w:t>00 μM</w:t>
      </w:r>
      <w:r>
        <w:t xml:space="preserve">) </w:t>
      </w:r>
      <w:r w:rsidRPr="00042F0B">
        <w:t xml:space="preserve">on </w:t>
      </w:r>
      <w:r>
        <w:t>HFF</w:t>
      </w:r>
      <w:r w:rsidRPr="00042F0B">
        <w:t xml:space="preserve"> cells. </w:t>
      </w:r>
      <w:r>
        <w:t xml:space="preserve">C, </w:t>
      </w:r>
      <w:r w:rsidRPr="00042F0B">
        <w:t>half lethal concentration curve depicting the effects of</w:t>
      </w:r>
      <w:r>
        <w:t xml:space="preserve"> BPDS (1</w:t>
      </w:r>
      <w:r w:rsidRPr="00042F0B">
        <w:t>–</w:t>
      </w:r>
      <w:r>
        <w:t>10</w:t>
      </w:r>
      <w:r w:rsidRPr="00042F0B">
        <w:t>00 μM</w:t>
      </w:r>
      <w:r>
        <w:t xml:space="preserve">) on </w:t>
      </w:r>
      <w:r w:rsidRPr="005F1BE3">
        <w:rPr>
          <w:i/>
          <w:iCs/>
        </w:rPr>
        <w:t>Toxoplasma</w:t>
      </w:r>
      <w:r w:rsidRPr="005F1BE3">
        <w:t xml:space="preserve"> replication</w:t>
      </w:r>
      <w:r w:rsidRPr="00042F0B">
        <w:t>.</w:t>
      </w:r>
      <w:r>
        <w:t xml:space="preserve"> D, c</w:t>
      </w:r>
      <w:r w:rsidRPr="00042F0B">
        <w:t xml:space="preserve">ytotoxicity of </w:t>
      </w:r>
      <w:r>
        <w:t>BPDS (2.5</w:t>
      </w:r>
      <w:r w:rsidRPr="00042F0B">
        <w:t>–</w:t>
      </w:r>
      <w:r>
        <w:t>10</w:t>
      </w:r>
      <w:r w:rsidRPr="00042F0B">
        <w:t>00 μM</w:t>
      </w:r>
      <w:r>
        <w:t xml:space="preserve">) </w:t>
      </w:r>
      <w:r w:rsidRPr="00042F0B">
        <w:t xml:space="preserve">on </w:t>
      </w:r>
      <w:r>
        <w:t>HFF</w:t>
      </w:r>
      <w:r w:rsidRPr="00042F0B">
        <w:t xml:space="preserve"> cells.</w:t>
      </w:r>
      <w:r>
        <w:t xml:space="preserve"> E, </w:t>
      </w:r>
      <w:r w:rsidRPr="00042F0B">
        <w:t>half</w:t>
      </w:r>
      <w:r w:rsidR="00805B84">
        <w:t>-</w:t>
      </w:r>
      <w:r w:rsidRPr="00042F0B">
        <w:t xml:space="preserve">lethal concentration curve </w:t>
      </w:r>
      <w:r w:rsidR="00805B84" w:rsidRPr="00805B84">
        <w:t>showing</w:t>
      </w:r>
      <w:r w:rsidRPr="00042F0B">
        <w:t xml:space="preserve"> the effects of</w:t>
      </w:r>
      <w:r>
        <w:t xml:space="preserve"> </w:t>
      </w:r>
      <w:r w:rsidR="00F02BDD">
        <w:t>i</w:t>
      </w:r>
      <w:r w:rsidR="00F02BDD" w:rsidRPr="00F173A6">
        <w:t>ron(III) chloride</w:t>
      </w:r>
      <w:r>
        <w:t xml:space="preserve"> </w:t>
      </w:r>
      <w:r w:rsidR="00F02BDD">
        <w:t>(1</w:t>
      </w:r>
      <w:r w:rsidR="00F02BDD" w:rsidRPr="00042F0B">
        <w:t>–</w:t>
      </w:r>
      <w:r w:rsidR="00F02BDD">
        <w:t>16</w:t>
      </w:r>
      <w:r w:rsidR="00F02BDD" w:rsidRPr="00042F0B">
        <w:t>00 μM</w:t>
      </w:r>
      <w:r w:rsidR="00F02BDD">
        <w:t>)</w:t>
      </w:r>
      <w:r>
        <w:t xml:space="preserve"> on </w:t>
      </w:r>
      <w:r w:rsidRPr="005F1BE3">
        <w:rPr>
          <w:i/>
          <w:iCs/>
        </w:rPr>
        <w:t>Toxoplasma</w:t>
      </w:r>
      <w:r w:rsidRPr="005F1BE3">
        <w:t xml:space="preserve"> replication</w:t>
      </w:r>
      <w:r w:rsidRPr="00042F0B">
        <w:t>.</w:t>
      </w:r>
      <w:r>
        <w:t xml:space="preserve"> F, c</w:t>
      </w:r>
      <w:r w:rsidRPr="00042F0B">
        <w:t xml:space="preserve">ytotoxicity of </w:t>
      </w:r>
      <w:r w:rsidR="00F02BDD">
        <w:t>i</w:t>
      </w:r>
      <w:r w:rsidR="00F02BDD" w:rsidRPr="00F173A6">
        <w:t>ron(III) chloride</w:t>
      </w:r>
      <w:r>
        <w:t xml:space="preserve"> </w:t>
      </w:r>
      <w:r w:rsidR="00F02BDD">
        <w:t>(1</w:t>
      </w:r>
      <w:r w:rsidR="00F02BDD" w:rsidRPr="00042F0B">
        <w:t>–</w:t>
      </w:r>
      <w:r w:rsidR="00F02BDD">
        <w:t>16</w:t>
      </w:r>
      <w:r w:rsidR="00F02BDD" w:rsidRPr="00042F0B">
        <w:t>00 μM</w:t>
      </w:r>
      <w:r w:rsidR="00F02BDD">
        <w:t xml:space="preserve">) </w:t>
      </w:r>
      <w:r w:rsidRPr="00042F0B">
        <w:t xml:space="preserve">on </w:t>
      </w:r>
      <w:r>
        <w:t>HFF</w:t>
      </w:r>
      <w:r w:rsidRPr="00042F0B">
        <w:t xml:space="preserve"> cells.</w:t>
      </w:r>
    </w:p>
    <w:p w14:paraId="2F8AFD3F" w14:textId="6FD85540" w:rsidR="00C907A8" w:rsidRDefault="00C907A8">
      <w:r>
        <w:rPr>
          <w:noProof/>
        </w:rPr>
        <w:drawing>
          <wp:inline distT="0" distB="0" distL="0" distR="0" wp14:anchorId="0D51EF07" wp14:editId="0EF522D1">
            <wp:extent cx="6276975" cy="6242984"/>
            <wp:effectExtent l="0" t="0" r="0" b="5715"/>
            <wp:docPr id="8715515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73" cy="62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551A" w14:textId="77777777" w:rsidR="00C907A8" w:rsidRDefault="00C907A8">
      <w:pPr>
        <w:widowControl/>
        <w:jc w:val="left"/>
      </w:pPr>
      <w:r>
        <w:br w:type="page"/>
      </w:r>
    </w:p>
    <w:p w14:paraId="22B3ED85" w14:textId="0FA87BF0" w:rsidR="00C907A8" w:rsidRDefault="00C907A8">
      <w:r>
        <w:lastRenderedPageBreak/>
        <w:t>Fig. S2</w:t>
      </w:r>
      <w:r w:rsidRPr="005626C2">
        <w:t xml:space="preserve"> </w:t>
      </w:r>
      <w:r w:rsidR="00F02BDD" w:rsidRPr="00F173A6">
        <w:t>KEGG enrichment analysis</w:t>
      </w:r>
      <w:r w:rsidR="00F02BDD">
        <w:t xml:space="preserve"> </w:t>
      </w:r>
      <w:r w:rsidR="00F02BDD" w:rsidRPr="00F02BDD">
        <w:t xml:space="preserve">of differentially expressed genes in </w:t>
      </w:r>
      <w:r w:rsidR="00F02BDD" w:rsidRPr="00F02BDD">
        <w:rPr>
          <w:i/>
          <w:iCs/>
        </w:rPr>
        <w:t>Toxoplasma gondii</w:t>
      </w:r>
      <w:r w:rsidR="00F02BDD" w:rsidRPr="00F02BDD">
        <w:t xml:space="preserve"> </w:t>
      </w:r>
      <w:r w:rsidR="00F02BDD">
        <w:t>t</w:t>
      </w:r>
      <w:r w:rsidR="00F02BDD" w:rsidRPr="00F02BDD">
        <w:t>ranscriptome</w:t>
      </w:r>
      <w:r w:rsidR="00F02BDD">
        <w:t xml:space="preserve"> </w:t>
      </w:r>
      <w:r w:rsidR="00805B84">
        <w:t xml:space="preserve">under </w:t>
      </w:r>
      <w:r w:rsidR="00F02BDD" w:rsidRPr="00F02BDD">
        <w:t>iron deficiency and iron overload</w:t>
      </w:r>
      <w:r w:rsidR="00F02BDD">
        <w:t xml:space="preserve">. A, </w:t>
      </w:r>
      <w:r w:rsidR="00F02BDD" w:rsidRPr="00F02BDD">
        <w:t>KEGG enrichment analysis of</w:t>
      </w:r>
      <w:r w:rsidR="00F02BDD">
        <w:t xml:space="preserve"> u</w:t>
      </w:r>
      <w:r w:rsidR="00F02BDD" w:rsidRPr="00F02BDD">
        <w:t xml:space="preserve">p-regulated differential genes </w:t>
      </w:r>
      <w:r w:rsidR="00805B84">
        <w:t>under</w:t>
      </w:r>
      <w:r w:rsidR="00F02BDD" w:rsidRPr="00F02BDD">
        <w:t xml:space="preserve"> iron deficiency</w:t>
      </w:r>
      <w:r w:rsidR="00F02BDD">
        <w:t xml:space="preserve">. B, </w:t>
      </w:r>
      <w:r w:rsidR="00F02BDD" w:rsidRPr="00F02BDD">
        <w:t>KEGG enrichment analysis of</w:t>
      </w:r>
      <w:r w:rsidR="00F02BDD">
        <w:t xml:space="preserve"> u</w:t>
      </w:r>
      <w:r w:rsidR="00F02BDD" w:rsidRPr="00F02BDD">
        <w:t xml:space="preserve">p-regulated differential genes </w:t>
      </w:r>
      <w:r w:rsidR="00805B84">
        <w:t>under</w:t>
      </w:r>
      <w:r w:rsidR="00F02BDD" w:rsidRPr="00F02BDD">
        <w:t xml:space="preserve"> iron overload</w:t>
      </w:r>
      <w:r w:rsidR="00F02BDD">
        <w:t>.</w:t>
      </w:r>
    </w:p>
    <w:p w14:paraId="3B1A3CC6" w14:textId="2F1D0DEF" w:rsidR="00C907A8" w:rsidRDefault="00C907A8">
      <w:r>
        <w:rPr>
          <w:noProof/>
        </w:rPr>
        <w:drawing>
          <wp:inline distT="0" distB="0" distL="0" distR="0" wp14:anchorId="672C9500" wp14:editId="0993E738">
            <wp:extent cx="6010275" cy="6758847"/>
            <wp:effectExtent l="0" t="0" r="0" b="4445"/>
            <wp:docPr id="10673256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39" cy="676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711A" w14:textId="77777777" w:rsidR="00C907A8" w:rsidRDefault="00C907A8">
      <w:pPr>
        <w:widowControl/>
        <w:jc w:val="left"/>
      </w:pPr>
      <w:r>
        <w:br w:type="page"/>
      </w:r>
    </w:p>
    <w:p w14:paraId="423B781F" w14:textId="25B52DEF" w:rsidR="00FF43FC" w:rsidRDefault="00C907A8">
      <w:r>
        <w:lastRenderedPageBreak/>
        <w:t>Fig. S3</w:t>
      </w:r>
      <w:r w:rsidR="00F02BDD">
        <w:t xml:space="preserve"> </w:t>
      </w:r>
      <w:r w:rsidR="00F02BDD" w:rsidRPr="00F02BDD">
        <w:t>Prussian Blue staining of liver slices reflect</w:t>
      </w:r>
      <w:r w:rsidR="00805B84">
        <w:t>ing</w:t>
      </w:r>
      <w:r w:rsidR="00F02BDD" w:rsidRPr="00F02BDD">
        <w:t xml:space="preserve"> changes </w:t>
      </w:r>
      <w:r w:rsidR="00805B84">
        <w:t>in</w:t>
      </w:r>
      <w:r w:rsidR="00F02BDD" w:rsidRPr="00F02BDD">
        <w:t xml:space="preserve"> iron levels in mice under </w:t>
      </w:r>
      <w:r w:rsidR="00E710CB" w:rsidRPr="00E710CB">
        <w:t>iron chelation therapy and iron supplementation therapy</w:t>
      </w:r>
      <w:r w:rsidR="00E710CB">
        <w:t>. A, n</w:t>
      </w:r>
      <w:r w:rsidR="00E710CB" w:rsidRPr="00E710CB">
        <w:t>egative control, intraperitoneal injection of an equal amount of PBS solution</w:t>
      </w:r>
      <w:r w:rsidR="00E710CB">
        <w:t>.</w:t>
      </w:r>
      <w:r w:rsidR="00E710CB" w:rsidRPr="00E710CB">
        <w:t xml:space="preserve"> </w:t>
      </w:r>
      <w:r w:rsidR="00E710CB">
        <w:t xml:space="preserve">B, </w:t>
      </w:r>
      <w:r w:rsidR="00E710CB" w:rsidRPr="00E710CB">
        <w:t>iron chelation therapy</w:t>
      </w:r>
      <w:r w:rsidR="00E710CB">
        <w:t xml:space="preserve">, </w:t>
      </w:r>
      <w:r w:rsidR="00E710CB" w:rsidRPr="00E710CB">
        <w:t>intraperitoneal injection of</w:t>
      </w:r>
      <w:r w:rsidR="00E710CB">
        <w:t xml:space="preserve"> </w:t>
      </w:r>
      <w:r w:rsidR="00805B84">
        <w:t xml:space="preserve">the </w:t>
      </w:r>
      <w:r w:rsidR="00E710CB" w:rsidRPr="00E710CB">
        <w:t>iron chelating agents DFO</w:t>
      </w:r>
      <w:r w:rsidR="00805B84">
        <w:t xml:space="preserve"> at a dose of</w:t>
      </w:r>
      <w:r w:rsidR="00E710CB" w:rsidRPr="00E710CB">
        <w:t xml:space="preserve"> 300 mg/Kg</w:t>
      </w:r>
      <w:r w:rsidR="00E710CB">
        <w:t xml:space="preserve">. C, </w:t>
      </w:r>
      <w:r w:rsidR="00E710CB" w:rsidRPr="00E710CB">
        <w:t>iron supplementation therapy</w:t>
      </w:r>
      <w:r w:rsidR="00E710CB">
        <w:t xml:space="preserve">, </w:t>
      </w:r>
      <w:r w:rsidR="00E710CB" w:rsidRPr="00E710CB">
        <w:t>intraperitoneal injection of</w:t>
      </w:r>
      <w:r w:rsidR="00E710CB">
        <w:t xml:space="preserve"> </w:t>
      </w:r>
      <w:r w:rsidR="00E710CB" w:rsidRPr="00E710CB">
        <w:t xml:space="preserve">iron supplements ammonium iron(II) sulfate </w:t>
      </w:r>
      <w:r w:rsidR="00805B84">
        <w:t>at a dose of</w:t>
      </w:r>
      <w:r w:rsidR="00805B84" w:rsidRPr="00E710CB">
        <w:t xml:space="preserve"> </w:t>
      </w:r>
      <w:r w:rsidR="00E710CB" w:rsidRPr="00E710CB">
        <w:t>100 mg/Kg</w:t>
      </w:r>
      <w:r w:rsidR="00E710CB">
        <w:t xml:space="preserve">. </w:t>
      </w:r>
      <w:r w:rsidR="00E710CB" w:rsidRPr="00E710CB">
        <w:t>The blue area indicates the deposition of iron ions</w:t>
      </w:r>
      <w:r w:rsidR="00E710CB">
        <w:t>.</w:t>
      </w:r>
    </w:p>
    <w:p w14:paraId="558CE40E" w14:textId="36BFEBB6" w:rsidR="00C907A8" w:rsidRDefault="00C907A8">
      <w:r>
        <w:rPr>
          <w:noProof/>
        </w:rPr>
        <w:drawing>
          <wp:inline distT="0" distB="0" distL="0" distR="0" wp14:anchorId="5DD51DC9" wp14:editId="1F297B4D">
            <wp:extent cx="6096000" cy="3752231"/>
            <wp:effectExtent l="0" t="0" r="0" b="635"/>
            <wp:docPr id="18843307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68" cy="37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7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C10BB" w14:textId="77777777" w:rsidR="00325117" w:rsidRDefault="00325117" w:rsidP="00C907A8">
      <w:r>
        <w:separator/>
      </w:r>
    </w:p>
  </w:endnote>
  <w:endnote w:type="continuationSeparator" w:id="0">
    <w:p w14:paraId="6049C3DF" w14:textId="77777777" w:rsidR="00325117" w:rsidRDefault="00325117" w:rsidP="00C90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5AB6F" w14:textId="77777777" w:rsidR="00325117" w:rsidRDefault="00325117" w:rsidP="00C907A8">
      <w:r>
        <w:separator/>
      </w:r>
    </w:p>
  </w:footnote>
  <w:footnote w:type="continuationSeparator" w:id="0">
    <w:p w14:paraId="73C49659" w14:textId="77777777" w:rsidR="00325117" w:rsidRDefault="00325117" w:rsidP="00C90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WwMDEzNTc3NDY3MDVT0lEKTi0uzszPAykwrAUA4NdJYCwAAAA="/>
  </w:docVars>
  <w:rsids>
    <w:rsidRoot w:val="007B795D"/>
    <w:rsid w:val="0002033D"/>
    <w:rsid w:val="00042F0B"/>
    <w:rsid w:val="00045935"/>
    <w:rsid w:val="00143341"/>
    <w:rsid w:val="00325117"/>
    <w:rsid w:val="00601387"/>
    <w:rsid w:val="007B795D"/>
    <w:rsid w:val="00805B84"/>
    <w:rsid w:val="00C907A8"/>
    <w:rsid w:val="00E710CB"/>
    <w:rsid w:val="00F02BDD"/>
    <w:rsid w:val="00FF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1362D"/>
  <w15:chartTrackingRefBased/>
  <w15:docId w15:val="{E79D1AFD-50F5-46F4-A178-7FD93C118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aj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最大标题"/>
    <w:basedOn w:val="a"/>
    <w:link w:val="a4"/>
    <w:qFormat/>
    <w:rsid w:val="00601387"/>
    <w:pPr>
      <w:jc w:val="center"/>
    </w:pPr>
    <w:rPr>
      <w:rFonts w:eastAsia="Times New Roman"/>
      <w:b/>
      <w:bCs/>
      <w:sz w:val="32"/>
      <w:szCs w:val="32"/>
    </w:rPr>
  </w:style>
  <w:style w:type="character" w:customStyle="1" w:styleId="a4">
    <w:name w:val="最大标题 字符"/>
    <w:basedOn w:val="a0"/>
    <w:link w:val="a3"/>
    <w:rsid w:val="00601387"/>
    <w:rPr>
      <w:rFonts w:eastAsia="Times New Roman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C907A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907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90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907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铸 应</dc:creator>
  <cp:keywords/>
  <dc:description/>
  <cp:lastModifiedBy>铸 应</cp:lastModifiedBy>
  <cp:revision>3</cp:revision>
  <dcterms:created xsi:type="dcterms:W3CDTF">2023-07-29T02:45:00Z</dcterms:created>
  <dcterms:modified xsi:type="dcterms:W3CDTF">2023-07-29T06:17:00Z</dcterms:modified>
</cp:coreProperties>
</file>