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05A4B" w14:textId="372F60BB" w:rsidR="00C27F9E" w:rsidRPr="00462444" w:rsidRDefault="007233CE" w:rsidP="00C27F9E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en-US"/>
        </w:rPr>
        <w:t>Changes of h</w:t>
      </w:r>
      <w:r w:rsidR="00C27F9E" w:rsidRPr="00462444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istidine-rich </w:t>
      </w: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en-US"/>
        </w:rPr>
        <w:t>g</w:t>
      </w:r>
      <w:r w:rsidR="00C27F9E" w:rsidRPr="00462444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lycoprotein levels in critically ill septic patients  </w:t>
      </w:r>
    </w:p>
    <w:p w14:paraId="20D4C9E9" w14:textId="77777777" w:rsidR="00C27F9E" w:rsidRPr="003B3983" w:rsidRDefault="00C27F9E" w:rsidP="00C27F9E">
      <w:pPr>
        <w:spacing w:line="360" w:lineRule="auto"/>
        <w:jc w:val="both"/>
        <w:rPr>
          <w:rFonts w:ascii="Times New Roman" w:hAnsi="Times New Roman" w:cs="Times New Roman"/>
        </w:rPr>
      </w:pPr>
      <w:r w:rsidRPr="003B3983">
        <w:rPr>
          <w:rFonts w:ascii="Times New Roman" w:hAnsi="Times New Roman" w:cs="Times New Roman"/>
        </w:rPr>
        <w:t>Ayu Nabila Kusuma Pradana</w:t>
      </w:r>
      <w:r w:rsidRPr="003B3983">
        <w:rPr>
          <w:rFonts w:ascii="Times New Roman" w:hAnsi="Times New Roman" w:cs="Times New Roman"/>
          <w:vertAlign w:val="superscript"/>
        </w:rPr>
        <w:t>1</w:t>
      </w:r>
      <w:r w:rsidRPr="003B3983">
        <w:rPr>
          <w:rFonts w:ascii="Times New Roman" w:hAnsi="Times New Roman" w:cs="Times New Roman"/>
        </w:rPr>
        <w:t>, Tomohiko Akahoshi</w:t>
      </w:r>
      <w:r w:rsidRPr="003B3983">
        <w:rPr>
          <w:rFonts w:ascii="Times New Roman" w:hAnsi="Times New Roman" w:cs="Times New Roman"/>
          <w:vertAlign w:val="superscript"/>
        </w:rPr>
        <w:t>1</w:t>
      </w:r>
      <w:r w:rsidRPr="003B3983">
        <w:rPr>
          <w:rFonts w:ascii="Times New Roman" w:hAnsi="Times New Roman" w:cs="Times New Roman"/>
        </w:rPr>
        <w:t>*</w:t>
      </w:r>
      <w:r w:rsidRPr="003B3983">
        <w:rPr>
          <w:rFonts w:ascii="Times New Roman" w:eastAsia="MS Mincho" w:hAnsi="Times New Roman" w:cs="Times New Roman"/>
        </w:rPr>
        <w:t xml:space="preserve">, </w:t>
      </w:r>
      <w:r w:rsidRPr="003B3983">
        <w:rPr>
          <w:rFonts w:ascii="Times New Roman" w:hAnsi="Times New Roman" w:cs="Times New Roman"/>
          <w:color w:val="000000" w:themeColor="text1"/>
        </w:rPr>
        <w:t>Jie Guo</w:t>
      </w:r>
      <w:r w:rsidRPr="003B3983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3B3983">
        <w:rPr>
          <w:rFonts w:ascii="Times New Roman" w:hAnsi="Times New Roman" w:cs="Times New Roman"/>
          <w:color w:val="000000" w:themeColor="text1"/>
        </w:rPr>
        <w:t>, Yukie</w:t>
      </w:r>
      <w:r w:rsidRPr="003B3983">
        <w:rPr>
          <w:rFonts w:ascii="Times New Roman" w:eastAsia="MS Mincho" w:hAnsi="Times New Roman" w:cs="Times New Roman"/>
          <w:color w:val="000000" w:themeColor="text1"/>
        </w:rPr>
        <w:t xml:space="preserve"> </w:t>
      </w:r>
      <w:r w:rsidRPr="003B3983">
        <w:rPr>
          <w:rFonts w:ascii="Times New Roman" w:hAnsi="Times New Roman" w:cs="Times New Roman"/>
          <w:color w:val="000000" w:themeColor="text1"/>
        </w:rPr>
        <w:t>Mizuta</w:t>
      </w:r>
      <w:r w:rsidRPr="003B3983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3B3983">
        <w:rPr>
          <w:rFonts w:ascii="Times New Roman" w:hAnsi="Times New Roman" w:cs="Times New Roman"/>
          <w:color w:val="000000" w:themeColor="text1"/>
        </w:rPr>
        <w:t>, Shuntaro Matsunaga</w:t>
      </w:r>
      <w:r w:rsidRPr="003B3983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3B3983">
        <w:rPr>
          <w:rFonts w:ascii="Times New Roman" w:hAnsi="Times New Roman" w:cs="Times New Roman"/>
          <w:color w:val="000000" w:themeColor="text1"/>
        </w:rPr>
        <w:t xml:space="preserve">, </w:t>
      </w:r>
      <w:r w:rsidRPr="003B3983">
        <w:rPr>
          <w:rFonts w:ascii="Times New Roman" w:hAnsi="Times New Roman" w:cs="Times New Roman"/>
        </w:rPr>
        <w:t>Sayuko Narahara</w:t>
      </w:r>
      <w:r w:rsidRPr="003B3983">
        <w:rPr>
          <w:rFonts w:ascii="Times New Roman" w:hAnsi="Times New Roman" w:cs="Times New Roman"/>
          <w:vertAlign w:val="superscript"/>
        </w:rPr>
        <w:t>2</w:t>
      </w:r>
      <w:r w:rsidRPr="003B3983">
        <w:rPr>
          <w:rFonts w:ascii="Times New Roman" w:hAnsi="Times New Roman" w:cs="Times New Roman"/>
        </w:rPr>
        <w:t>, Masaharu Murata</w:t>
      </w:r>
      <w:r w:rsidRPr="003B3983">
        <w:rPr>
          <w:rFonts w:ascii="Times New Roman" w:hAnsi="Times New Roman" w:cs="Times New Roman"/>
          <w:vertAlign w:val="superscript"/>
        </w:rPr>
        <w:t>2</w:t>
      </w:r>
      <w:r w:rsidRPr="003B3983">
        <w:rPr>
          <w:rFonts w:ascii="Times New Roman" w:hAnsi="Times New Roman" w:cs="Times New Roman"/>
        </w:rPr>
        <w:t>, Ken Yamaura</w:t>
      </w:r>
      <w:r w:rsidRPr="003B3983">
        <w:rPr>
          <w:rFonts w:ascii="Times New Roman" w:hAnsi="Times New Roman" w:cs="Times New Roman"/>
          <w:vertAlign w:val="superscript"/>
        </w:rPr>
        <w:t>3</w:t>
      </w:r>
    </w:p>
    <w:p w14:paraId="1E52C13E" w14:textId="74792C0D" w:rsidR="00C27F9E" w:rsidRPr="003B3983" w:rsidRDefault="00C27F9E" w:rsidP="00C27F9E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B3983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3B3983">
        <w:rPr>
          <w:rFonts w:ascii="Times New Roman" w:hAnsi="Times New Roman" w:cs="Times New Roman"/>
          <w:sz w:val="18"/>
          <w:szCs w:val="18"/>
        </w:rPr>
        <w:t xml:space="preserve">Department of </w:t>
      </w:r>
      <w:r w:rsidR="00B567DC">
        <w:rPr>
          <w:rFonts w:ascii="Times New Roman" w:hAnsi="Times New Roman" w:cs="Times New Roman"/>
          <w:sz w:val="18"/>
          <w:szCs w:val="18"/>
          <w:lang w:val="en-US"/>
        </w:rPr>
        <w:t xml:space="preserve">Advanced </w:t>
      </w:r>
      <w:r w:rsidR="00B567DC" w:rsidRPr="003B3983">
        <w:rPr>
          <w:rFonts w:ascii="Times New Roman" w:hAnsi="Times New Roman" w:cs="Times New Roman"/>
          <w:sz w:val="18"/>
          <w:szCs w:val="18"/>
        </w:rPr>
        <w:t>Emergen</w:t>
      </w:r>
      <w:r w:rsidR="00B567DC" w:rsidRPr="003B3983">
        <w:rPr>
          <w:rFonts w:ascii="Times New Roman" w:hAnsi="Times New Roman" w:cs="Times New Roman"/>
          <w:color w:val="000000" w:themeColor="text1"/>
          <w:sz w:val="18"/>
          <w:szCs w:val="18"/>
        </w:rPr>
        <w:t>cy</w:t>
      </w:r>
      <w:r w:rsidR="00B567DC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21069D">
        <w:rPr>
          <w:rFonts w:ascii="Times New Roman" w:hAnsi="Times New Roman" w:cs="Times New Roman"/>
          <w:sz w:val="18"/>
          <w:szCs w:val="18"/>
          <w:lang w:val="en-US"/>
        </w:rPr>
        <w:t xml:space="preserve">and </w:t>
      </w:r>
      <w:r w:rsidR="00B567DC" w:rsidRPr="003B3983">
        <w:rPr>
          <w:rFonts w:ascii="Times New Roman" w:hAnsi="Times New Roman" w:cs="Times New Roman"/>
          <w:sz w:val="18"/>
          <w:szCs w:val="18"/>
        </w:rPr>
        <w:t xml:space="preserve">Disaster </w:t>
      </w:r>
      <w:r w:rsidRPr="003B3983">
        <w:rPr>
          <w:rFonts w:ascii="Times New Roman" w:hAnsi="Times New Roman" w:cs="Times New Roman"/>
          <w:sz w:val="18"/>
          <w:szCs w:val="18"/>
        </w:rPr>
        <w:t xml:space="preserve">Medicine, Graduate School of Medical Sciences, Kyushu University, Fukuoka 812-8582, Japan. </w:t>
      </w:r>
    </w:p>
    <w:p w14:paraId="67CC39F1" w14:textId="77777777" w:rsidR="00C27F9E" w:rsidRPr="003B3983" w:rsidRDefault="00C27F9E" w:rsidP="00C27F9E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B3983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3B3983">
        <w:rPr>
          <w:rFonts w:ascii="Times New Roman" w:hAnsi="Times New Roman" w:cs="Times New Roman"/>
          <w:sz w:val="18"/>
          <w:szCs w:val="18"/>
        </w:rPr>
        <w:t xml:space="preserve">Center for Advanced Medical Innovation, Kyushu University, Fukuoka 812-8582, Japan. </w:t>
      </w:r>
    </w:p>
    <w:p w14:paraId="20D7CB43" w14:textId="77777777" w:rsidR="00C27F9E" w:rsidRPr="003B3983" w:rsidRDefault="00C27F9E" w:rsidP="00C27F9E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B3983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3B3983">
        <w:rPr>
          <w:rFonts w:ascii="Times New Roman" w:hAnsi="Times New Roman" w:cs="Times New Roman"/>
          <w:sz w:val="18"/>
          <w:szCs w:val="18"/>
        </w:rPr>
        <w:t xml:space="preserve">Department of Anesthesiology and Critical Care Medicine, Graduate School of Medical Sciences, Kyushu University, Fukuoka 812-8582, Japan. </w:t>
      </w:r>
    </w:p>
    <w:p w14:paraId="119D94B9" w14:textId="77777777" w:rsidR="00C27F9E" w:rsidRPr="003B3983" w:rsidRDefault="00C27F9E" w:rsidP="00C27F9E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B3983">
        <w:rPr>
          <w:rFonts w:ascii="Times New Roman" w:hAnsi="Times New Roman" w:cs="Times New Roman"/>
          <w:b/>
          <w:bCs/>
          <w:sz w:val="18"/>
          <w:szCs w:val="18"/>
        </w:rPr>
        <w:t>*</w:t>
      </w:r>
      <w:r w:rsidRPr="003B3983">
        <w:rPr>
          <w:rFonts w:ascii="Times New Roman" w:eastAsia="Yu Mincho" w:hAnsi="Times New Roman" w:cs="Times New Roman"/>
          <w:sz w:val="18"/>
          <w:szCs w:val="18"/>
        </w:rPr>
        <w:t>akahoshi.tomohiko.006@m.kyushu-u.ac.jp</w:t>
      </w:r>
    </w:p>
    <w:p w14:paraId="3F805A44" w14:textId="77777777" w:rsidR="00C27F9E" w:rsidRDefault="00C27F9E" w:rsidP="000E55CD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1F45987" w14:textId="77777777" w:rsidR="00C27F9E" w:rsidRDefault="00C27F9E" w:rsidP="000E55CD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3B72069" w14:textId="77777777" w:rsidR="00C27F9E" w:rsidRDefault="00C27F9E" w:rsidP="000E55CD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27135905" w14:textId="7DF233AF" w:rsidR="000E55CD" w:rsidRPr="00363EE6" w:rsidRDefault="000E55CD" w:rsidP="000E55CD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363EE6">
        <w:rPr>
          <w:rFonts w:ascii="Times New Roman" w:hAnsi="Times New Roman" w:cs="Times New Roman"/>
          <w:b/>
          <w:bCs/>
          <w:sz w:val="22"/>
          <w:szCs w:val="22"/>
        </w:rPr>
        <w:t xml:space="preserve">Supplementary Table 1. </w:t>
      </w:r>
      <w:r w:rsidRPr="00363EE6">
        <w:rPr>
          <w:rFonts w:ascii="Times New Roman" w:hAnsi="Times New Roman" w:cs="Times New Roman"/>
          <w:sz w:val="22"/>
          <w:szCs w:val="22"/>
          <w:lang w:val="en-US"/>
        </w:rPr>
        <w:t>Japanese Society on Acute Medicine (JAAM) DIC score</w:t>
      </w:r>
      <w:r w:rsidRPr="00363EE6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1</w:t>
      </w:r>
      <w:r w:rsidR="005F5839"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3</w:t>
      </w:r>
    </w:p>
    <w:tbl>
      <w:tblPr>
        <w:tblW w:w="6663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040"/>
        <w:gridCol w:w="1623"/>
      </w:tblGrid>
      <w:tr w:rsidR="000E55CD" w:rsidRPr="00363EE6" w14:paraId="114B6E3B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4BCB55BA" w14:textId="7CB0013A" w:rsidR="000E55CD" w:rsidRPr="00363EE6" w:rsidRDefault="000E55CD" w:rsidP="00363EE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363EE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coring system</w:t>
            </w:r>
          </w:p>
        </w:tc>
        <w:tc>
          <w:tcPr>
            <w:tcW w:w="16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14:paraId="52A4A499" w14:textId="77777777" w:rsidR="000E55CD" w:rsidRPr="00363EE6" w:rsidRDefault="000E55CD" w:rsidP="00363E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Score</w:t>
            </w:r>
          </w:p>
        </w:tc>
      </w:tr>
      <w:tr w:rsidR="000E55CD" w:rsidRPr="00363EE6" w14:paraId="7D1BE339" w14:textId="77777777" w:rsidTr="00363EE6">
        <w:trPr>
          <w:trHeight w:val="57"/>
          <w:jc w:val="center"/>
        </w:trPr>
        <w:tc>
          <w:tcPr>
            <w:tcW w:w="6663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D08F73" w14:textId="77777777" w:rsidR="000E55CD" w:rsidRPr="00363EE6" w:rsidRDefault="000E55CD" w:rsidP="00363EE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Systemic inflammatory response syndrome criteria</w:t>
            </w:r>
          </w:p>
        </w:tc>
      </w:tr>
      <w:tr w:rsidR="000E55CD" w:rsidRPr="00363EE6" w14:paraId="42F16160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E9079B" w14:textId="77777777" w:rsidR="000E55CD" w:rsidRPr="00363EE6" w:rsidRDefault="000E55CD" w:rsidP="00363E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≥ 3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D58F90" w14:textId="77777777" w:rsidR="000E55CD" w:rsidRPr="00363EE6" w:rsidRDefault="000E55CD" w:rsidP="00363E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E55CD" w:rsidRPr="00363EE6" w14:paraId="29D489F9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318674" w14:textId="77777777" w:rsidR="000E55CD" w:rsidRPr="00363EE6" w:rsidRDefault="000E55CD" w:rsidP="00363E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0-2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FFDD2B" w14:textId="77777777" w:rsidR="000E55CD" w:rsidRPr="00363EE6" w:rsidRDefault="000E55CD" w:rsidP="00363E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E55CD" w:rsidRPr="00363EE6" w14:paraId="62E052D4" w14:textId="77777777" w:rsidTr="00363EE6">
        <w:trPr>
          <w:trHeight w:val="57"/>
          <w:jc w:val="center"/>
        </w:trPr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BDD6A5" w14:textId="77777777" w:rsidR="000E55CD" w:rsidRPr="00363EE6" w:rsidRDefault="000E55CD" w:rsidP="00363EE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Platelet counts </w:t>
            </w:r>
            <w:r w:rsidRPr="00363EE6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(x 10</w:t>
            </w:r>
            <w:r w:rsidRPr="00363EE6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9</w:t>
            </w:r>
            <w:r w:rsidRPr="00363EE6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/L) </w:t>
            </w:r>
          </w:p>
        </w:tc>
      </w:tr>
      <w:tr w:rsidR="000E55CD" w:rsidRPr="00363EE6" w14:paraId="7A777758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D67584" w14:textId="77777777" w:rsidR="000E55CD" w:rsidRPr="00363EE6" w:rsidRDefault="000E55CD" w:rsidP="00363E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&lt; 80 or more than 50% decrease within 24 hours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673561" w14:textId="77777777" w:rsidR="000E55CD" w:rsidRPr="00363EE6" w:rsidRDefault="000E55CD" w:rsidP="00363E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0E55CD" w:rsidRPr="00363EE6" w14:paraId="2E3AE6D0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2A5225" w14:textId="77777777" w:rsidR="000E55CD" w:rsidRPr="00363EE6" w:rsidRDefault="000E55CD" w:rsidP="00363E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&gt;80 and &lt; 120 or more than 30% decrease within 24 hours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9E33EC" w14:textId="77777777" w:rsidR="000E55CD" w:rsidRPr="00363EE6" w:rsidRDefault="000E55CD" w:rsidP="00363E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E55CD" w:rsidRPr="00363EE6" w14:paraId="0473095C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B579A1" w14:textId="77777777" w:rsidR="000E55CD" w:rsidRPr="00363EE6" w:rsidRDefault="000E55CD" w:rsidP="00363E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&gt;120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07D494" w14:textId="77777777" w:rsidR="000E55CD" w:rsidRPr="00363EE6" w:rsidRDefault="000E55CD" w:rsidP="00363E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E55CD" w:rsidRPr="00363EE6" w14:paraId="071EAFDB" w14:textId="77777777" w:rsidTr="00363EE6">
        <w:trPr>
          <w:trHeight w:val="57"/>
          <w:jc w:val="center"/>
        </w:trPr>
        <w:tc>
          <w:tcPr>
            <w:tcW w:w="6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3ACEDC" w14:textId="77777777" w:rsidR="000E55CD" w:rsidRPr="00363EE6" w:rsidRDefault="000E55CD" w:rsidP="00363EE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Prothrombin time (PT ratio) </w:t>
            </w:r>
          </w:p>
        </w:tc>
      </w:tr>
      <w:tr w:rsidR="000E55CD" w:rsidRPr="00363EE6" w14:paraId="3AC1B04F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4D278B" w14:textId="77777777" w:rsidR="000E55CD" w:rsidRPr="00363EE6" w:rsidRDefault="000E55CD" w:rsidP="00363E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≥ 1.2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F2E82D" w14:textId="77777777" w:rsidR="000E55CD" w:rsidRPr="00363EE6" w:rsidRDefault="000E55CD" w:rsidP="00363E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E55CD" w:rsidRPr="00363EE6" w14:paraId="3F2FEAF8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9595C0" w14:textId="77777777" w:rsidR="000E55CD" w:rsidRPr="00363EE6" w:rsidRDefault="000E55CD" w:rsidP="00363E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&lt;1.2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9EB26E" w14:textId="77777777" w:rsidR="000E55CD" w:rsidRPr="00363EE6" w:rsidRDefault="000E55CD" w:rsidP="00363E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0E55CD" w:rsidRPr="00363EE6" w14:paraId="6F0D4A3C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561119" w14:textId="77777777" w:rsidR="000E55CD" w:rsidRPr="00363EE6" w:rsidRDefault="000E55CD" w:rsidP="00363EE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FDP (D-dimer)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DAC039" w14:textId="77777777" w:rsidR="000E55CD" w:rsidRPr="00363EE6" w:rsidRDefault="000E55CD" w:rsidP="00363EE6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0E55CD" w:rsidRPr="00363EE6" w14:paraId="4CE19C0D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E5BFA1" w14:textId="77777777" w:rsidR="000E55CD" w:rsidRPr="00363EE6" w:rsidRDefault="000E55CD" w:rsidP="00363E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≥25 µg/mL (use conversion chart) 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F5699D" w14:textId="77777777" w:rsidR="000E55CD" w:rsidRPr="00363EE6" w:rsidRDefault="000E55CD" w:rsidP="00363E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0E55CD" w:rsidRPr="00363EE6" w14:paraId="2F0894FF" w14:textId="77777777" w:rsidTr="00363EE6">
        <w:trPr>
          <w:trHeight w:val="57"/>
          <w:jc w:val="center"/>
        </w:trPr>
        <w:tc>
          <w:tcPr>
            <w:tcW w:w="5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2C8DC5" w14:textId="19BF3DD6" w:rsidR="000E55CD" w:rsidRPr="00363EE6" w:rsidRDefault="000E55CD" w:rsidP="00363EE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≥10, &lt;25 µg/</w:t>
            </w:r>
            <w:r w:rsidR="00363EE6" w:rsidRPr="00363EE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mL (</w:t>
            </w:r>
            <w:r w:rsidRPr="00363EE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use conversion chart) 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477962" w14:textId="77777777" w:rsidR="000E55CD" w:rsidRPr="00363EE6" w:rsidRDefault="000E55CD" w:rsidP="00363E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63EE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E55CD" w:rsidRPr="00363EE6" w14:paraId="74D76C44" w14:textId="77777777" w:rsidTr="00363EE6">
        <w:trPr>
          <w:trHeight w:val="57"/>
          <w:jc w:val="center"/>
        </w:trPr>
        <w:tc>
          <w:tcPr>
            <w:tcW w:w="6663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48BFCB" w14:textId="77777777" w:rsidR="000E55CD" w:rsidRPr="00C27F9E" w:rsidRDefault="000E55CD" w:rsidP="00363E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27F9E">
              <w:rPr>
                <w:rFonts w:ascii="Times New Roman" w:hAnsi="Times New Roman" w:cs="Times New Roman"/>
                <w:sz w:val="18"/>
                <w:szCs w:val="18"/>
              </w:rPr>
              <w:t xml:space="preserve">The diagnosis of DIC is made if the score is 4 or </w:t>
            </w:r>
            <w:r w:rsidRPr="00C27F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C27F9E">
              <w:rPr>
                <w:rFonts w:ascii="Times New Roman" w:hAnsi="Times New Roman" w:cs="Times New Roman"/>
                <w:sz w:val="18"/>
                <w:szCs w:val="18"/>
              </w:rPr>
              <w:t>ore</w:t>
            </w:r>
          </w:p>
          <w:p w14:paraId="3CF2C1B0" w14:textId="77777777" w:rsidR="000E55CD" w:rsidRPr="00C27F9E" w:rsidRDefault="000E55CD" w:rsidP="00363E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27F9E">
              <w:rPr>
                <w:rFonts w:ascii="Times New Roman" w:hAnsi="Times New Roman" w:cs="Times New Roman"/>
                <w:sz w:val="18"/>
                <w:szCs w:val="18"/>
              </w:rPr>
              <w:t>Criteria for systemic inflammatory response syndrome</w:t>
            </w:r>
          </w:p>
          <w:p w14:paraId="47FD48FD" w14:textId="77777777" w:rsidR="000E55CD" w:rsidRPr="00C27F9E" w:rsidRDefault="000E55CD" w:rsidP="00363EE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C27F9E">
              <w:rPr>
                <w:rFonts w:ascii="Times New Roman" w:hAnsi="Times New Roman" w:cs="Times New Roman"/>
                <w:sz w:val="18"/>
                <w:szCs w:val="18"/>
              </w:rPr>
              <w:t>Temperature &gt;38 0C or &lt;36 0C</w:t>
            </w:r>
          </w:p>
          <w:p w14:paraId="5AE5F9C2" w14:textId="77777777" w:rsidR="000E55CD" w:rsidRPr="00C27F9E" w:rsidRDefault="000E55CD" w:rsidP="00363EE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C27F9E">
              <w:rPr>
                <w:rFonts w:ascii="Times New Roman" w:hAnsi="Times New Roman" w:cs="Times New Roman"/>
                <w:sz w:val="18"/>
                <w:szCs w:val="18"/>
              </w:rPr>
              <w:t>Heart rate &gt;90 x/min</w:t>
            </w:r>
          </w:p>
          <w:p w14:paraId="43AB7E3D" w14:textId="77777777" w:rsidR="000E55CD" w:rsidRPr="00C27F9E" w:rsidRDefault="000E55CD" w:rsidP="00363EE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C27F9E">
              <w:rPr>
                <w:rFonts w:ascii="Times New Roman" w:hAnsi="Times New Roman" w:cs="Times New Roman"/>
                <w:sz w:val="18"/>
                <w:szCs w:val="18"/>
              </w:rPr>
              <w:t>Respiratory rate &gt;20 x/min or PaC02&lt;32 torr (&lt;4.3 kPa)</w:t>
            </w:r>
          </w:p>
          <w:p w14:paraId="2516C02E" w14:textId="77777777" w:rsidR="000E55CD" w:rsidRPr="00C27F9E" w:rsidRDefault="000E55CD" w:rsidP="00363EE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C27F9E">
              <w:rPr>
                <w:rFonts w:ascii="Times New Roman" w:hAnsi="Times New Roman" w:cs="Times New Roman"/>
                <w:sz w:val="18"/>
                <w:szCs w:val="18"/>
              </w:rPr>
              <w:t>White cell blood counts &gt;12,000/mm3, &lt;4,000cells/mm3, or 10% immature (band) forms</w:t>
            </w:r>
          </w:p>
        </w:tc>
      </w:tr>
    </w:tbl>
    <w:p w14:paraId="1D791E04" w14:textId="77777777" w:rsidR="000E55CD" w:rsidRPr="00363EE6" w:rsidRDefault="000E55CD" w:rsidP="000E55CD">
      <w:pPr>
        <w:jc w:val="center"/>
        <w:rPr>
          <w:rFonts w:ascii="Times New Roman" w:hAnsi="Times New Roman" w:cs="Times New Roman"/>
          <w:b/>
          <w:bCs/>
        </w:rPr>
      </w:pPr>
    </w:p>
    <w:p w14:paraId="77FAA35D" w14:textId="4EA64E62" w:rsidR="003C4D58" w:rsidRPr="00363EE6" w:rsidRDefault="000E55CD" w:rsidP="00C27F9E">
      <w:pPr>
        <w:rPr>
          <w:rFonts w:ascii="Times New Roman" w:hAnsi="Times New Roman" w:cs="Times New Roman"/>
          <w:sz w:val="22"/>
          <w:szCs w:val="22"/>
        </w:rPr>
      </w:pPr>
      <w:r w:rsidRPr="00363EE6">
        <w:rPr>
          <w:rFonts w:ascii="Times New Roman" w:hAnsi="Times New Roman" w:cs="Times New Roman"/>
          <w:sz w:val="22"/>
          <w:szCs w:val="22"/>
          <w:lang w:val="en-US"/>
        </w:rPr>
        <w:t>FDP, fibrin/fibrinogen degradation product</w:t>
      </w:r>
    </w:p>
    <w:p w14:paraId="4FFAF99F" w14:textId="23FE6B1E" w:rsidR="003C4D58" w:rsidRPr="00363EE6" w:rsidRDefault="00363EE6" w:rsidP="003C4D58">
      <w:pPr>
        <w:jc w:val="center"/>
        <w:rPr>
          <w:rFonts w:ascii="Times New Roman" w:hAnsi="Times New Roman" w:cs="Times New Roman"/>
          <w:sz w:val="22"/>
          <w:szCs w:val="22"/>
        </w:rPr>
      </w:pPr>
      <w:r w:rsidRPr="00363EE6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72602A66" wp14:editId="0512D1C3">
            <wp:extent cx="4009906" cy="2785199"/>
            <wp:effectExtent l="0" t="0" r="3810" b="0"/>
            <wp:docPr id="254325267" name="Picture 1" descr="A picture containing line, diagram, parallel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325267" name="Picture 1" descr="A picture containing line, diagram, parallel, screenshot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74"/>
                    <a:stretch/>
                  </pic:blipFill>
                  <pic:spPr bwMode="auto">
                    <a:xfrm>
                      <a:off x="0" y="0"/>
                      <a:ext cx="4030374" cy="2799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D20316" w14:textId="77777777" w:rsidR="003C4D58" w:rsidRPr="00363EE6" w:rsidRDefault="003C4D58" w:rsidP="003C4D58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491BE6A" w14:textId="06B2EEB9" w:rsidR="00363EE6" w:rsidRPr="00363EE6" w:rsidRDefault="003C4D58" w:rsidP="00363EE6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363EE6">
        <w:rPr>
          <w:rFonts w:ascii="Times New Roman" w:hAnsi="Times New Roman" w:cs="Times New Roman"/>
          <w:b/>
          <w:bCs/>
          <w:sz w:val="22"/>
          <w:szCs w:val="22"/>
          <w:lang w:val="en-US"/>
        </w:rPr>
        <w:t>Supplementary Figure 1. HRG levels in extubated and non-extubated ARDS patients</w:t>
      </w:r>
    </w:p>
    <w:p w14:paraId="130B2731" w14:textId="60003F85" w:rsidR="003C4D58" w:rsidRPr="00363EE6" w:rsidRDefault="003C4D58" w:rsidP="003C4D58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363EE6">
        <w:rPr>
          <w:rFonts w:ascii="Times New Roman" w:hAnsi="Times New Roman" w:cs="Times New Roman"/>
          <w:sz w:val="22"/>
          <w:szCs w:val="22"/>
          <w:lang w:val="en-US"/>
        </w:rPr>
        <w:t>Non-extubated ARDS patients had lower HRG levels than extubated patients (19) on days 5 and 7, and 9 of 15 non-extubated ARDS patients died within 28 days. Data presented as mean and standard deviation. #P &lt;0.05 vs. the other group.</w:t>
      </w:r>
    </w:p>
    <w:p w14:paraId="2725352F" w14:textId="77777777" w:rsidR="003C4D58" w:rsidRDefault="003C4D58" w:rsidP="00363EE6">
      <w:pPr>
        <w:rPr>
          <w:rFonts w:ascii="Times New Roman" w:hAnsi="Times New Roman" w:cs="Times New Roman"/>
          <w:sz w:val="22"/>
          <w:szCs w:val="22"/>
        </w:rPr>
      </w:pPr>
    </w:p>
    <w:p w14:paraId="5F8DAE6B" w14:textId="77777777" w:rsidR="00C27F9E" w:rsidRDefault="00C27F9E" w:rsidP="00363EE6">
      <w:pPr>
        <w:rPr>
          <w:rFonts w:ascii="Times New Roman" w:hAnsi="Times New Roman" w:cs="Times New Roman"/>
          <w:sz w:val="22"/>
          <w:szCs w:val="22"/>
        </w:rPr>
      </w:pPr>
    </w:p>
    <w:p w14:paraId="31A07BE0" w14:textId="77777777" w:rsidR="00C27F9E" w:rsidRDefault="00C27F9E" w:rsidP="00363EE6">
      <w:pPr>
        <w:rPr>
          <w:rFonts w:ascii="Times New Roman" w:hAnsi="Times New Roman" w:cs="Times New Roman"/>
          <w:sz w:val="22"/>
          <w:szCs w:val="22"/>
        </w:rPr>
      </w:pPr>
    </w:p>
    <w:p w14:paraId="12732662" w14:textId="77777777" w:rsidR="00C27F9E" w:rsidRPr="00363EE6" w:rsidRDefault="00C27F9E" w:rsidP="00363EE6">
      <w:pPr>
        <w:rPr>
          <w:rFonts w:ascii="Times New Roman" w:hAnsi="Times New Roman" w:cs="Times New Roman"/>
          <w:sz w:val="22"/>
          <w:szCs w:val="22"/>
        </w:rPr>
      </w:pPr>
    </w:p>
    <w:p w14:paraId="2001A894" w14:textId="219BF803" w:rsidR="003C4D58" w:rsidRPr="00363EE6" w:rsidRDefault="00363EE6" w:rsidP="003C4D58">
      <w:pPr>
        <w:jc w:val="center"/>
        <w:rPr>
          <w:rFonts w:ascii="Times New Roman" w:hAnsi="Times New Roman" w:cs="Times New Roman"/>
          <w:sz w:val="22"/>
          <w:szCs w:val="22"/>
        </w:rPr>
      </w:pPr>
      <w:r w:rsidRPr="00363EE6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7786568A" wp14:editId="78354BA1">
            <wp:extent cx="4158253" cy="2843549"/>
            <wp:effectExtent l="0" t="0" r="0" b="0"/>
            <wp:docPr id="4325908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590815" name="Picture 432590815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82"/>
                    <a:stretch/>
                  </pic:blipFill>
                  <pic:spPr bwMode="auto">
                    <a:xfrm>
                      <a:off x="0" y="0"/>
                      <a:ext cx="4178285" cy="2857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8520F1" w14:textId="77777777" w:rsidR="003C4D58" w:rsidRPr="00363EE6" w:rsidRDefault="003C4D58" w:rsidP="003C4D58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6F4E5B3" w14:textId="77777777" w:rsidR="003C4D58" w:rsidRPr="00363EE6" w:rsidRDefault="003C4D58" w:rsidP="003C4D58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AD24EE1" w14:textId="77777777" w:rsidR="00363EE6" w:rsidRPr="00363EE6" w:rsidRDefault="003C4D58" w:rsidP="003C4D58">
      <w:pPr>
        <w:spacing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363EE6">
        <w:rPr>
          <w:rFonts w:ascii="Times New Roman" w:hAnsi="Times New Roman" w:cs="Times New Roman"/>
          <w:b/>
          <w:bCs/>
          <w:sz w:val="22"/>
          <w:szCs w:val="22"/>
          <w:lang w:val="en-US"/>
        </w:rPr>
        <w:t>Supplementary Figure 2. HRG levels in extubated and non-extubated COVID-19 ARDS patients</w:t>
      </w:r>
    </w:p>
    <w:p w14:paraId="5FB3E30E" w14:textId="6A63FCBE" w:rsidR="003C4D58" w:rsidRPr="00363EE6" w:rsidRDefault="003C4D58" w:rsidP="00363EE6">
      <w:pPr>
        <w:spacing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363EE6">
        <w:rPr>
          <w:rFonts w:ascii="Times New Roman" w:hAnsi="Times New Roman" w:cs="Times New Roman"/>
          <w:sz w:val="22"/>
          <w:szCs w:val="22"/>
          <w:lang w:val="en-US"/>
        </w:rPr>
        <w:t>Non-extubated (n=7) COVID-19 ARDS patients had slightly lower HRG levels than extubated patients (n=13), but not significantly. 2 of 7 non-extubated COVID-19 ARDS patients died within 28 days. Data presented as mean and standard deviation.</w:t>
      </w:r>
    </w:p>
    <w:sectPr w:rsidR="003C4D58" w:rsidRPr="00363EE6" w:rsidSect="00C27F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B13CE"/>
    <w:multiLevelType w:val="hybridMultilevel"/>
    <w:tmpl w:val="001A5E66"/>
    <w:lvl w:ilvl="0" w:tplc="D4961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0453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1EB2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984E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B0DA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1A9A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3AF6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482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9698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23813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5CD"/>
    <w:rsid w:val="000E55CD"/>
    <w:rsid w:val="001F4400"/>
    <w:rsid w:val="0021069D"/>
    <w:rsid w:val="00363EE6"/>
    <w:rsid w:val="003C4D58"/>
    <w:rsid w:val="005F3FE6"/>
    <w:rsid w:val="005F5839"/>
    <w:rsid w:val="006373F2"/>
    <w:rsid w:val="007233CE"/>
    <w:rsid w:val="007B000B"/>
    <w:rsid w:val="00B567DC"/>
    <w:rsid w:val="00C27F9E"/>
    <w:rsid w:val="00CF2730"/>
    <w:rsid w:val="00D34F29"/>
    <w:rsid w:val="00E9098A"/>
    <w:rsid w:val="00FA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1AF65C"/>
  <w15:chartTrackingRefBased/>
  <w15:docId w15:val="{ED71B18D-74D8-D34D-9AED-374734D9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55C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78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778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2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4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61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 Nabila Kusuma Pradana</dc:creator>
  <cp:keywords/>
  <dc:description/>
  <cp:lastModifiedBy>AYU NABILA KUSUMA PRADANA</cp:lastModifiedBy>
  <cp:revision>2</cp:revision>
  <dcterms:created xsi:type="dcterms:W3CDTF">2023-08-07T04:55:00Z</dcterms:created>
  <dcterms:modified xsi:type="dcterms:W3CDTF">2023-08-07T04:55:00Z</dcterms:modified>
</cp:coreProperties>
</file>