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621F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Supplemental 1</w:t>
      </w:r>
    </w:p>
    <w:p w14:paraId="34711475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712A9422" w14:textId="77777777" w:rsidR="00CC18A9" w:rsidRPr="00B0403B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B0403B">
        <w:rPr>
          <w:rFonts w:ascii="Times New Roman" w:eastAsia="Times New Roman" w:hAnsi="Times New Roman" w:cs="Times New Roman"/>
          <w:color w:val="000000"/>
          <w:lang w:eastAsia="pt-BR"/>
        </w:rPr>
        <w:t>ACTIVE SURVEILLANCE PROTOCOL IN LOW-RISK PROSTATE CANCER</w:t>
      </w:r>
    </w:p>
    <w:p w14:paraId="0981CF12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Guideline for the study “Evaluation of an Active Surveillance Protocol for Prostate Cancer in the Brazilian Population”</w:t>
      </w:r>
    </w:p>
    <w:p w14:paraId="53F19C9C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Developed by the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Uro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-Oncology Group of Hospital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Moinhos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de </w:t>
      </w:r>
      <w:proofErr w:type="gram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Vento</w:t>
      </w:r>
      <w:proofErr w:type="gramEnd"/>
    </w:p>
    <w:p w14:paraId="7711F9EA" w14:textId="5447304A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Version </w:t>
      </w:r>
      <w:r w:rsidR="00120308">
        <w:rPr>
          <w:rFonts w:ascii="Times New Roman" w:eastAsia="Times New Roman" w:hAnsi="Times New Roman" w:cs="Times New Roman"/>
          <w:color w:val="000000"/>
          <w:lang w:eastAsia="pt-BR"/>
        </w:rPr>
        <w:t>3</w:t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: </w:t>
      </w:r>
      <w:r w:rsidR="00120308">
        <w:rPr>
          <w:rFonts w:ascii="Times New Roman" w:eastAsia="Times New Roman" w:hAnsi="Times New Roman" w:cs="Times New Roman"/>
          <w:color w:val="000000"/>
          <w:lang w:eastAsia="pt-BR"/>
        </w:rPr>
        <w:t>04/08/2023</w:t>
      </w:r>
    </w:p>
    <w:p w14:paraId="07AD7FC5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260B627D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Inclusion criteria</w:t>
      </w:r>
    </w:p>
    <w:p w14:paraId="1DCE188C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Pathological diagnosis of prostate adenocarcinoma</w:t>
      </w:r>
    </w:p>
    <w:p w14:paraId="0690831D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2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PSA less than or equal to 10 ng/ml*</w:t>
      </w:r>
    </w:p>
    <w:p w14:paraId="71029140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3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Clinical staging less than or equal to cT2a</w:t>
      </w:r>
    </w:p>
    <w:p w14:paraId="0A8B3A6A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4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Gleason score below or equal to 6 (3+3)</w:t>
      </w:r>
    </w:p>
    <w:p w14:paraId="1A4CB938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5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Prostatic </w:t>
      </w:r>
      <w:proofErr w:type="gram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biopsy</w:t>
      </w:r>
      <w:proofErr w:type="gram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with at least 12 cores</w:t>
      </w:r>
    </w:p>
    <w:p w14:paraId="0C6A627A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6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Adequate clinical condition for definitive treatment</w:t>
      </w:r>
    </w:p>
    <w:p w14:paraId="6850A095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7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Performed or planned multiparametric prostate MRI</w:t>
      </w:r>
    </w:p>
    <w:p w14:paraId="782D7228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* If PSA is above 10 ng/ml, conditions such as prostatic hyperplasia, prostatitis, and increased PSA after biopsy may be considered and allow inclusion of the patient in the protocol.</w:t>
      </w:r>
    </w:p>
    <w:p w14:paraId="0281564E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36D8A5DC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Exclusion criteria</w:t>
      </w:r>
    </w:p>
    <w:p w14:paraId="305FB341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1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Clinical contraindication to prostatectomy or radiotherapy procedures</w:t>
      </w:r>
    </w:p>
    <w:p w14:paraId="626C9649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2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Life expectancy below 10 years</w:t>
      </w:r>
    </w:p>
    <w:p w14:paraId="7ACE47E8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3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Previous treatments with hormone therapy, </w:t>
      </w:r>
      <w:proofErr w:type="gram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prostatectomy</w:t>
      </w:r>
      <w:proofErr w:type="gram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or radiotherapy</w:t>
      </w:r>
    </w:p>
    <w:p w14:paraId="56A983DE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4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Presence of intraductal or cribriform histology in biopsy</w:t>
      </w:r>
    </w:p>
    <w:p w14:paraId="4034CDC4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44C6A42E" w14:textId="77777777" w:rsidR="00CC18A9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Monitoring schedule </w:t>
      </w:r>
      <w:r w:rsidRPr="00C53A7D">
        <w:rPr>
          <w:rFonts w:ascii="Times New Roman" w:eastAsia="Times New Roman" w:hAnsi="Times New Roman" w:cs="Times New Roman"/>
          <w:color w:val="000000"/>
          <w:lang w:eastAsia="pt-BR"/>
        </w:rPr>
        <w:t>(Table 1)</w:t>
      </w:r>
    </w:p>
    <w:p w14:paraId="13955999" w14:textId="77777777" w:rsidR="00CC18A9" w:rsidRDefault="00CC18A9" w:rsidP="00CC18A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573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Table 1. </w:t>
      </w:r>
      <w:r w:rsidRPr="000159F7">
        <w:rPr>
          <w:rFonts w:ascii="Times New Roman" w:eastAsia="Times New Roman" w:hAnsi="Times New Roman" w:cs="Times New Roman"/>
          <w:color w:val="000000"/>
          <w:lang w:eastAsia="pt-BR"/>
        </w:rPr>
        <w:t>Monitoring schedule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96"/>
        <w:gridCol w:w="359"/>
        <w:gridCol w:w="368"/>
        <w:gridCol w:w="392"/>
        <w:gridCol w:w="565"/>
        <w:gridCol w:w="613"/>
        <w:gridCol w:w="565"/>
        <w:gridCol w:w="565"/>
        <w:gridCol w:w="565"/>
        <w:gridCol w:w="565"/>
        <w:gridCol w:w="565"/>
        <w:gridCol w:w="565"/>
        <w:gridCol w:w="565"/>
        <w:gridCol w:w="565"/>
        <w:gridCol w:w="572"/>
      </w:tblGrid>
      <w:tr w:rsidR="00120308" w:rsidRPr="00120308" w14:paraId="20FB1286" w14:textId="77777777" w:rsidTr="00120308">
        <w:trPr>
          <w:trHeight w:val="91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54FCB0D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Year</w:t>
            </w:r>
          </w:p>
        </w:tc>
        <w:tc>
          <w:tcPr>
            <w:tcW w:w="21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12D9E26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1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E18C4FD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2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749E5B1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3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8FD9197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4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2C722FA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C95917C" w14:textId="777F83F7" w:rsidR="00120308" w:rsidRPr="00120308" w:rsidRDefault="00120308" w:rsidP="00120308">
            <w:pPr>
              <w:shd w:val="clear" w:color="auto" w:fill="FFFFFF"/>
              <w:ind w:firstLine="280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 xml:space="preserve">   </w:t>
            </w:r>
            <w:r w:rsidRPr="00120308">
              <w:rPr>
                <w:rFonts w:ascii="Arial" w:eastAsia="Times New Roman" w:hAnsi="Arial" w:cs="Arial"/>
                <w:b/>
                <w:bCs/>
                <w:color w:val="000000"/>
                <w:lang w:val="pt-BR" w:eastAsia="pt-BR"/>
              </w:rPr>
              <w:t>6</w:t>
            </w:r>
          </w:p>
        </w:tc>
      </w:tr>
      <w:tr w:rsidR="00120308" w:rsidRPr="00120308" w14:paraId="531C400C" w14:textId="77777777" w:rsidTr="00120308">
        <w:trPr>
          <w:trHeight w:val="91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B02554D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proofErr w:type="spellStart"/>
            <w:r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Months</w:t>
            </w:r>
            <w:proofErr w:type="spellEnd"/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38F54C7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0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CB3F5B0" w14:textId="7942F931" w:rsidR="00120308" w:rsidRPr="00120308" w:rsidRDefault="00AB4E54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3</w:t>
            </w: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EE53EE7" w14:textId="09E424D9" w:rsidR="00120308" w:rsidRPr="00120308" w:rsidRDefault="00120308" w:rsidP="001203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6</w:t>
            </w: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BAACEDB" w14:textId="64D19259" w:rsidR="00120308" w:rsidRPr="00120308" w:rsidRDefault="00AB4E54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2CE5E1C" w14:textId="27E10694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12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1FD14A4" w14:textId="2DB640E7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18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50DA175" w14:textId="1203CF83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24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6F7E318" w14:textId="2C19995C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30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ECFBE2C" w14:textId="1537F1B0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36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2BF8F80" w14:textId="0A4A5090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42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9F10287" w14:textId="2E74F359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48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DFAFDDD" w14:textId="754CA084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54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0E9D4D7" w14:textId="5C5FF606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60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596EF81" w14:textId="62CD5FA2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="00120308"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66</w:t>
            </w: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A6F18EE" w14:textId="3163BF51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pt-BR" w:eastAsia="pt-BR"/>
              </w:rPr>
            </w:pPr>
            <w:r w:rsidRPr="00AB4E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 xml:space="preserve">  </w:t>
            </w:r>
            <w:r w:rsidRPr="0012030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pt-BR" w:eastAsia="pt-BR"/>
              </w:rPr>
              <w:t>72</w:t>
            </w:r>
          </w:p>
        </w:tc>
      </w:tr>
      <w:tr w:rsidR="00120308" w:rsidRPr="00120308" w14:paraId="116677EB" w14:textId="77777777" w:rsidTr="00120308">
        <w:trPr>
          <w:trHeight w:val="55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DD1E12D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Clinical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evaluation</w:t>
            </w:r>
            <w:proofErr w:type="spellEnd"/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7B86CDC" w14:textId="49D9D39C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9353B50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A3174F6" w14:textId="10664365" w:rsidR="00120308" w:rsidRPr="00120308" w:rsidRDefault="00120308" w:rsidP="00120308">
            <w:pPr>
              <w:shd w:val="clear" w:color="auto" w:fill="FFFFFF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660AF7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6379D7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EA03A56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3EAF538" w14:textId="44F36EA1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7CE4879" w14:textId="49E80083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FBF2FB6" w14:textId="64687C40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4962637" w14:textId="17739B3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F4508A9" w14:textId="4916390A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66A1ED3" w14:textId="749706FA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02D5FEA" w14:textId="60F3968F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7C576FD" w14:textId="7BE3E1F5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D729FBA" w14:textId="3E7244DE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</w:tr>
      <w:tr w:rsidR="00120308" w:rsidRPr="00120308" w14:paraId="0AA52CB7" w14:textId="77777777" w:rsidTr="00120308">
        <w:trPr>
          <w:trHeight w:val="70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3132194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Total PSA</w:t>
            </w:r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FFBEEE0" w14:textId="402CF0DD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F07E57B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CFBA549" w14:textId="3E3433C3" w:rsidR="00120308" w:rsidRPr="00120308" w:rsidRDefault="00120308" w:rsidP="00120308">
            <w:pPr>
              <w:shd w:val="clear" w:color="auto" w:fill="FFFFFF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D008FE6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99D551B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3D6ABAC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D84CE89" w14:textId="7060776D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AF42A9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41203D8" w14:textId="3FD28184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22A6962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019AE5E" w14:textId="09BF749B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44316DA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CD086B6" w14:textId="10E91502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6CC9B9B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27A5895" w14:textId="2CC13603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</w:tr>
      <w:tr w:rsidR="00120308" w:rsidRPr="00120308" w14:paraId="1835745F" w14:textId="77777777" w:rsidTr="00120308">
        <w:trPr>
          <w:trHeight w:val="55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DB1211F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Digital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rectal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exam</w:t>
            </w:r>
            <w:proofErr w:type="spellEnd"/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F50AEC1" w14:textId="73B632A7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54CEBC5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2FDAD40" w14:textId="73B290E9" w:rsidR="00120308" w:rsidRPr="00120308" w:rsidRDefault="00120308" w:rsidP="00120308">
            <w:pPr>
              <w:shd w:val="clear" w:color="auto" w:fill="FFFFFF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8EC2B12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73D1B92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E57753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C37F21C" w14:textId="58D7B821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94FC1B6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3C73D07" w14:textId="66BFB1FD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D7D348B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755B420" w14:textId="631C153E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DEC24BD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74A3CE7" w14:textId="4767DFAA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60F4661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30BD6A0" w14:textId="5DD4CF95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</w:tr>
      <w:tr w:rsidR="00120308" w:rsidRPr="00120308" w14:paraId="405CCC3D" w14:textId="77777777" w:rsidTr="00120308">
        <w:trPr>
          <w:trHeight w:val="55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5BE157C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proofErr w:type="gram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TRUS 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biopsy</w:t>
            </w:r>
            <w:proofErr w:type="spellEnd"/>
            <w:proofErr w:type="gram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 </w:t>
            </w:r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84B1FFE" w14:textId="422952F4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5174D54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9FE8BAD" w14:textId="77777777" w:rsidR="00120308" w:rsidRPr="00120308" w:rsidRDefault="00120308" w:rsidP="00120308">
            <w:pPr>
              <w:shd w:val="clear" w:color="auto" w:fill="FFFFFF"/>
              <w:ind w:firstLine="280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5411E9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E3EC61E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9434924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5598E31" w14:textId="76FC4510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7B0DCC6" w14:textId="46F25B84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7124BDB" w14:textId="5AADB596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3F4E5AE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51C04DF" w14:textId="551C2524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EF3D5D8" w14:textId="33C9B444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B5FC2D1" w14:textId="5C15548A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3C1B5CC" w14:textId="3959290B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9684646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120308" w:rsidRPr="00120308" w14:paraId="221BE990" w14:textId="77777777" w:rsidTr="00120308">
        <w:trPr>
          <w:trHeight w:val="55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3140DB6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mpMRI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+/-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guided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biopsy</w:t>
            </w:r>
            <w:proofErr w:type="spellEnd"/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35ED8E1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8B320CF" w14:textId="195ECC55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="00AB4E54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AFE5C6C" w14:textId="77777777" w:rsidR="00120308" w:rsidRPr="00120308" w:rsidRDefault="00120308" w:rsidP="00120308">
            <w:pPr>
              <w:shd w:val="clear" w:color="auto" w:fill="FFFFFF"/>
              <w:ind w:firstLine="280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B2C700D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2D3943C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9EAC931" w14:textId="091545F5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F353F54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8CB7440" w14:textId="10298E24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037831B" w14:textId="253EAF28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CAD8411" w14:textId="70D24E38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7B05153" w14:textId="4F0FBF7E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522CAC20" w14:textId="2A321613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16D432B3" w14:textId="5E858D73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5A9C628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D23D129" w14:textId="482C7D97" w:rsidR="00120308" w:rsidRPr="00120308" w:rsidRDefault="00120308" w:rsidP="0012030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</w:tr>
      <w:tr w:rsidR="00120308" w:rsidRPr="00120308" w14:paraId="0C630330" w14:textId="77777777" w:rsidTr="00120308">
        <w:trPr>
          <w:trHeight w:val="555"/>
        </w:trPr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3DC00B9" w14:textId="77777777" w:rsidR="00120308" w:rsidRPr="00120308" w:rsidRDefault="00120308" w:rsidP="00120308">
            <w:pPr>
              <w:shd w:val="clear" w:color="auto" w:fill="FFFFFF"/>
              <w:ind w:firstLine="280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 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Quality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of</w:t>
            </w:r>
            <w:proofErr w:type="spellEnd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</w:t>
            </w:r>
            <w:proofErr w:type="spellStart"/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life</w:t>
            </w:r>
            <w:proofErr w:type="spellEnd"/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A1470A7" w14:textId="03B9B80B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D32A065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A40017B" w14:textId="77777777" w:rsidR="00120308" w:rsidRPr="00120308" w:rsidRDefault="00120308" w:rsidP="00120308">
            <w:pPr>
              <w:shd w:val="clear" w:color="auto" w:fill="FFFFFF"/>
              <w:ind w:firstLine="280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485ADC4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7680921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3D32F10F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6569D85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3E5E5B0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45A959C5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CE5A353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60B768F0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7741AB75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D5B9367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2D329F79" w14:textId="77777777" w:rsidR="00120308" w:rsidRPr="00120308" w:rsidRDefault="00120308" w:rsidP="00120308">
            <w:pPr>
              <w:shd w:val="clear" w:color="auto" w:fill="FFFFFF"/>
              <w:ind w:firstLine="280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  <w:tc>
          <w:tcPr>
            <w:tcW w:w="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bottom"/>
            <w:hideMark/>
          </w:tcPr>
          <w:p w14:paraId="0A1CC29F" w14:textId="2F3AAE71" w:rsidR="00120308" w:rsidRPr="00120308" w:rsidRDefault="00AB4E54" w:rsidP="00AB4E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 xml:space="preserve">   </w:t>
            </w:r>
            <w:r w:rsidR="00120308" w:rsidRPr="00120308">
              <w:rPr>
                <w:rFonts w:ascii="Arial" w:eastAsia="Times New Roman" w:hAnsi="Arial" w:cs="Arial"/>
                <w:color w:val="000000"/>
                <w:sz w:val="22"/>
                <w:szCs w:val="22"/>
                <w:lang w:val="pt-BR" w:eastAsia="pt-BR"/>
              </w:rPr>
              <w:t>x</w:t>
            </w:r>
          </w:p>
        </w:tc>
      </w:tr>
    </w:tbl>
    <w:p w14:paraId="747C633F" w14:textId="77777777" w:rsidR="00120308" w:rsidRPr="006573C2" w:rsidRDefault="00120308" w:rsidP="00CC18A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3613FDB" w14:textId="77777777" w:rsidR="00CC18A9" w:rsidRPr="00120308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  <w:r w:rsidRPr="0012030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Evaluation of eligibility criteria</w:t>
      </w:r>
    </w:p>
    <w:p w14:paraId="34DB83D5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Patients diagnosed with prostate cancer and candidates for the active surveillance strategy should have the following criteria evaluated.</w:t>
      </w:r>
    </w:p>
    <w:p w14:paraId="645D62F6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Assessment of life expectancy using the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Charlson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Comorbidity index (ICC)</w:t>
      </w:r>
    </w:p>
    <w:p w14:paraId="6DAA5660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Description of TRUS Prostate Biopsy including number of cores</w:t>
      </w:r>
    </w:p>
    <w:p w14:paraId="3AC08701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Prostate biopsy pathology report of adenocarcinoma including Gleason score, description of compromised fragments and percentage in which the fragments are compromised</w:t>
      </w:r>
    </w:p>
    <w:p w14:paraId="0707FB06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Recent total PSA</w:t>
      </w:r>
    </w:p>
    <w:p w14:paraId="5835B77F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PSA density</w:t>
      </w:r>
    </w:p>
    <w:p w14:paraId="1FCD6452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Digital rectal examination with clinical staging</w:t>
      </w:r>
    </w:p>
    <w:p w14:paraId="258E67D2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Evaluation of conditions that may contraindicate radical prostatectomy and radiotherapy treatments</w:t>
      </w:r>
    </w:p>
    <w:p w14:paraId="6331A872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If a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mpMRI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was performed, description of the result and whether a guided biopsy was performed</w:t>
      </w:r>
    </w:p>
    <w:p w14:paraId="45E41CC0" w14:textId="0DFE692C" w:rsidR="00CC18A9" w:rsidRPr="00E3284C" w:rsidRDefault="00CC18A9" w:rsidP="00120308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Quality of life questionnaires: EQ-5D-5 L and EPIC-CP and anxiety: GAD-7</w:t>
      </w:r>
    </w:p>
    <w:p w14:paraId="5B2FCF56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Biopsy triggers</w:t>
      </w:r>
    </w:p>
    <w:p w14:paraId="5431EB0F" w14:textId="77777777" w:rsidR="00CC18A9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Triggers to anticipate a prostate biopsy include clinical and laboratory alterations that suggest a change in tumour grade or disease progression. Indications for early prostate biopsies are biochemical PSA progression and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mpMRI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changes.</w:t>
      </w:r>
    </w:p>
    <w:p w14:paraId="1A138FF8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7B86D7AF" w14:textId="77777777" w:rsidR="00CC18A9" w:rsidRPr="00624EE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b/>
          <w:i/>
          <w:lang w:eastAsia="pt-BR"/>
        </w:rPr>
      </w:pPr>
      <w:r w:rsidRPr="00624EEC">
        <w:rPr>
          <w:rFonts w:ascii="Times New Roman" w:eastAsia="Times New Roman" w:hAnsi="Times New Roman" w:cs="Times New Roman"/>
          <w:b/>
          <w:i/>
          <w:color w:val="000000"/>
          <w:lang w:eastAsia="pt-BR"/>
        </w:rPr>
        <w:t>Biochemical progression</w:t>
      </w:r>
    </w:p>
    <w:p w14:paraId="7F0D566C" w14:textId="3ADDEE09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If the total PSA is greater than 10 ng/ml</w:t>
      </w:r>
    </w:p>
    <w:p w14:paraId="3DB96532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If the PSADT calculation is less than or equal to 3 years, evaluated after 12 months of follow-up using the Memorial Sloan Kettering Cancer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Center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calculator</w:t>
      </w:r>
    </w:p>
    <w:p w14:paraId="0C6C01AA" w14:textId="77777777" w:rsidR="00CC18A9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268889B6" w14:textId="77777777" w:rsidR="00CC18A9" w:rsidRPr="00624EE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lang w:eastAsia="pt-BR"/>
        </w:rPr>
      </w:pPr>
      <w:r w:rsidRPr="00624E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t-BR"/>
        </w:rPr>
        <w:t>Progression by imaging exam</w:t>
      </w:r>
    </w:p>
    <w:p w14:paraId="5F17D25F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The first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mpMRI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with a PI-RADS score greater than or equal to 3 indicates the need for guided biopsy.</w:t>
      </w:r>
    </w:p>
    <w:p w14:paraId="2FEE7CC0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If the second </w:t>
      </w:r>
      <w:proofErr w:type="spellStart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mpMRI</w:t>
      </w:r>
      <w:proofErr w:type="spellEnd"/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 xml:space="preserve"> exam presents a PRECISE classification greater than 3, guided biopsy is indicated.</w:t>
      </w:r>
    </w:p>
    <w:p w14:paraId="6B349D5A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5C856A19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Triggers for definitive intervention</w:t>
      </w:r>
    </w:p>
    <w:p w14:paraId="05442A36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Triggers for definitive intervention by radical prostatectomy or radiotherapy include:</w:t>
      </w:r>
    </w:p>
    <w:p w14:paraId="23140707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Clinical progression (&gt;cT3)</w:t>
      </w:r>
    </w:p>
    <w:p w14:paraId="525E4DDD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Pathological reclassification in biopsy with increased tumour grade with Gleason score greater than 6 (3+3).</w:t>
      </w:r>
    </w:p>
    <w:p w14:paraId="06DE0B94" w14:textId="77777777" w:rsidR="00CC18A9" w:rsidRPr="00E3284C" w:rsidRDefault="00CC18A9" w:rsidP="00CC18A9">
      <w:pPr>
        <w:spacing w:line="480" w:lineRule="auto"/>
        <w:ind w:left="1440" w:hanging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-</w:t>
      </w:r>
      <w:r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Patient dissatisfaction with the VA strategy</w:t>
      </w:r>
    </w:p>
    <w:p w14:paraId="0F6EDCA6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2B138268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Life expectancy assessment</w:t>
      </w:r>
    </w:p>
    <w:p w14:paraId="267E88CE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During each clinical evaluation, a reassessment of comorbidities and relevant clinical events should be performed. Life expectancy should be estimated by age and BCI. If the probability of 10-year survival is low, the patient has an indication for the "watchful waiting" strategy and will leave the protocol.</w:t>
      </w:r>
    </w:p>
    <w:p w14:paraId="5F530314" w14:textId="77777777" w:rsidR="00CC18A9" w:rsidRPr="00E3284C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The life estimate will be evaluated by the ICC.</w:t>
      </w:r>
    </w:p>
    <w:p w14:paraId="0EA9F19B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</w:p>
    <w:p w14:paraId="28A68AE5" w14:textId="77777777" w:rsidR="00CC18A9" w:rsidRPr="00E3284C" w:rsidRDefault="00CC18A9" w:rsidP="00CC18A9">
      <w:pPr>
        <w:spacing w:line="480" w:lineRule="auto"/>
        <w:contextualSpacing/>
        <w:rPr>
          <w:rFonts w:ascii="Times New Roman" w:eastAsia="Times New Roman" w:hAnsi="Times New Roman" w:cs="Times New Roman"/>
          <w:lang w:eastAsia="pt-BR"/>
        </w:rPr>
      </w:pPr>
      <w:r w:rsidRPr="00E3284C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Evaluation of metastatic disease</w:t>
      </w:r>
    </w:p>
    <w:p w14:paraId="182B46E4" w14:textId="77777777" w:rsidR="00CC18A9" w:rsidRDefault="00CC18A9" w:rsidP="00CC18A9">
      <w:pPr>
        <w:spacing w:line="48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lang w:eastAsia="pt-BR"/>
        </w:rPr>
      </w:pPr>
      <w:r w:rsidRPr="00E3284C">
        <w:rPr>
          <w:rFonts w:ascii="Times New Roman" w:eastAsia="Times New Roman" w:hAnsi="Times New Roman" w:cs="Times New Roman"/>
          <w:color w:val="000000"/>
          <w:lang w:eastAsia="pt-BR"/>
        </w:rPr>
        <w:t>The investigation of metastatic disease is at the discretion of the attending physician, considering suspicious symptoms and PSA increase, mainly above 10 ng/ml.</w:t>
      </w:r>
    </w:p>
    <w:p w14:paraId="4F8F0DE9" w14:textId="77777777" w:rsidR="00DA3C06" w:rsidRDefault="00DA3C06"/>
    <w:sectPr w:rsidR="00DA3C06" w:rsidSect="00C53A7D">
      <w:footerReference w:type="default" r:id="rId6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2FDB" w14:textId="77777777" w:rsidR="00BF6197" w:rsidRDefault="00BF6197">
      <w:r>
        <w:separator/>
      </w:r>
    </w:p>
  </w:endnote>
  <w:endnote w:type="continuationSeparator" w:id="0">
    <w:p w14:paraId="578E195F" w14:textId="77777777" w:rsidR="00BF6197" w:rsidRDefault="00BF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195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B482F" w14:textId="77777777" w:rsidR="00624EEC" w:rsidRDefault="00000000" w:rsidP="00624EEC">
        <w:pPr>
          <w:pStyle w:val="Rodap"/>
          <w:spacing w:line="480" w:lineRule="auto"/>
          <w:contextualSpacing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0F93" w14:textId="77777777" w:rsidR="00BF6197" w:rsidRDefault="00BF6197">
      <w:r>
        <w:separator/>
      </w:r>
    </w:p>
  </w:footnote>
  <w:footnote w:type="continuationSeparator" w:id="0">
    <w:p w14:paraId="4A1C0AEE" w14:textId="77777777" w:rsidR="00BF6197" w:rsidRDefault="00BF6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A9"/>
    <w:rsid w:val="00120308"/>
    <w:rsid w:val="00292444"/>
    <w:rsid w:val="00534A7A"/>
    <w:rsid w:val="00AB4E54"/>
    <w:rsid w:val="00BF6197"/>
    <w:rsid w:val="00CC18A9"/>
    <w:rsid w:val="00DA3C06"/>
    <w:rsid w:val="00E8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85883"/>
  <w15:chartTrackingRefBased/>
  <w15:docId w15:val="{B6BAE518-D4DC-1E48-8346-54A9CDE0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8A9"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C18A9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CC18A9"/>
    <w:rPr>
      <w:rFonts w:ascii="Times New Roman" w:hAnsi="Times New Roman"/>
      <w:lang w:val="en-GB"/>
    </w:rPr>
  </w:style>
  <w:style w:type="character" w:styleId="Nmerodelinha">
    <w:name w:val="line number"/>
    <w:basedOn w:val="Fontepargpadro"/>
    <w:uiPriority w:val="99"/>
    <w:semiHidden/>
    <w:unhideWhenUsed/>
    <w:rsid w:val="00CC18A9"/>
  </w:style>
  <w:style w:type="paragraph" w:styleId="NormalWeb">
    <w:name w:val="Normal (Web)"/>
    <w:basedOn w:val="Normal"/>
    <w:uiPriority w:val="99"/>
    <w:semiHidden/>
    <w:unhideWhenUsed/>
    <w:rsid w:val="0012030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57876">
          <w:marLeft w:val="-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1219">
          <w:marLeft w:val="-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Jeziel Basso</dc:creator>
  <cp:keywords/>
  <dc:description/>
  <cp:lastModifiedBy>Jeziel Basso</cp:lastModifiedBy>
  <cp:revision>3</cp:revision>
  <dcterms:created xsi:type="dcterms:W3CDTF">2023-07-31T17:03:00Z</dcterms:created>
  <dcterms:modified xsi:type="dcterms:W3CDTF">2023-08-06T22:32:00Z</dcterms:modified>
</cp:coreProperties>
</file>