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27496" w14:textId="6AC16D3B" w:rsidR="00133FC5" w:rsidRPr="00133FC5" w:rsidRDefault="00133FC5" w:rsidP="00133FC5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  <w:r w:rsidRPr="00133FC5">
        <w:rPr>
          <w:rFonts w:asciiTheme="minorHAnsi" w:eastAsia="Times New Roman" w:hAnsiTheme="minorHAnsi" w:cstheme="minorHAnsi"/>
          <w:b/>
          <w:sz w:val="24"/>
          <w:szCs w:val="24"/>
        </w:rPr>
        <w:t>Supplementary information</w:t>
      </w:r>
    </w:p>
    <w:p w14:paraId="2D364186" w14:textId="1B850910" w:rsidR="00133FC5" w:rsidRDefault="00133FC5" w:rsidP="00133FC5">
      <w:pPr>
        <w:spacing w:after="0" w:line="240" w:lineRule="auto"/>
        <w:jc w:val="both"/>
        <w:rPr>
          <w:rFonts w:asciiTheme="minorHAnsi" w:eastAsia="Times New Roman" w:hAnsiTheme="minorHAnsi" w:cstheme="minorHAnsi"/>
          <w:b/>
        </w:rPr>
      </w:pPr>
      <w:r w:rsidRPr="00133FC5">
        <w:rPr>
          <w:rFonts w:asciiTheme="minorHAnsi" w:eastAsia="Times New Roman" w:hAnsiTheme="minorHAnsi" w:cstheme="minorHAnsi"/>
          <w:b/>
        </w:rPr>
        <w:t>Supplementary Figure</w:t>
      </w:r>
    </w:p>
    <w:p w14:paraId="2C659E27" w14:textId="7E375EA1" w:rsidR="00133FC5" w:rsidRPr="00133FC5" w:rsidRDefault="00133FC5" w:rsidP="00133FC5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133FC5">
        <w:rPr>
          <w:rFonts w:asciiTheme="minorHAnsi" w:eastAsia="Times New Roman" w:hAnsiTheme="minorHAnsi" w:cstheme="minorHAnsi"/>
          <w:b/>
        </w:rPr>
        <w:t>Supplementary Figure S1</w:t>
      </w:r>
      <w:r w:rsidRPr="00133FC5">
        <w:rPr>
          <w:rFonts w:asciiTheme="minorHAnsi" w:eastAsia="Times New Roman" w:hAnsiTheme="minorHAnsi" w:cstheme="minorHAnsi"/>
        </w:rPr>
        <w:t>. Canonical correspondence analysis (</w:t>
      </w:r>
      <w:proofErr w:type="spellStart"/>
      <w:r w:rsidRPr="00133FC5">
        <w:rPr>
          <w:rFonts w:asciiTheme="minorHAnsi" w:eastAsia="Times New Roman" w:hAnsiTheme="minorHAnsi" w:cstheme="minorHAnsi"/>
        </w:rPr>
        <w:t>CCpnA</w:t>
      </w:r>
      <w:proofErr w:type="spellEnd"/>
      <w:r w:rsidRPr="00133FC5">
        <w:rPr>
          <w:rFonts w:asciiTheme="minorHAnsi" w:eastAsia="Times New Roman" w:hAnsiTheme="minorHAnsi" w:cstheme="minorHAnsi"/>
        </w:rPr>
        <w:t xml:space="preserve">) of gut bacterial phyla. Samples are depicted as triangles. The ASVs in the </w:t>
      </w:r>
      <w:proofErr w:type="spellStart"/>
      <w:r w:rsidRPr="00133FC5">
        <w:rPr>
          <w:rFonts w:asciiTheme="minorHAnsi" w:eastAsia="Times New Roman" w:hAnsiTheme="minorHAnsi" w:cstheme="minorHAnsi"/>
        </w:rPr>
        <w:t>CCpnA</w:t>
      </w:r>
      <w:proofErr w:type="spellEnd"/>
      <w:r w:rsidRPr="00133FC5">
        <w:rPr>
          <w:rFonts w:asciiTheme="minorHAnsi" w:eastAsia="Times New Roman" w:hAnsiTheme="minorHAnsi" w:cstheme="minorHAnsi"/>
        </w:rPr>
        <w:t xml:space="preserve"> plot are colored according to the phyla</w:t>
      </w:r>
    </w:p>
    <w:p w14:paraId="517103DA" w14:textId="77777777" w:rsidR="00133FC5" w:rsidRPr="00133FC5" w:rsidRDefault="00133FC5" w:rsidP="00133FC5">
      <w:pPr>
        <w:spacing w:after="0" w:line="240" w:lineRule="auto"/>
        <w:rPr>
          <w:rFonts w:asciiTheme="minorHAnsi" w:eastAsia="Times New Roman" w:hAnsiTheme="minorHAnsi" w:cstheme="minorHAnsi"/>
        </w:rPr>
      </w:pPr>
    </w:p>
    <w:p w14:paraId="77AD992F" w14:textId="77777777" w:rsidR="00133FC5" w:rsidRPr="00133FC5" w:rsidRDefault="00133FC5" w:rsidP="00133FC5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133FC5">
        <w:rPr>
          <w:rFonts w:asciiTheme="minorHAnsi" w:eastAsia="Times New Roman" w:hAnsiTheme="minorHAnsi" w:cstheme="minorHAnsi"/>
          <w:b/>
        </w:rPr>
        <w:t>Supplementary Figure S2</w:t>
      </w:r>
      <w:r w:rsidRPr="00133FC5">
        <w:rPr>
          <w:rFonts w:asciiTheme="minorHAnsi" w:eastAsia="Times New Roman" w:hAnsiTheme="minorHAnsi" w:cstheme="minorHAnsi"/>
        </w:rPr>
        <w:t>. Heatmap obtained from DESeq2 analysis with correction for confounding factors (Sample type) shows log2 fold changes in genus-level abundance of the gut microbiota composition. Blue: low abundance; red: high abundance </w:t>
      </w:r>
    </w:p>
    <w:p w14:paraId="59DA9BDB" w14:textId="77777777" w:rsidR="00133FC5" w:rsidRPr="00133FC5" w:rsidRDefault="00133FC5" w:rsidP="00133FC5">
      <w:pPr>
        <w:spacing w:after="0" w:line="240" w:lineRule="auto"/>
        <w:rPr>
          <w:rFonts w:asciiTheme="minorHAnsi" w:eastAsia="Times New Roman" w:hAnsiTheme="minorHAnsi" w:cstheme="minorHAnsi"/>
        </w:rPr>
      </w:pPr>
    </w:p>
    <w:p w14:paraId="3299FD19" w14:textId="77777777" w:rsidR="00133FC5" w:rsidRPr="00133FC5" w:rsidRDefault="00133FC5" w:rsidP="00133FC5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000000"/>
        </w:rPr>
      </w:pPr>
      <w:r w:rsidRPr="00133FC5">
        <w:rPr>
          <w:rFonts w:asciiTheme="minorHAnsi" w:eastAsia="Times New Roman" w:hAnsiTheme="minorHAnsi" w:cstheme="minorHAnsi"/>
          <w:b/>
          <w:color w:val="000000"/>
        </w:rPr>
        <w:t xml:space="preserve">Supplementary Material 1: </w:t>
      </w:r>
    </w:p>
    <w:p w14:paraId="588F6812" w14:textId="77777777" w:rsidR="00133FC5" w:rsidRPr="00133FC5" w:rsidRDefault="00133FC5" w:rsidP="00133FC5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</w:rPr>
      </w:pPr>
      <w:r w:rsidRPr="00133FC5">
        <w:rPr>
          <w:rFonts w:asciiTheme="minorHAnsi" w:eastAsia="Times New Roman" w:hAnsiTheme="minorHAnsi" w:cstheme="minorHAnsi"/>
          <w:b/>
          <w:color w:val="000000"/>
        </w:rPr>
        <w:t>Supplementary Table S1</w:t>
      </w:r>
      <w:r w:rsidRPr="00133FC5">
        <w:rPr>
          <w:rFonts w:asciiTheme="minorHAnsi" w:eastAsia="Times New Roman" w:hAnsiTheme="minorHAnsi" w:cstheme="minorHAnsi"/>
          <w:color w:val="000000"/>
        </w:rPr>
        <w:t xml:space="preserve">. Relevance of environmental metrics analyzed in areas inhabited by wild </w:t>
      </w:r>
      <w:r w:rsidRPr="00133FC5">
        <w:rPr>
          <w:rFonts w:asciiTheme="minorHAnsi" w:eastAsia="Times New Roman" w:hAnsiTheme="minorHAnsi" w:cstheme="minorHAnsi"/>
        </w:rPr>
        <w:t>black capuchin monkeys</w:t>
      </w:r>
      <w:r w:rsidRPr="00133FC5">
        <w:rPr>
          <w:rFonts w:asciiTheme="minorHAnsi" w:eastAsia="Times New Roman" w:hAnsiTheme="minorHAnsi" w:cstheme="minorHAnsi"/>
          <w:color w:val="000000"/>
        </w:rPr>
        <w:t xml:space="preserve">; </w:t>
      </w:r>
    </w:p>
    <w:p w14:paraId="10985907" w14:textId="77777777" w:rsidR="00133FC5" w:rsidRPr="00133FC5" w:rsidRDefault="00133FC5" w:rsidP="00133FC5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</w:rPr>
      </w:pPr>
      <w:r w:rsidRPr="00133FC5">
        <w:rPr>
          <w:rFonts w:asciiTheme="minorHAnsi" w:eastAsia="Times New Roman" w:hAnsiTheme="minorHAnsi" w:cstheme="minorHAnsi"/>
          <w:b/>
          <w:color w:val="000000"/>
        </w:rPr>
        <w:t>Supplementary Text S1</w:t>
      </w:r>
      <w:r w:rsidRPr="00133FC5">
        <w:rPr>
          <w:rFonts w:asciiTheme="minorHAnsi" w:eastAsia="Times New Roman" w:hAnsiTheme="minorHAnsi" w:cstheme="minorHAnsi"/>
          <w:color w:val="000000"/>
        </w:rPr>
        <w:t xml:space="preserve">. Establishment of parameters; </w:t>
      </w:r>
    </w:p>
    <w:p w14:paraId="3F9C16E4" w14:textId="77777777" w:rsidR="00133FC5" w:rsidRPr="00133FC5" w:rsidRDefault="00133FC5" w:rsidP="00133FC5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000000"/>
        </w:rPr>
      </w:pPr>
      <w:r w:rsidRPr="00133FC5">
        <w:rPr>
          <w:rFonts w:asciiTheme="minorHAnsi" w:eastAsia="Times New Roman" w:hAnsiTheme="minorHAnsi" w:cstheme="minorHAnsi"/>
          <w:b/>
          <w:color w:val="000000"/>
        </w:rPr>
        <w:t>Supplementary Table S2</w:t>
      </w:r>
      <w:r w:rsidRPr="00133FC5">
        <w:rPr>
          <w:rFonts w:asciiTheme="minorHAnsi" w:eastAsia="Times New Roman" w:hAnsiTheme="minorHAnsi" w:cstheme="minorHAnsi"/>
          <w:color w:val="000000"/>
        </w:rPr>
        <w:t xml:space="preserve">. Weights of groups (1) area and (2) fragment quality in areas inhabited by wild </w:t>
      </w:r>
      <w:r w:rsidRPr="00133FC5">
        <w:rPr>
          <w:rFonts w:asciiTheme="minorHAnsi" w:eastAsia="Times New Roman" w:hAnsiTheme="minorHAnsi" w:cstheme="minorHAnsi"/>
        </w:rPr>
        <w:t>black capuchin monkeys</w:t>
      </w:r>
      <w:r w:rsidRPr="00133FC5">
        <w:rPr>
          <w:rFonts w:asciiTheme="minorHAnsi" w:eastAsia="Times New Roman" w:hAnsiTheme="minorHAnsi" w:cstheme="minorHAnsi"/>
          <w:color w:val="000000"/>
        </w:rPr>
        <w:t>;</w:t>
      </w:r>
      <w:r w:rsidRPr="00133FC5">
        <w:rPr>
          <w:rFonts w:asciiTheme="minorHAnsi" w:eastAsia="Times New Roman" w:hAnsiTheme="minorHAnsi" w:cstheme="minorHAnsi"/>
          <w:b/>
          <w:color w:val="000000"/>
        </w:rPr>
        <w:t xml:space="preserve"> </w:t>
      </w:r>
    </w:p>
    <w:p w14:paraId="62270F41" w14:textId="77777777" w:rsidR="00133FC5" w:rsidRPr="00133FC5" w:rsidRDefault="00133FC5" w:rsidP="00133FC5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</w:rPr>
      </w:pPr>
      <w:r w:rsidRPr="00133FC5">
        <w:rPr>
          <w:rFonts w:asciiTheme="minorHAnsi" w:eastAsia="Times New Roman" w:hAnsiTheme="minorHAnsi" w:cstheme="minorHAnsi"/>
          <w:b/>
          <w:color w:val="000000"/>
        </w:rPr>
        <w:t>Supplementary Table S3</w:t>
      </w:r>
      <w:r w:rsidRPr="00133FC5">
        <w:rPr>
          <w:rFonts w:asciiTheme="minorHAnsi" w:eastAsia="Times New Roman" w:hAnsiTheme="minorHAnsi" w:cstheme="minorHAnsi"/>
          <w:color w:val="000000"/>
        </w:rPr>
        <w:t xml:space="preserve">. Weights of the group (3) land use and cover in areas inhabited by wild </w:t>
      </w:r>
      <w:r w:rsidRPr="00133FC5">
        <w:rPr>
          <w:rFonts w:asciiTheme="minorHAnsi" w:eastAsia="Times New Roman" w:hAnsiTheme="minorHAnsi" w:cstheme="minorHAnsi"/>
        </w:rPr>
        <w:t>black capuchin monkeys</w:t>
      </w:r>
      <w:r w:rsidRPr="00133FC5">
        <w:rPr>
          <w:rFonts w:asciiTheme="minorHAnsi" w:eastAsia="Times New Roman" w:hAnsiTheme="minorHAnsi" w:cstheme="minorHAnsi"/>
          <w:color w:val="000000"/>
        </w:rPr>
        <w:t xml:space="preserve">; </w:t>
      </w:r>
    </w:p>
    <w:p w14:paraId="0F811612" w14:textId="77777777" w:rsidR="00133FC5" w:rsidRPr="00133FC5" w:rsidRDefault="00133FC5" w:rsidP="00133FC5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133FC5">
        <w:rPr>
          <w:rFonts w:asciiTheme="minorHAnsi" w:eastAsia="Times New Roman" w:hAnsiTheme="minorHAnsi" w:cstheme="minorHAnsi"/>
          <w:b/>
          <w:color w:val="000000"/>
        </w:rPr>
        <w:t>Supplementary Table S4.</w:t>
      </w:r>
      <w:r w:rsidRPr="00133FC5">
        <w:rPr>
          <w:rFonts w:asciiTheme="minorHAnsi" w:eastAsia="Times New Roman" w:hAnsiTheme="minorHAnsi" w:cstheme="minorHAnsi"/>
          <w:color w:val="000000"/>
        </w:rPr>
        <w:t xml:space="preserve"> Information summary of </w:t>
      </w:r>
      <w:r w:rsidRPr="00133FC5">
        <w:rPr>
          <w:rFonts w:asciiTheme="minorHAnsi" w:eastAsia="Times New Roman" w:hAnsiTheme="minorHAnsi" w:cstheme="minorHAnsi"/>
        </w:rPr>
        <w:t>black capuchin monkeys (</w:t>
      </w:r>
      <w:r w:rsidRPr="00133FC5">
        <w:rPr>
          <w:rFonts w:asciiTheme="minorHAnsi" w:eastAsia="Times New Roman" w:hAnsiTheme="minorHAnsi" w:cstheme="minorHAnsi"/>
          <w:color w:val="000000"/>
        </w:rPr>
        <w:t>BCM). Sample ID, habitat, sample types, collection site, weight, sex, and age. </w:t>
      </w:r>
    </w:p>
    <w:p w14:paraId="663861C4" w14:textId="77777777" w:rsidR="00133FC5" w:rsidRPr="00133FC5" w:rsidRDefault="00133FC5" w:rsidP="00133FC5">
      <w:pPr>
        <w:spacing w:after="0" w:line="240" w:lineRule="auto"/>
        <w:rPr>
          <w:rFonts w:asciiTheme="minorHAnsi" w:eastAsia="Times New Roman" w:hAnsiTheme="minorHAnsi" w:cstheme="minorHAnsi"/>
        </w:rPr>
      </w:pPr>
    </w:p>
    <w:p w14:paraId="1C0B8302" w14:textId="77777777" w:rsidR="00133FC5" w:rsidRPr="00133FC5" w:rsidRDefault="00133FC5" w:rsidP="00133FC5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133FC5">
        <w:rPr>
          <w:rFonts w:asciiTheme="minorHAnsi" w:eastAsia="Times New Roman" w:hAnsiTheme="minorHAnsi" w:cstheme="minorHAnsi"/>
          <w:b/>
          <w:color w:val="000000"/>
        </w:rPr>
        <w:t xml:space="preserve">Supplementary Material 2 </w:t>
      </w:r>
      <w:r w:rsidRPr="00133FC5">
        <w:rPr>
          <w:rFonts w:asciiTheme="minorHAnsi" w:eastAsia="Times New Roman" w:hAnsiTheme="minorHAnsi" w:cstheme="minorHAnsi"/>
          <w:color w:val="000000"/>
        </w:rPr>
        <w:t>Analysis of the forest fragments to CMEM</w:t>
      </w:r>
    </w:p>
    <w:p w14:paraId="00AD9F4C" w14:textId="77777777" w:rsidR="00133FC5" w:rsidRPr="00133FC5" w:rsidRDefault="00133FC5" w:rsidP="00133FC5">
      <w:pPr>
        <w:spacing w:after="0" w:line="240" w:lineRule="auto"/>
        <w:rPr>
          <w:rFonts w:asciiTheme="minorHAnsi" w:eastAsia="Times New Roman" w:hAnsiTheme="minorHAnsi" w:cstheme="minorHAnsi"/>
        </w:rPr>
      </w:pPr>
    </w:p>
    <w:p w14:paraId="1FC4E999" w14:textId="77777777" w:rsidR="00133FC5" w:rsidRPr="00133FC5" w:rsidRDefault="00133FC5" w:rsidP="00133FC5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133FC5">
        <w:rPr>
          <w:rFonts w:asciiTheme="minorHAnsi" w:eastAsia="Times New Roman" w:hAnsiTheme="minorHAnsi" w:cstheme="minorHAnsi"/>
          <w:b/>
          <w:color w:val="000000"/>
        </w:rPr>
        <w:t xml:space="preserve">Supplementary Material 3 </w:t>
      </w:r>
      <w:r w:rsidRPr="00133FC5">
        <w:rPr>
          <w:rFonts w:asciiTheme="minorHAnsi" w:eastAsia="Times New Roman" w:hAnsiTheme="minorHAnsi" w:cstheme="minorHAnsi"/>
          <w:color w:val="000000"/>
        </w:rPr>
        <w:t xml:space="preserve">Taxonomic abundance (ASV) of bacterial microbiome from black capuchin monkeys </w:t>
      </w:r>
    </w:p>
    <w:p w14:paraId="604254E5" w14:textId="77777777" w:rsidR="00133FC5" w:rsidRPr="00133FC5" w:rsidRDefault="00133FC5" w:rsidP="00133FC5">
      <w:pPr>
        <w:spacing w:after="0" w:line="240" w:lineRule="auto"/>
        <w:rPr>
          <w:rFonts w:asciiTheme="minorHAnsi" w:eastAsia="Times New Roman" w:hAnsiTheme="minorHAnsi" w:cstheme="minorHAnsi"/>
        </w:rPr>
      </w:pPr>
    </w:p>
    <w:p w14:paraId="6BBFB104" w14:textId="77777777" w:rsidR="00133FC5" w:rsidRPr="00133FC5" w:rsidRDefault="00133FC5" w:rsidP="00133FC5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133FC5">
        <w:rPr>
          <w:rFonts w:asciiTheme="minorHAnsi" w:eastAsia="Times New Roman" w:hAnsiTheme="minorHAnsi" w:cstheme="minorHAnsi"/>
          <w:b/>
          <w:color w:val="000000"/>
        </w:rPr>
        <w:t xml:space="preserve">Supplementary Material 4 </w:t>
      </w:r>
      <w:r w:rsidRPr="00133FC5">
        <w:rPr>
          <w:rFonts w:asciiTheme="minorHAnsi" w:eastAsia="Times New Roman" w:hAnsiTheme="minorHAnsi" w:cstheme="minorHAnsi"/>
          <w:color w:val="000000"/>
        </w:rPr>
        <w:t>Metabolic prediction for xenobiotics biodegradation in the gut microbiome of black capuchin monkeys according to the Kruskal-Wallis H and Mann-Whitney U tests. Based on the KEGG, increasing the relative abundance of the main predicted metabolic pathways in the gut microbiota of black capuchin monkeys. Functional predictions were conducted using PICRUSt2.</w:t>
      </w:r>
    </w:p>
    <w:p w14:paraId="33F6C41D" w14:textId="77777777" w:rsidR="00133FC5" w:rsidRPr="00133FC5" w:rsidRDefault="00133FC5" w:rsidP="00133FC5">
      <w:pPr>
        <w:spacing w:after="0" w:line="240" w:lineRule="auto"/>
        <w:rPr>
          <w:rFonts w:asciiTheme="minorHAnsi" w:eastAsia="Times New Roman" w:hAnsiTheme="minorHAnsi" w:cstheme="minorHAnsi"/>
        </w:rPr>
      </w:pPr>
    </w:p>
    <w:p w14:paraId="1CCE687A" w14:textId="77777777" w:rsidR="00133FC5" w:rsidRPr="00133FC5" w:rsidRDefault="00133FC5" w:rsidP="00133FC5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133FC5">
        <w:rPr>
          <w:rFonts w:asciiTheme="minorHAnsi" w:eastAsia="Times New Roman" w:hAnsiTheme="minorHAnsi" w:cstheme="minorHAnsi"/>
          <w:b/>
          <w:color w:val="000000"/>
        </w:rPr>
        <w:t>Supplementary Material 5</w:t>
      </w:r>
      <w:r w:rsidRPr="00133FC5">
        <w:rPr>
          <w:rFonts w:asciiTheme="minorHAnsi" w:eastAsia="Arial" w:hAnsiTheme="minorHAnsi" w:cstheme="minorHAnsi"/>
          <w:color w:val="000000"/>
        </w:rPr>
        <w:t xml:space="preserve"> </w:t>
      </w:r>
      <w:r w:rsidRPr="00133FC5">
        <w:rPr>
          <w:rFonts w:asciiTheme="minorHAnsi" w:eastAsia="Times New Roman" w:hAnsiTheme="minorHAnsi" w:cstheme="minorHAnsi"/>
          <w:color w:val="000000"/>
        </w:rPr>
        <w:t>Summary of sequence reads per sampled host at different stages of data processing</w:t>
      </w:r>
    </w:p>
    <w:p w14:paraId="3057078B" w14:textId="77777777" w:rsidR="00E139BA" w:rsidRPr="00133FC5" w:rsidRDefault="00E139BA">
      <w:pPr>
        <w:rPr>
          <w:rFonts w:asciiTheme="minorHAnsi" w:hAnsiTheme="minorHAnsi" w:cstheme="minorHAnsi"/>
        </w:rPr>
      </w:pPr>
    </w:p>
    <w:sectPr w:rsidR="00E139BA" w:rsidRPr="00133FC5" w:rsidSect="005973F3">
      <w:pgSz w:w="11906" w:h="16838"/>
      <w:pgMar w:top="1417" w:right="1701" w:bottom="1417" w:left="1701" w:header="0" w:footer="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FC5"/>
    <w:rsid w:val="00133FC5"/>
    <w:rsid w:val="001D29A0"/>
    <w:rsid w:val="00265976"/>
    <w:rsid w:val="00834B53"/>
    <w:rsid w:val="00E139BA"/>
    <w:rsid w:val="00F2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85C59"/>
  <w15:chartTrackingRefBased/>
  <w15:docId w15:val="{4F0BB1C6-4ABA-494A-A1D3-6B41E818E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FC5"/>
    <w:rPr>
      <w:rFonts w:ascii="Calibri" w:eastAsia="Calibri" w:hAnsi="Calibri" w:cs="Calibri"/>
      <w:kern w:val="0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Guedes Frazzon</dc:creator>
  <cp:keywords/>
  <dc:description/>
  <cp:lastModifiedBy>Ana Paula Guedes Frazzon</cp:lastModifiedBy>
  <cp:revision>1</cp:revision>
  <dcterms:created xsi:type="dcterms:W3CDTF">2023-08-17T22:50:00Z</dcterms:created>
  <dcterms:modified xsi:type="dcterms:W3CDTF">2023-08-17T22:57:00Z</dcterms:modified>
</cp:coreProperties>
</file>