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83CEB" w14:textId="63423792" w:rsidR="009C4A69" w:rsidRDefault="009C4A69" w:rsidP="009C4A69">
      <w:pPr>
        <w:spacing w:line="480" w:lineRule="auto"/>
        <w:rPr>
          <w:rFonts w:cs="Times New Roman"/>
          <w:b/>
          <w:bCs/>
          <w:sz w:val="24"/>
          <w:lang w:bidi="fa-IR"/>
        </w:rPr>
      </w:pPr>
      <w:r w:rsidRPr="009C4A69">
        <w:rPr>
          <w:b/>
          <w:bCs/>
          <w:sz w:val="24"/>
          <w:lang w:bidi="fa-IR"/>
        </w:rPr>
        <w:t>Supplementary Materials:</w:t>
      </w:r>
      <w:r w:rsidRPr="009C4A69">
        <w:rPr>
          <w:rFonts w:cs="Times New Roman"/>
          <w:b/>
          <w:bCs/>
          <w:sz w:val="24"/>
          <w:lang w:bidi="fa-IR"/>
        </w:rPr>
        <w:t xml:space="preserve"> Increasing the ratio of red to blue light as supplemental light improves growth, photosynthesis, and yield of cut roses</w:t>
      </w:r>
    </w:p>
    <w:p w14:paraId="117220DE" w14:textId="77777777" w:rsidR="00AE71F7" w:rsidRPr="009A3472" w:rsidRDefault="00AE71F7" w:rsidP="00AE71F7">
      <w:pPr>
        <w:spacing w:line="480" w:lineRule="auto"/>
        <w:rPr>
          <w:rFonts w:eastAsia="Calibri" w:cs="Times New Roman"/>
          <w:b/>
          <w:bCs/>
          <w:sz w:val="24"/>
        </w:rPr>
      </w:pPr>
      <w:r w:rsidRPr="009A3472">
        <w:rPr>
          <w:rFonts w:eastAsia="Calibri" w:cs="Times New Roman"/>
          <w:b/>
          <w:bCs/>
          <w:sz w:val="24"/>
        </w:rPr>
        <w:t>Supplementary Materials</w:t>
      </w:r>
    </w:p>
    <w:p w14:paraId="7E5ABFB1" w14:textId="6263A4EF" w:rsidR="00AE71F7" w:rsidRDefault="00AE71F7" w:rsidP="00AE71F7">
      <w:pPr>
        <w:spacing w:line="480" w:lineRule="auto"/>
        <w:rPr>
          <w:rFonts w:cs="Times New Roman"/>
          <w:b/>
          <w:bCs/>
          <w:sz w:val="24"/>
          <w:lang w:bidi="fa-IR"/>
        </w:rPr>
      </w:pPr>
      <w:r>
        <w:rPr>
          <w:rFonts w:eastAsia="Calibri" w:cs="Times New Roman"/>
          <w:sz w:val="20"/>
          <w:szCs w:val="20"/>
        </w:rPr>
        <w:t xml:space="preserve">Figure S1. Effect of different ratios of R and </w:t>
      </w:r>
      <w:proofErr w:type="spellStart"/>
      <w:r>
        <w:rPr>
          <w:rFonts w:eastAsia="Calibri" w:cs="Times New Roman"/>
          <w:sz w:val="20"/>
          <w:szCs w:val="20"/>
        </w:rPr>
        <w:t>B light</w:t>
      </w:r>
      <w:proofErr w:type="spellEnd"/>
      <w:r>
        <w:rPr>
          <w:rFonts w:eastAsia="Calibri" w:cs="Times New Roman"/>
          <w:sz w:val="20"/>
          <w:szCs w:val="20"/>
        </w:rPr>
        <w:t xml:space="preserve"> spectrum as supplemental light on PIABS (Performance index for the photochemical activity) (A), ABS/RC (The specific energy fluxes per RC for energy absorption) (B), </w:t>
      </w:r>
      <w:proofErr w:type="spellStart"/>
      <w:r>
        <w:rPr>
          <w:rFonts w:eastAsia="Calibri" w:cs="Times New Roman"/>
          <w:sz w:val="20"/>
          <w:szCs w:val="20"/>
        </w:rPr>
        <w:t>TRo</w:t>
      </w:r>
      <w:proofErr w:type="spellEnd"/>
      <w:r>
        <w:rPr>
          <w:rFonts w:eastAsia="Calibri" w:cs="Times New Roman"/>
          <w:sz w:val="20"/>
          <w:szCs w:val="20"/>
        </w:rPr>
        <w:t xml:space="preserve">/RC (Trapped energy flux (leading to QA reduction) per RC) (C), </w:t>
      </w:r>
      <w:proofErr w:type="spellStart"/>
      <w:r>
        <w:rPr>
          <w:rFonts w:eastAsia="Calibri" w:cs="Times New Roman"/>
          <w:sz w:val="20"/>
          <w:szCs w:val="20"/>
        </w:rPr>
        <w:t>ETo</w:t>
      </w:r>
      <w:proofErr w:type="spellEnd"/>
      <w:r>
        <w:rPr>
          <w:rFonts w:eastAsia="Calibri" w:cs="Times New Roman"/>
          <w:sz w:val="20"/>
          <w:szCs w:val="20"/>
        </w:rPr>
        <w:t xml:space="preserve">/RC (Electron transport flux (further than QA-) per RC) (D) and </w:t>
      </w:r>
      <w:proofErr w:type="spellStart"/>
      <w:r>
        <w:rPr>
          <w:rFonts w:eastAsia="Calibri" w:cs="Times New Roman"/>
          <w:sz w:val="20"/>
          <w:szCs w:val="20"/>
        </w:rPr>
        <w:t>DIo</w:t>
      </w:r>
      <w:proofErr w:type="spellEnd"/>
      <w:r>
        <w:rPr>
          <w:rFonts w:eastAsia="Calibri" w:cs="Times New Roman"/>
          <w:sz w:val="20"/>
          <w:szCs w:val="20"/>
        </w:rPr>
        <w:t>/RC (Electron transport flux (further than QA-) per RC) (E) of two rose cultivars (</w:t>
      </w:r>
      <w:proofErr w:type="spellStart"/>
      <w:r>
        <w:rPr>
          <w:rFonts w:eastAsia="Calibri" w:cs="Times New Roman"/>
          <w:sz w:val="20"/>
          <w:szCs w:val="20"/>
        </w:rPr>
        <w:t>ʻSamuraiʼ</w:t>
      </w:r>
      <w:proofErr w:type="spellEnd"/>
      <w:r>
        <w:rPr>
          <w:rFonts w:eastAsia="Calibri" w:cs="Times New Roman"/>
          <w:sz w:val="20"/>
          <w:szCs w:val="20"/>
        </w:rPr>
        <w:t xml:space="preserve"> and </w:t>
      </w:r>
      <w:proofErr w:type="spellStart"/>
      <w:r>
        <w:rPr>
          <w:rFonts w:eastAsia="Calibri" w:cs="Times New Roman"/>
          <w:sz w:val="20"/>
          <w:szCs w:val="20"/>
        </w:rPr>
        <w:t>ʻUtopiaʼ</w:t>
      </w:r>
      <w:proofErr w:type="spellEnd"/>
      <w:r>
        <w:rPr>
          <w:rFonts w:eastAsia="Calibri" w:cs="Times New Roman"/>
          <w:sz w:val="20"/>
          <w:szCs w:val="20"/>
        </w:rPr>
        <w:t xml:space="preserve">). Supplemental light </w:t>
      </w:r>
      <w:proofErr w:type="spellStart"/>
      <w:r>
        <w:rPr>
          <w:rFonts w:eastAsia="Calibri" w:cs="Times New Roman"/>
          <w:sz w:val="20"/>
          <w:szCs w:val="20"/>
        </w:rPr>
        <w:t>recipies</w:t>
      </w:r>
      <w:proofErr w:type="spellEnd"/>
      <w:r>
        <w:rPr>
          <w:rFonts w:eastAsia="Calibri" w:cs="Times New Roman"/>
          <w:sz w:val="20"/>
          <w:szCs w:val="20"/>
        </w:rPr>
        <w:t xml:space="preserve"> including 90% R: 10% B (R90B10), 80% R: 20% B (R80B20), 70% R: 30% B (R70B30) and a treatment without supplemental light (Control) was used. Each column is representative of mean value of six replicates plus SEM. Significance at the 0.05, 0.001 and 0.0001 probability levels are indicated by *, *** and ****, respectively, Figure S2. Several quantitative and qualitative factors are influential in the marketability of rose shoots, which increases the economic efficiency. In the above figure, a comprehensive study of the effect of different ratios of red and blue light spectrum as supplementary light 90% red: 10% blue (R90B10), 80% red: 20% blue (R80B20), 70% red: 30% blue (R70B30) and without light Supplement (Control) on the reproduction </w:t>
      </w:r>
      <w:proofErr w:type="spellStart"/>
      <w:r>
        <w:rPr>
          <w:rFonts w:eastAsia="Calibri" w:cs="Times New Roman"/>
          <w:sz w:val="20"/>
          <w:szCs w:val="20"/>
        </w:rPr>
        <w:t>characteristicsof</w:t>
      </w:r>
      <w:proofErr w:type="spellEnd"/>
      <w:r>
        <w:rPr>
          <w:rFonts w:eastAsia="Calibri" w:cs="Times New Roman"/>
          <w:sz w:val="20"/>
          <w:szCs w:val="20"/>
        </w:rPr>
        <w:t xml:space="preserve"> two cultivars of roses.</w:t>
      </w:r>
    </w:p>
    <w:p w14:paraId="093BA74A" w14:textId="508D7B81" w:rsidR="00AE71F7" w:rsidRDefault="00AE71F7" w:rsidP="009C4A69">
      <w:pPr>
        <w:spacing w:line="480" w:lineRule="auto"/>
        <w:rPr>
          <w:rFonts w:cs="Times New Roman"/>
          <w:b/>
          <w:bCs/>
          <w:sz w:val="24"/>
          <w:lang w:bidi="fa-IR"/>
        </w:rPr>
      </w:pPr>
    </w:p>
    <w:p w14:paraId="5EC7D17D" w14:textId="32BC8925" w:rsidR="00AE71F7" w:rsidRDefault="00AE71F7" w:rsidP="009C4A69">
      <w:pPr>
        <w:spacing w:line="480" w:lineRule="auto"/>
        <w:rPr>
          <w:rFonts w:cs="Times New Roman"/>
          <w:b/>
          <w:bCs/>
          <w:sz w:val="24"/>
          <w:lang w:bidi="fa-IR"/>
        </w:rPr>
      </w:pPr>
    </w:p>
    <w:p w14:paraId="05E61707" w14:textId="670E1F10" w:rsidR="00AE71F7" w:rsidRDefault="00AE71F7" w:rsidP="009C4A69">
      <w:pPr>
        <w:spacing w:line="480" w:lineRule="auto"/>
        <w:rPr>
          <w:rFonts w:cs="Times New Roman"/>
          <w:b/>
          <w:bCs/>
          <w:sz w:val="24"/>
          <w:lang w:bidi="fa-IR"/>
        </w:rPr>
      </w:pPr>
    </w:p>
    <w:p w14:paraId="23CA9982" w14:textId="2E6FCAE6" w:rsidR="00AE71F7" w:rsidRDefault="00AE71F7" w:rsidP="009C4A69">
      <w:pPr>
        <w:spacing w:line="480" w:lineRule="auto"/>
        <w:rPr>
          <w:rFonts w:cs="Times New Roman"/>
          <w:b/>
          <w:bCs/>
          <w:sz w:val="24"/>
          <w:lang w:bidi="fa-IR"/>
        </w:rPr>
      </w:pPr>
    </w:p>
    <w:p w14:paraId="11C795A6" w14:textId="30C4CEB5" w:rsidR="00AE71F7" w:rsidRDefault="00AE71F7" w:rsidP="009C4A69">
      <w:pPr>
        <w:spacing w:line="480" w:lineRule="auto"/>
        <w:rPr>
          <w:rFonts w:cs="Times New Roman"/>
          <w:b/>
          <w:bCs/>
          <w:sz w:val="24"/>
          <w:lang w:bidi="fa-IR"/>
        </w:rPr>
      </w:pPr>
    </w:p>
    <w:p w14:paraId="093AC196" w14:textId="77777777" w:rsidR="00AE71F7" w:rsidRDefault="00AE71F7" w:rsidP="009C4A69">
      <w:pPr>
        <w:spacing w:line="480" w:lineRule="auto"/>
        <w:rPr>
          <w:rFonts w:cs="Times New Roman"/>
          <w:b/>
          <w:bCs/>
          <w:sz w:val="24"/>
          <w:lang w:bidi="fa-IR"/>
        </w:rPr>
      </w:pPr>
    </w:p>
    <w:p w14:paraId="3B4F5D52" w14:textId="6EBBD626" w:rsidR="009C4A69" w:rsidRDefault="009C4A69" w:rsidP="009C4A69">
      <w:pPr>
        <w:spacing w:line="480" w:lineRule="auto"/>
        <w:rPr>
          <w:rFonts w:cs="Times New Roman"/>
          <w:b/>
          <w:bCs/>
          <w:sz w:val="24"/>
          <w:lang w:bidi="fa-IR"/>
        </w:rPr>
      </w:pPr>
    </w:p>
    <w:p w14:paraId="5D1F0824" w14:textId="622B8FDD" w:rsidR="009C4A69" w:rsidRDefault="009C4A69" w:rsidP="009C4A69">
      <w:pPr>
        <w:spacing w:line="480" w:lineRule="auto"/>
        <w:rPr>
          <w:rFonts w:eastAsia="Calibri" w:cs="Times New Roman"/>
          <w:b/>
          <w:bCs/>
          <w:sz w:val="20"/>
          <w:szCs w:val="20"/>
        </w:rPr>
      </w:pPr>
      <w:r>
        <w:rPr>
          <w:noProof/>
        </w:rPr>
        <w:lastRenderedPageBreak/>
        <w:drawing>
          <wp:inline distT="0" distB="0" distL="0" distR="0" wp14:anchorId="5227D4E4" wp14:editId="31E2BAF8">
            <wp:extent cx="5227320" cy="3345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cstate="print">
                      <a:extLst>
                        <a:ext uri="{28A0092B-C50C-407E-A947-70E740481C1C}">
                          <a14:useLocalDpi xmlns:a14="http://schemas.microsoft.com/office/drawing/2010/main" val="0"/>
                        </a:ext>
                      </a:extLst>
                    </a:blip>
                    <a:srcRect l="6752" r="5299"/>
                    <a:stretch>
                      <a:fillRect/>
                    </a:stretch>
                  </pic:blipFill>
                  <pic:spPr bwMode="auto">
                    <a:xfrm>
                      <a:off x="0" y="0"/>
                      <a:ext cx="5227320" cy="3345180"/>
                    </a:xfrm>
                    <a:prstGeom prst="rect">
                      <a:avLst/>
                    </a:prstGeom>
                    <a:noFill/>
                    <a:ln>
                      <a:noFill/>
                    </a:ln>
                  </pic:spPr>
                </pic:pic>
              </a:graphicData>
            </a:graphic>
          </wp:inline>
        </w:drawing>
      </w:r>
    </w:p>
    <w:p w14:paraId="0A883AB4" w14:textId="33CBAFB5" w:rsidR="009C4A69" w:rsidRDefault="009C4A69" w:rsidP="009C4A69">
      <w:pPr>
        <w:spacing w:line="480" w:lineRule="auto"/>
        <w:rPr>
          <w:rFonts w:eastAsia="Calibri" w:cs="Times New Roman"/>
          <w:sz w:val="20"/>
          <w:szCs w:val="20"/>
        </w:rPr>
      </w:pPr>
      <w:r>
        <w:rPr>
          <w:rFonts w:eastAsia="Calibri" w:cs="Times New Roman"/>
          <w:b/>
          <w:bCs/>
          <w:sz w:val="20"/>
          <w:szCs w:val="20"/>
        </w:rPr>
        <w:t xml:space="preserve">Figure S1. </w:t>
      </w:r>
      <w:r>
        <w:rPr>
          <w:rFonts w:eastAsia="Calibri" w:cs="Times New Roman"/>
          <w:sz w:val="20"/>
          <w:szCs w:val="20"/>
        </w:rPr>
        <w:t xml:space="preserve">Effect of different ratios of R and </w:t>
      </w:r>
      <w:proofErr w:type="spellStart"/>
      <w:r>
        <w:rPr>
          <w:rFonts w:eastAsia="Calibri" w:cs="Times New Roman"/>
          <w:sz w:val="20"/>
          <w:szCs w:val="20"/>
        </w:rPr>
        <w:t>B light</w:t>
      </w:r>
      <w:proofErr w:type="spellEnd"/>
      <w:r>
        <w:rPr>
          <w:rFonts w:eastAsia="Calibri" w:cs="Times New Roman"/>
          <w:sz w:val="20"/>
          <w:szCs w:val="20"/>
        </w:rPr>
        <w:t xml:space="preserve"> spectrum as supplemental light on PI</w:t>
      </w:r>
      <w:r>
        <w:rPr>
          <w:rFonts w:eastAsia="Calibri" w:cs="Times New Roman"/>
          <w:sz w:val="20"/>
          <w:szCs w:val="20"/>
          <w:vertAlign w:val="subscript"/>
        </w:rPr>
        <w:t>ABS</w:t>
      </w:r>
      <w:r>
        <w:rPr>
          <w:rFonts w:eastAsia="Calibri" w:cs="Times New Roman"/>
          <w:sz w:val="20"/>
          <w:szCs w:val="20"/>
        </w:rPr>
        <w:t xml:space="preserve"> (</w:t>
      </w:r>
      <w:r>
        <w:rPr>
          <w:rFonts w:eastAsia="Times New Roman" w:cs="Times New Roman"/>
          <w:color w:val="000000"/>
          <w:sz w:val="20"/>
          <w:szCs w:val="20"/>
          <w:lang w:bidi="fa-IR"/>
        </w:rPr>
        <w:t>Performance index for the photochemical activity</w:t>
      </w:r>
      <w:r>
        <w:rPr>
          <w:rFonts w:eastAsia="Calibri" w:cs="Times New Roman"/>
          <w:sz w:val="20"/>
          <w:szCs w:val="20"/>
        </w:rPr>
        <w:t>) (A), ABS/RC (</w:t>
      </w:r>
      <w:r>
        <w:rPr>
          <w:rFonts w:eastAsia="Times New Roman" w:cs="Times New Roman"/>
          <w:color w:val="000000"/>
          <w:sz w:val="20"/>
          <w:szCs w:val="20"/>
          <w:lang w:bidi="fa-IR"/>
        </w:rPr>
        <w:t>The specific energy fluxes per RC for energy absorption</w:t>
      </w:r>
      <w:r>
        <w:rPr>
          <w:rFonts w:eastAsia="Calibri" w:cs="Times New Roman"/>
          <w:sz w:val="20"/>
          <w:szCs w:val="20"/>
        </w:rPr>
        <w:t xml:space="preserve">) (B), </w:t>
      </w:r>
      <w:proofErr w:type="spellStart"/>
      <w:r>
        <w:rPr>
          <w:rFonts w:eastAsia="Calibri" w:cs="Times New Roman"/>
          <w:sz w:val="20"/>
          <w:szCs w:val="20"/>
        </w:rPr>
        <w:t>TR</w:t>
      </w:r>
      <w:r>
        <w:rPr>
          <w:rFonts w:eastAsia="Calibri" w:cs="Times New Roman"/>
          <w:sz w:val="20"/>
          <w:szCs w:val="20"/>
          <w:vertAlign w:val="subscript"/>
        </w:rPr>
        <w:t>o</w:t>
      </w:r>
      <w:proofErr w:type="spellEnd"/>
      <w:r>
        <w:rPr>
          <w:rFonts w:eastAsia="Calibri" w:cs="Times New Roman"/>
          <w:sz w:val="20"/>
          <w:szCs w:val="20"/>
        </w:rPr>
        <w:t>/RC (</w:t>
      </w:r>
      <w:r>
        <w:rPr>
          <w:rFonts w:eastAsia="Times New Roman" w:cs="Times New Roman"/>
          <w:color w:val="000000"/>
          <w:sz w:val="20"/>
          <w:szCs w:val="20"/>
          <w:lang w:bidi="fa-IR"/>
        </w:rPr>
        <w:t>Trapped energy flux (leading to Q</w:t>
      </w:r>
      <w:r>
        <w:rPr>
          <w:rFonts w:eastAsia="Times New Roman" w:cs="Times New Roman"/>
          <w:color w:val="000000"/>
          <w:sz w:val="20"/>
          <w:szCs w:val="20"/>
          <w:vertAlign w:val="subscript"/>
          <w:lang w:bidi="fa-IR"/>
        </w:rPr>
        <w:t>A</w:t>
      </w:r>
      <w:r>
        <w:rPr>
          <w:rFonts w:eastAsia="Times New Roman" w:cs="Times New Roman"/>
          <w:color w:val="000000"/>
          <w:sz w:val="20"/>
          <w:szCs w:val="20"/>
          <w:lang w:bidi="fa-IR"/>
        </w:rPr>
        <w:t xml:space="preserve"> reduction) per RC</w:t>
      </w:r>
      <w:r>
        <w:rPr>
          <w:rFonts w:eastAsia="Calibri" w:cs="Times New Roman"/>
          <w:sz w:val="20"/>
          <w:szCs w:val="20"/>
        </w:rPr>
        <w:t xml:space="preserve">) (C), </w:t>
      </w:r>
      <w:proofErr w:type="spellStart"/>
      <w:r>
        <w:rPr>
          <w:rFonts w:eastAsia="Calibri" w:cs="Times New Roman"/>
          <w:sz w:val="20"/>
          <w:szCs w:val="20"/>
        </w:rPr>
        <w:t>ET</w:t>
      </w:r>
      <w:r>
        <w:rPr>
          <w:rFonts w:eastAsia="Calibri" w:cs="Times New Roman"/>
          <w:sz w:val="20"/>
          <w:szCs w:val="20"/>
          <w:vertAlign w:val="subscript"/>
        </w:rPr>
        <w:t>o</w:t>
      </w:r>
      <w:proofErr w:type="spellEnd"/>
      <w:r>
        <w:rPr>
          <w:rFonts w:eastAsia="Calibri" w:cs="Times New Roman"/>
          <w:sz w:val="20"/>
          <w:szCs w:val="20"/>
        </w:rPr>
        <w:t>/RC (</w:t>
      </w:r>
      <w:r>
        <w:rPr>
          <w:rFonts w:eastAsia="Times New Roman" w:cs="Times New Roman"/>
          <w:color w:val="000000"/>
          <w:sz w:val="20"/>
          <w:szCs w:val="20"/>
          <w:lang w:bidi="fa-IR"/>
        </w:rPr>
        <w:t>Electron transport flux (further than Q</w:t>
      </w:r>
      <w:r>
        <w:rPr>
          <w:rFonts w:eastAsia="Times New Roman" w:cs="Times New Roman"/>
          <w:color w:val="000000"/>
          <w:sz w:val="20"/>
          <w:szCs w:val="20"/>
          <w:vertAlign w:val="subscript"/>
          <w:lang w:bidi="fa-IR"/>
        </w:rPr>
        <w:t>A</w:t>
      </w:r>
      <w:r>
        <w:rPr>
          <w:rFonts w:eastAsia="Times New Roman" w:cs="Times New Roman"/>
          <w:color w:val="000000"/>
          <w:sz w:val="20"/>
          <w:szCs w:val="20"/>
          <w:vertAlign w:val="superscript"/>
          <w:lang w:bidi="fa-IR"/>
        </w:rPr>
        <w:t>-</w:t>
      </w:r>
      <w:r>
        <w:rPr>
          <w:rFonts w:eastAsia="Times New Roman" w:cs="Times New Roman"/>
          <w:color w:val="000000"/>
          <w:sz w:val="20"/>
          <w:szCs w:val="20"/>
          <w:lang w:bidi="fa-IR"/>
        </w:rPr>
        <w:t>) per RC</w:t>
      </w:r>
      <w:r>
        <w:rPr>
          <w:rFonts w:eastAsia="Calibri" w:cs="Times New Roman"/>
          <w:sz w:val="20"/>
          <w:szCs w:val="20"/>
        </w:rPr>
        <w:t xml:space="preserve">) (D) and </w:t>
      </w:r>
      <w:proofErr w:type="spellStart"/>
      <w:r>
        <w:rPr>
          <w:rFonts w:eastAsia="Calibri" w:cs="Times New Roman"/>
          <w:sz w:val="20"/>
          <w:szCs w:val="20"/>
        </w:rPr>
        <w:t>DI</w:t>
      </w:r>
      <w:r>
        <w:rPr>
          <w:rFonts w:eastAsia="Calibri" w:cs="Times New Roman"/>
          <w:sz w:val="20"/>
          <w:szCs w:val="20"/>
          <w:vertAlign w:val="subscript"/>
        </w:rPr>
        <w:t>o</w:t>
      </w:r>
      <w:proofErr w:type="spellEnd"/>
      <w:r>
        <w:rPr>
          <w:rFonts w:eastAsia="Calibri" w:cs="Times New Roman"/>
          <w:sz w:val="20"/>
          <w:szCs w:val="20"/>
        </w:rPr>
        <w:t>/RC (</w:t>
      </w:r>
      <w:r>
        <w:rPr>
          <w:rFonts w:eastAsia="Times New Roman" w:cs="Times New Roman"/>
          <w:color w:val="000000"/>
          <w:sz w:val="20"/>
          <w:szCs w:val="20"/>
          <w:lang w:bidi="fa-IR"/>
        </w:rPr>
        <w:t>Electron transport flux (further than Q</w:t>
      </w:r>
      <w:r>
        <w:rPr>
          <w:rFonts w:eastAsia="Times New Roman" w:cs="Times New Roman"/>
          <w:color w:val="000000"/>
          <w:sz w:val="20"/>
          <w:szCs w:val="20"/>
          <w:vertAlign w:val="subscript"/>
          <w:lang w:bidi="fa-IR"/>
        </w:rPr>
        <w:t>A</w:t>
      </w:r>
      <w:r>
        <w:rPr>
          <w:rFonts w:eastAsia="Times New Roman" w:cs="Times New Roman"/>
          <w:color w:val="000000"/>
          <w:sz w:val="20"/>
          <w:szCs w:val="20"/>
          <w:vertAlign w:val="superscript"/>
          <w:lang w:bidi="fa-IR"/>
        </w:rPr>
        <w:t>-</w:t>
      </w:r>
      <w:r>
        <w:rPr>
          <w:rFonts w:eastAsia="Times New Roman" w:cs="Times New Roman"/>
          <w:color w:val="000000"/>
          <w:sz w:val="20"/>
          <w:szCs w:val="20"/>
          <w:lang w:bidi="fa-IR"/>
        </w:rPr>
        <w:t>) per RC</w:t>
      </w:r>
      <w:r>
        <w:rPr>
          <w:rFonts w:eastAsia="Calibri" w:cs="Times New Roman"/>
          <w:sz w:val="20"/>
          <w:szCs w:val="20"/>
        </w:rPr>
        <w:t>) (E) of two rose cultivars (</w:t>
      </w:r>
      <w:proofErr w:type="spellStart"/>
      <w:r>
        <w:rPr>
          <w:rFonts w:eastAsia="Calibri" w:cs="Times New Roman"/>
          <w:sz w:val="20"/>
          <w:szCs w:val="20"/>
        </w:rPr>
        <w:t>ʻSamuraiʼ</w:t>
      </w:r>
      <w:proofErr w:type="spellEnd"/>
      <w:r>
        <w:rPr>
          <w:rFonts w:eastAsia="Calibri" w:cs="Times New Roman"/>
          <w:sz w:val="20"/>
          <w:szCs w:val="20"/>
        </w:rPr>
        <w:t xml:space="preserve"> and </w:t>
      </w:r>
      <w:proofErr w:type="spellStart"/>
      <w:r>
        <w:rPr>
          <w:rFonts w:eastAsia="Calibri" w:cs="Times New Roman"/>
          <w:sz w:val="20"/>
          <w:szCs w:val="20"/>
        </w:rPr>
        <w:t>ʻUtopiaʼ</w:t>
      </w:r>
      <w:proofErr w:type="spellEnd"/>
      <w:r>
        <w:rPr>
          <w:rFonts w:eastAsia="Calibri" w:cs="Times New Roman"/>
          <w:sz w:val="20"/>
          <w:szCs w:val="20"/>
        </w:rPr>
        <w:t xml:space="preserve">). Supplemental light </w:t>
      </w:r>
      <w:proofErr w:type="spellStart"/>
      <w:r>
        <w:rPr>
          <w:rFonts w:eastAsia="Calibri" w:cs="Times New Roman"/>
          <w:sz w:val="20"/>
          <w:szCs w:val="20"/>
        </w:rPr>
        <w:t>recipies</w:t>
      </w:r>
      <w:proofErr w:type="spellEnd"/>
      <w:r>
        <w:rPr>
          <w:rFonts w:eastAsia="Calibri" w:cs="Times New Roman"/>
          <w:sz w:val="20"/>
          <w:szCs w:val="20"/>
        </w:rPr>
        <w:t xml:space="preserve"> including 90% R: 10% B (R90B10), 80% R: 20% B (R80B20), 70% R: 30% B (R70B30) and a treatment without supplemental light (Control) was used. Each column is representative of mean value of six replicates plus SEM. Significance at the 0.05, 0.001 and 0.0001 probability levels are indicated by *, *** and ****, respectively.</w:t>
      </w:r>
    </w:p>
    <w:p w14:paraId="282082B4" w14:textId="26AA0302" w:rsidR="00AE71F7" w:rsidRDefault="00AE71F7" w:rsidP="00AE71F7">
      <w:pPr>
        <w:spacing w:line="480" w:lineRule="auto"/>
        <w:rPr>
          <w:rFonts w:eastAsia="Calibri" w:cs="Times New Roman"/>
          <w:sz w:val="20"/>
          <w:szCs w:val="20"/>
        </w:rPr>
      </w:pPr>
    </w:p>
    <w:p w14:paraId="5D65BC4B" w14:textId="77777777" w:rsidR="00E36CC9" w:rsidRDefault="00E36CC9" w:rsidP="009C4A69">
      <w:pPr>
        <w:spacing w:line="480" w:lineRule="auto"/>
        <w:rPr>
          <w:rFonts w:eastAsia="Calibri" w:cs="Times New Roman"/>
          <w:sz w:val="20"/>
          <w:szCs w:val="20"/>
        </w:rPr>
      </w:pPr>
    </w:p>
    <w:p w14:paraId="371354F5" w14:textId="77777777" w:rsidR="009C4A69" w:rsidRPr="009C4A69" w:rsidRDefault="009C4A69" w:rsidP="009C4A69">
      <w:pPr>
        <w:spacing w:line="480" w:lineRule="auto"/>
        <w:rPr>
          <w:rFonts w:cs="Times New Roman"/>
          <w:b/>
          <w:bCs/>
          <w:sz w:val="24"/>
          <w:lang w:bidi="fa-IR"/>
        </w:rPr>
      </w:pPr>
    </w:p>
    <w:p w14:paraId="417ADA0F" w14:textId="4387CABE" w:rsidR="00A15652" w:rsidRDefault="00BE48CB" w:rsidP="009C4A69">
      <w:pPr>
        <w:rPr>
          <w:lang w:bidi="fa-IR"/>
        </w:rPr>
      </w:pPr>
      <w:r>
        <w:rPr>
          <w:noProof/>
        </w:rPr>
        <w:lastRenderedPageBreak/>
        <w:drawing>
          <wp:inline distT="0" distB="0" distL="0" distR="0" wp14:anchorId="7E2BF246" wp14:editId="7E349D69">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3343275"/>
                    </a:xfrm>
                    <a:prstGeom prst="rect">
                      <a:avLst/>
                    </a:prstGeom>
                  </pic:spPr>
                </pic:pic>
              </a:graphicData>
            </a:graphic>
          </wp:inline>
        </w:drawing>
      </w:r>
    </w:p>
    <w:p w14:paraId="6B58B1CD" w14:textId="5DE91DAF" w:rsidR="00BE48CB" w:rsidRPr="00BE48CB" w:rsidRDefault="00BE48CB" w:rsidP="00BE48CB">
      <w:pPr>
        <w:rPr>
          <w:lang w:bidi="fa-IR"/>
        </w:rPr>
      </w:pPr>
      <w:r w:rsidRPr="00BE48CB">
        <w:rPr>
          <w:b/>
          <w:bCs/>
          <w:lang w:bidi="fa-IR"/>
        </w:rPr>
        <w:t>Figure S2.</w:t>
      </w:r>
      <w:r w:rsidRPr="00BE48CB">
        <w:rPr>
          <w:lang w:bidi="fa-IR"/>
        </w:rPr>
        <w:t xml:space="preserve"> Several quantitative and qualitative factors are influential in the marketability of rose shoots, which increases the economic efficiency. In the above figure, a comprehensive study of the effect of different ratios of red and blue light spectrum as supplementary light 90% red: 10% blue (R90B10), 80% red: 20% blue (R80B20), 70% red: 30% blue (R70B30) and without light Supplement (Control) on the reproduction </w:t>
      </w:r>
      <w:proofErr w:type="spellStart"/>
      <w:r w:rsidRPr="00BE48CB">
        <w:rPr>
          <w:lang w:bidi="fa-IR"/>
        </w:rPr>
        <w:t>characteristicsof</w:t>
      </w:r>
      <w:proofErr w:type="spellEnd"/>
      <w:r w:rsidRPr="00BE48CB">
        <w:rPr>
          <w:lang w:bidi="fa-IR"/>
        </w:rPr>
        <w:t xml:space="preserve"> two cultivars of roses.</w:t>
      </w:r>
    </w:p>
    <w:p w14:paraId="4B79AFC4" w14:textId="77777777" w:rsidR="00BE48CB" w:rsidRDefault="00BE48CB" w:rsidP="009C4A69">
      <w:pPr>
        <w:rPr>
          <w:lang w:bidi="fa-IR"/>
        </w:rPr>
      </w:pPr>
    </w:p>
    <w:sectPr w:rsidR="00BE48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F7C"/>
    <w:rsid w:val="000C6F7C"/>
    <w:rsid w:val="00430659"/>
    <w:rsid w:val="009A3472"/>
    <w:rsid w:val="009C4A69"/>
    <w:rsid w:val="00A15652"/>
    <w:rsid w:val="00AE71F7"/>
    <w:rsid w:val="00BE48CB"/>
    <w:rsid w:val="00E36C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D413"/>
  <w15:chartTrackingRefBased/>
  <w15:docId w15:val="{87E05D83-73CF-4623-9E7D-936513705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A69"/>
    <w:pPr>
      <w:spacing w:line="256" w:lineRule="auto"/>
    </w:pPr>
    <w:rPr>
      <w:rFonts w:ascii="Times New Roman" w:hAnsi="Times New Roman" w:cs="B Nazani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841183">
      <w:bodyDiv w:val="1"/>
      <w:marLeft w:val="0"/>
      <w:marRight w:val="0"/>
      <w:marTop w:val="0"/>
      <w:marBottom w:val="0"/>
      <w:divBdr>
        <w:top w:val="none" w:sz="0" w:space="0" w:color="auto"/>
        <w:left w:val="none" w:sz="0" w:space="0" w:color="auto"/>
        <w:bottom w:val="none" w:sz="0" w:space="0" w:color="auto"/>
        <w:right w:val="none" w:sz="0" w:space="0" w:color="auto"/>
      </w:divBdr>
    </w:div>
    <w:div w:id="669408105">
      <w:bodyDiv w:val="1"/>
      <w:marLeft w:val="0"/>
      <w:marRight w:val="0"/>
      <w:marTop w:val="0"/>
      <w:marBottom w:val="0"/>
      <w:divBdr>
        <w:top w:val="none" w:sz="0" w:space="0" w:color="auto"/>
        <w:left w:val="none" w:sz="0" w:space="0" w:color="auto"/>
        <w:bottom w:val="none" w:sz="0" w:space="0" w:color="auto"/>
        <w:right w:val="none" w:sz="0" w:space="0" w:color="auto"/>
      </w:divBdr>
    </w:div>
    <w:div w:id="1519660937">
      <w:bodyDiv w:val="1"/>
      <w:marLeft w:val="0"/>
      <w:marRight w:val="0"/>
      <w:marTop w:val="0"/>
      <w:marBottom w:val="0"/>
      <w:divBdr>
        <w:top w:val="none" w:sz="0" w:space="0" w:color="auto"/>
        <w:left w:val="none" w:sz="0" w:space="0" w:color="auto"/>
        <w:bottom w:val="none" w:sz="0" w:space="0" w:color="auto"/>
        <w:right w:val="none" w:sz="0" w:space="0" w:color="auto"/>
      </w:divBdr>
    </w:div>
    <w:div w:id="1924871645">
      <w:bodyDiv w:val="1"/>
      <w:marLeft w:val="0"/>
      <w:marRight w:val="0"/>
      <w:marTop w:val="0"/>
      <w:marBottom w:val="0"/>
      <w:divBdr>
        <w:top w:val="none" w:sz="0" w:space="0" w:color="auto"/>
        <w:left w:val="none" w:sz="0" w:space="0" w:color="auto"/>
        <w:bottom w:val="none" w:sz="0" w:space="0" w:color="auto"/>
        <w:right w:val="none" w:sz="0" w:space="0" w:color="auto"/>
      </w:divBdr>
    </w:div>
    <w:div w:id="205307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410</Words>
  <Characters>2338</Characters>
  <Application>Microsoft Office Word</Application>
  <DocSecurity>0</DocSecurity>
  <Lines>19</Lines>
  <Paragraphs>5</Paragraphs>
  <ScaleCrop>false</ScaleCrop>
  <Company/>
  <LinksUpToDate>false</LinksUpToDate>
  <CharactersWithSpaces>2743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Davarzani</dc:creator>
  <cp:keywords/>
  <dc:description/>
  <cp:lastModifiedBy>Maryam Davarzani</cp:lastModifiedBy>
  <cp:revision>7</cp:revision>
  <dcterms:created xsi:type="dcterms:W3CDTF">2023-08-18T14:01:00Z</dcterms:created>
  <dcterms:modified xsi:type="dcterms:W3CDTF">2023-09-02T12:39:00Z</dcterms:modified>
</cp:coreProperties>
</file>