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10"/>
        <w:spacing w:line="360" w:lineRule="auto"/>
        <w:rPr>
          <w:rFonts w:ascii="Liberation Serif" w:hAnsi="Liberation Serif" w:eastAsia="Liberation Serif" w:cs="Liberation Serif"/>
          <w:color w:val="000000"/>
        </w:rPr>
      </w:pPr>
      <w:r>
        <w:rPr>
          <w:rFonts w:ascii="Liberation Serif" w:hAnsi="Liberation Serif" w:eastAsia="Liberation Serif" w:cs="Liberation Serif"/>
          <w:color w:val="000000"/>
        </w:rPr>
        <w:t>Viral Communities in Millipede Guts: Insights into Diversity and the Potential Role in Modulating the Microbiome</w:t>
      </w:r>
    </w:p>
    <w:p>
      <w:pPr>
        <w:pStyle w:val="para11"/>
        <w:spacing w:line="360" w:lineRule="auto"/>
        <w:jc w:val="both"/>
        <w:rPr>
          <w:color w:val="000000"/>
          <w:lang w:val="en-gb"/>
        </w:rPr>
      </w:pPr>
      <w:r>
        <w:rPr>
          <w:b/>
          <w:color w:val="000000"/>
          <w:lang w:val="en-gb"/>
        </w:rPr>
        <w:t>Julius E. Nweze</w:t>
      </w:r>
      <w:r>
        <w:rPr>
          <w:b/>
          <w:color w:val="000000"/>
          <w:vertAlign w:val="superscript"/>
          <w:lang w:val="en-gb"/>
        </w:rPr>
        <w:t>1,2</w:t>
      </w:r>
      <w:r>
        <w:rPr>
          <w:b/>
          <w:color w:val="000000"/>
          <w:lang w:val="en-gb"/>
        </w:rPr>
        <w:t>, Johannes Schweichhart</w:t>
      </w:r>
      <w:r>
        <w:rPr>
          <w:b/>
          <w:color w:val="000000"/>
          <w:vertAlign w:val="superscript"/>
          <w:lang w:val="en-gb"/>
        </w:rPr>
        <w:t>1,2</w:t>
      </w:r>
      <w:r>
        <w:rPr>
          <w:b/>
          <w:color w:val="000000"/>
          <w:lang w:val="en-gb"/>
        </w:rPr>
        <w:t>, Roey Angel</w:t>
      </w:r>
      <w:r>
        <w:rPr>
          <w:b/>
          <w:color w:val="000000"/>
          <w:vertAlign w:val="superscript"/>
          <w:lang w:val="en-gb"/>
        </w:rPr>
        <w:t>1*</w:t>
      </w:r>
      <w:r>
        <w:rPr>
          <w:b/>
          <w:color w:val="000000"/>
          <w:lang w:val="en-gb"/>
        </w:rPr>
        <w:t xml:space="preserve"> </w:t>
      </w:r>
      <w:r>
        <w:rPr>
          <w:color w:val="000000"/>
          <w:lang w:val="en-gb"/>
        </w:rPr>
      </w:r>
    </w:p>
    <w:p>
      <w:pPr>
        <w:pStyle w:val="para11"/>
        <w:spacing w:line="360" w:lineRule="auto"/>
        <w:jc w:val="both"/>
        <w:rPr>
          <w:color w:val="000000"/>
          <w:lang w:val="en-gb"/>
        </w:rPr>
      </w:pPr>
      <w:r>
        <w:rPr>
          <w:color w:val="000000"/>
          <w:vertAlign w:val="superscript"/>
          <w:lang w:val="en-gb"/>
        </w:rPr>
        <w:t>1</w:t>
      </w:r>
      <w:r>
        <w:rPr>
          <w:color w:val="000000"/>
          <w:lang w:val="en-gb"/>
        </w:rPr>
        <w:t>Institute of Soil Biology and Biogeochemistry, Biology Centre CAS, České Budějovice, Czechia</w:t>
      </w:r>
    </w:p>
    <w:p>
      <w:pPr>
        <w:pStyle w:val="para11"/>
        <w:spacing w:line="360" w:lineRule="auto"/>
        <w:rPr>
          <w:color w:val="000000"/>
          <w:lang w:val="en-gb"/>
        </w:rPr>
      </w:pPr>
      <w:r>
        <w:rPr>
          <w:color w:val="000000"/>
          <w:vertAlign w:val="superscript"/>
          <w:lang w:val="en-gb"/>
        </w:rPr>
        <w:t>2</w:t>
      </w:r>
      <w:r>
        <w:rPr>
          <w:color w:val="000000"/>
          <w:lang w:val="en-gb"/>
        </w:rPr>
        <w:t>Department of Ecosystem Biology, Faculty of Science, University of South Bohemia in České Budějovice, Czechia</w:t>
      </w:r>
    </w:p>
    <w:p>
      <w:pPr>
        <w:pStyle w:val="para3"/>
      </w:pPr>
      <w:bookmarkStart w:id="0" w:name="supplementary_material"/>
      <w:r/>
      <w:bookmarkEnd w:id="0"/>
      <w:r/>
      <w:r>
        <w:rPr>
          <w:color w:val="000000"/>
        </w:rPr>
        <w:t xml:space="preserve">* Correspondence: </w:t>
      </w:r>
      <w:r>
        <w:rPr>
          <w:rStyle w:val="char2"/>
          <w:color w:val="000000"/>
        </w:rPr>
        <w:t>roey.angel@bc.cas.cz</w:t>
      </w:r>
      <w:r/>
    </w:p>
    <w:p>
      <w:pPr>
        <w:pStyle w:val="para1"/>
        <w:spacing w:line="360" w:lineRule="auto"/>
        <w:rPr>
          <w:rFonts w:ascii="Liberation Serif" w:hAnsi="Liberation Serif" w:eastAsia="Liberation Serif" w:cs="Liberation Serif"/>
          <w:color w:val="000000"/>
        </w:rPr>
      </w:pPr>
      <w:r>
        <w:rPr>
          <w:rFonts w:ascii="Liberation Serif" w:hAnsi="Liberation Serif" w:eastAsia="Liberation Serif" w:cs="Liberation Serif"/>
          <w:color w:val="000000"/>
        </w:rPr>
        <w:t>Supplementary Material</w:t>
      </w:r>
    </w:p>
    <w:p>
      <w:pPr>
        <w:pStyle w:val="para3"/>
        <w:spacing w:line="360" w:lineRule="auto"/>
        <w:rPr>
          <w:rFonts w:eastAsia="Liberation Serif" w:cs="Liberation Serif"/>
          <w:color w:val="000000"/>
        </w:rPr>
      </w:pPr>
      <w:r>
        <w:br w:type="page"/>
      </w:r>
      <w:r>
        <w:rPr>
          <w:rFonts w:eastAsia="Liberation Serif" w:cs="Liberation Serif"/>
          <w:color w:val="000000"/>
        </w:rPr>
      </w:r>
    </w:p>
    <w:p>
      <w:pPr>
        <w:pStyle w:val="para9"/>
        <w:spacing w:line="360" w:lineRule="auto"/>
        <w:rPr>
          <w:rFonts w:eastAsia="Liberation Serif" w:cs="Liberation Serif"/>
          <w:color w:val="000000"/>
        </w:rPr>
      </w:pPr>
      <w:r>
        <w:rPr>
          <w:rFonts w:eastAsia="Liberation Serif" w:cs="Liberation Serif"/>
          <w:color w:val="000000"/>
        </w:rPr>
      </w:r>
    </w:p>
    <w:p>
      <w:pPr>
        <w:pStyle w:val="para7"/>
        <w:spacing w:line="360" w:lineRule="auto"/>
        <w:rPr>
          <w:rFonts w:eastAsia="Liberation Serif" w:cs="Liberation Serif"/>
          <w:color w:val="000000"/>
        </w:rPr>
      </w:pPr>
      <w:r>
        <w:rPr>
          <w:noProof/>
        </w:rPr>
        <w:drawing>
          <wp:anchor distT="89535" distB="89535" distL="89535" distR="89535" simplePos="0" relativeHeight="251658241" behindDoc="0" locked="0" layoutInCell="0" hidden="0" allowOverlap="1">
            <wp:simplePos x="0" y="0"/>
            <wp:positionH relativeFrom="page">
              <wp:posOffset>720090</wp:posOffset>
            </wp:positionH>
            <wp:positionV relativeFrom="page">
              <wp:posOffset>1430655</wp:posOffset>
            </wp:positionV>
            <wp:extent cx="6840220" cy="7952105"/>
            <wp:effectExtent l="0" t="0" r="0" b="0"/>
            <wp:wrapSquare wrapText="bothSides"/>
            <wp:docPr id="1" name="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
                    <pic:cNvPicPr>
                      <a:picLocks noChangeAspect="1"/>
                      <a:codePr string="" type="657" text="1"/>
                      <a:extLst>
                        <a:ext uri="smNativeData">
                          <sm:smNativeData xmlns:sm="smNativeData" val="SMDATA_17_9IDNZ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IAAAAAIIAAAAAAAAAAAAAAAAAAAAAAABuBAAAAAAAAAAAAADNCAAAFCoAAOswAAABAAAAbgQAAM0IAAAoAAAACAAAAAEAAAABAAAAMAAAABQAAAAAAAAAAAD//wAAAQAAAP//AAABAA=="/>
                        </a:ext>
                      </a:extLst>
                    </pic:cNvPicPr>
                  </pic:nvPicPr>
                  <pic:blipFill>
                    <a:blip r:embed="rId7"/>
                    <a:stretch>
                      <a:fillRect/>
                    </a:stretch>
                  </pic:blipFill>
                  <pic:spPr>
                    <a:xfrm>
                      <a:off x="0" y="0"/>
                      <a:ext cx="6840220" cy="7952105"/>
                    </a:xfrm>
                    <a:prstGeom prst="rect">
                      <a:avLst/>
                    </a:prstGeom>
                    <a:noFill/>
                    <a:ln w="12700">
                      <a:noFill/>
                    </a:ln>
                  </pic:spPr>
                </pic:pic>
              </a:graphicData>
            </a:graphic>
          </wp:anchor>
        </w:drawing>
      </w:r>
      <w:r>
        <w:rPr>
          <w:rFonts w:eastAsia="Liberation Serif" w:cs="Liberation Serif"/>
          <w:color w:val="000000"/>
        </w:rPr>
      </w:r>
    </w:p>
    <w:p>
      <w:pPr>
        <w:pStyle w:val="para7"/>
        <w:spacing w:line="360" w:lineRule="auto"/>
        <w:rPr>
          <w:rFonts w:eastAsia="Liberation Serif" w:cs="Liberation Serif"/>
          <w:color w:val="000000"/>
        </w:rPr>
      </w:pPr>
      <w:r>
        <w:rPr>
          <w:rFonts w:eastAsia="Liberation Serif" w:cs="Liberation Serif"/>
          <w:b/>
          <w:color w:val="000000"/>
        </w:rPr>
        <w:t>Supplementary Fig. 1. Proteomic tree of viral genomes in metatranscriptome from E. pulchripes.</w:t>
      </w:r>
      <w:r>
        <w:rPr>
          <w:rFonts w:eastAsia="Liberation Serif" w:cs="Liberation Serif"/>
          <w:color w:val="000000"/>
        </w:rPr>
        <w:t xml:space="preserve"> (a) Proteomic similarity in the dsDNA viruses between the metagenome-assembled viral genomes (MAVGs; 15) classified in the phylum Uroviricota (order Caudoviricetes) and related reference viral genomes. (b) Genome similarity in the ssRNA viruses between the MAVGs classified in the phylum Kitrinoviricota (3) and related reference viral genomes. (c) Genome similarity in the ssRNA viruses between the MAVGs classified in the phylum Lenarviricota (8), prokaryotic and (d) eukaryotic reference viral genomes. (e) Genome similarity in the ssRNA viruses between the MAVGs classified in the phylum Pisuviricota (12) and related eukaryotic reference viral genomes. (f) Genome similarity in the dsRNA viruses between the MAVGs classified in the phylum Duplornaviricota (3) and related prokaryotic reference viral genomes.  (g) Genome similarity in the dsRNA viruses between the MAVGs classified in the phylum Negarnaviricota (1) and related eukaryotic reference viral genomes. See </w:t>
      </w:r>
      <w:r>
        <w:rPr>
          <w:rFonts w:eastAsia="Liberation Serif" w:cs="Liberation Serif"/>
          <w:b/>
          <w:color w:val="000000"/>
        </w:rPr>
        <w:t>Fig. 2</w:t>
      </w:r>
      <w:r>
        <w:rPr>
          <w:rFonts w:eastAsia="Liberation Serif" w:cs="Liberation Serif"/>
          <w:color w:val="000000"/>
        </w:rPr>
        <w:t xml:space="preserve"> and the </w:t>
      </w:r>
      <w:r>
        <w:rPr>
          <w:rFonts w:eastAsia="Liberation Serif" w:cs="Liberation Serif"/>
          <w:b/>
          <w:color w:val="000000"/>
        </w:rPr>
        <w:t>Materials and Methods</w:t>
      </w:r>
      <w:r>
        <w:rPr>
          <w:rFonts w:eastAsia="Liberation Serif" w:cs="Liberation Serif"/>
          <w:color w:val="000000"/>
        </w:rPr>
        <w:t xml:space="preserve"> for how the tree was generated. The red stars represent each MAVG from our metatranscriptome. </w:t>
      </w:r>
    </w:p>
    <w:p>
      <w:pPr>
        <w:pStyle w:val="para9"/>
        <w:spacing w:line="360" w:lineRule="auto"/>
        <w:rPr>
          <w:rFonts w:eastAsia="Liberation Serif" w:cs="Liberation Serif"/>
          <w:color w:val="000000"/>
        </w:rPr>
      </w:pPr>
      <w:r>
        <w:br w:type="page"/>
      </w:r>
      <w:r>
        <w:rPr>
          <w:rFonts w:eastAsia="Liberation Serif" w:cs="Liberation Serif"/>
          <w:color w:val="000000"/>
        </w:rPr>
      </w:r>
    </w:p>
    <w:p>
      <w:r>
        <w:rPr>
          <w:noProof/>
        </w:rPr>
        <w:drawing>
          <wp:anchor distT="89535" distB="89535" distL="89535" distR="89535" simplePos="0" relativeHeight="251658242" behindDoc="0" locked="0" layoutInCell="0" hidden="0" allowOverlap="1">
            <wp:simplePos x="0" y="0"/>
            <wp:positionH relativeFrom="page">
              <wp:posOffset>973455</wp:posOffset>
            </wp:positionH>
            <wp:positionV relativeFrom="page">
              <wp:posOffset>1199515</wp:posOffset>
            </wp:positionV>
            <wp:extent cx="5194935" cy="8979535"/>
            <wp:effectExtent l="0" t="0" r="0" b="0"/>
            <wp:wrapSquare wrapText="bothSides"/>
            <wp:docPr id="2" name="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2"/>
                    <pic:cNvPicPr>
                      <a:picLocks noChangeAspect="1"/>
                      <a:codePr string="" type="657" text="1"/>
                      <a:extLst>
                        <a:ext uri="smNativeData">
                          <sm:smNativeData xmlns:sm="smNativeData" val="SMDATA_17_9IDNZ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LAAAAAIIAAAAAAAAAAAAAAQAAAAAAAAD9BQAAAQAAAAAAAABhBwAA9R8AAD03AAADAAAA/QUAAGEHAAAoAAAACAAAAAEAAAABAAAAMAAAABQAAAAAAAAAAAD//wAAAQAAAP//AAABAA=="/>
                        </a:ext>
                      </a:extLst>
                    </pic:cNvPicPr>
                  </pic:nvPicPr>
                  <pic:blipFill>
                    <a:blip r:embed="rId8"/>
                    <a:stretch>
                      <a:fillRect/>
                    </a:stretch>
                  </pic:blipFill>
                  <pic:spPr>
                    <a:xfrm>
                      <a:off x="0" y="0"/>
                      <a:ext cx="5194935" cy="8979535"/>
                    </a:xfrm>
                    <a:prstGeom prst="rect">
                      <a:avLst/>
                    </a:prstGeom>
                    <a:noFill/>
                    <a:ln w="12700">
                      <a:noFill/>
                    </a:ln>
                  </pic:spPr>
                </pic:pic>
              </a:graphicData>
            </a:graphic>
          </wp:anchor>
        </w:drawing>
      </w:r>
      <w:r/>
    </w:p>
    <w:p>
      <w:pPr>
        <w:pStyle w:val="para7"/>
        <w:spacing w:line="360" w:lineRule="auto"/>
        <w:rPr>
          <w:rFonts w:eastAsia="Liberation Serif" w:cs="Liberation Serif"/>
          <w:color w:val="000000"/>
        </w:rPr>
      </w:pPr>
      <w:r>
        <w:br w:type="page"/>
      </w:r>
      <w:r>
        <w:rPr>
          <w:rFonts w:eastAsia="Liberation Serif" w:cs="Liberation Serif"/>
          <w:b/>
          <w:color w:val="000000"/>
        </w:rPr>
        <w:t>Supplementary Fig. 2. Proteomic tree of viral genomes in metagenome from G. connexa.</w:t>
      </w:r>
      <w:r>
        <w:rPr>
          <w:rFonts w:eastAsia="Liberation Serif" w:cs="Liberation Serif"/>
          <w:color w:val="000000"/>
        </w:rPr>
        <w:t xml:space="preserve"> (a) Genomic similarity in the dsDNA viruses between the metagenome-assembled viral genomes  (55 MAVGs) classified in the phylum Uroviricota (order Caudoviricetes) and 4463 related reference viral genomes. (b) Genomic similarity in the ssDNA viruses between the MAVGs classified in the phyla Cossaviricota (3) and Cressdnaviricota (2) and related reference viral genomes. See Fig. 2 and the Materials and Methods for how the tree was generated. The red stars represent each MAVG from our metagenome. </w:t>
      </w:r>
    </w:p>
    <w:p>
      <w:pPr>
        <w:pStyle w:val="para7"/>
        <w:spacing w:line="360" w:lineRule="auto"/>
        <w:rPr>
          <w:rFonts w:eastAsia="Liberation Serif" w:cs="Liberation Serif"/>
          <w:color w:val="000000"/>
        </w:rPr>
      </w:pPr>
      <w:r>
        <w:br w:type="page"/>
      </w:r>
      <w:r>
        <w:rPr>
          <w:noProof/>
        </w:rPr>
        <w:drawing>
          <wp:anchor distT="89535" distB="89535" distL="89535" distR="89535" simplePos="0" relativeHeight="251658243" behindDoc="0" locked="0" layoutInCell="0" hidden="0" allowOverlap="1">
            <wp:simplePos x="0" y="0"/>
            <wp:positionH relativeFrom="page">
              <wp:posOffset>720090</wp:posOffset>
            </wp:positionH>
            <wp:positionV relativeFrom="page">
              <wp:posOffset>977900</wp:posOffset>
            </wp:positionV>
            <wp:extent cx="6840220" cy="6562725"/>
            <wp:effectExtent l="0" t="0" r="0" b="0"/>
            <wp:wrapSquare wrapText="bothSides"/>
            <wp:docPr id="3" name="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3"/>
                    <pic:cNvPicPr>
                      <a:picLocks noChangeAspect="1"/>
                      <a:codePr string="" type="657" text="1"/>
                      <a:extLst>
                        <a:ext uri="smNativeData">
                          <sm:smNativeData xmlns:sm="smNativeData" val="SMDATA_17_9IDNZ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FAAAAQIIAAAAAAAAAAAAAAAAAAAAAAABuBAAAAAAAAAAAAAAEBgAAFCoAAF8oAAAFAAAAbgQAAAQGAAAoAAAACAAAAAEAAAABAAAAMAAAABQAAAAAAAAAAAD//wAAAQAAAP//AAABAA=="/>
                        </a:ext>
                      </a:extLst>
                    </pic:cNvPicPr>
                  </pic:nvPicPr>
                  <pic:blipFill>
                    <a:blip r:embed="rId9"/>
                    <a:stretch>
                      <a:fillRect/>
                    </a:stretch>
                  </pic:blipFill>
                  <pic:spPr>
                    <a:xfrm>
                      <a:off x="0" y="0"/>
                      <a:ext cx="6840220" cy="6562725"/>
                    </a:xfrm>
                    <a:prstGeom prst="rect">
                      <a:avLst/>
                    </a:prstGeom>
                    <a:noFill/>
                    <a:ln w="12700">
                      <a:noFill/>
                    </a:ln>
                  </pic:spPr>
                </pic:pic>
              </a:graphicData>
            </a:graphic>
          </wp:anchor>
        </w:drawing>
      </w:r>
      <w:r>
        <w:rPr>
          <w:rFonts w:eastAsia="Liberation Serif" w:cs="Liberation Serif"/>
          <w:b/>
          <w:color w:val="000000"/>
        </w:rPr>
        <w:t>Supplementary Fig. 3. Proteomic tree of viral genomes in metatranscriptome from G. connexa</w:t>
      </w:r>
      <w:r>
        <w:rPr>
          <w:rFonts w:eastAsia="Liberation Serif" w:cs="Liberation Serif"/>
          <w:color w:val="000000"/>
        </w:rPr>
        <w:t xml:space="preserve">. (a) Genomic similarity in the dsDNA viruses between the MAVGs classified in the phylum Uroviricota (9) and 4463 related reference viral genomes. (b) Genome similarity in the ssRNA viruses between the MAVGs classified in the phylum Kitrinoviricota (3) and 203 related reference viral genomes. (c) Genome similarity in the ssRNA viruses between the MAVGs classified in the phylum Lenarviricota (13) and 20 prokaryotic and (d) 59 eukaryotic reference viral genomes. (e) Genome similarity in the ssRNA viruses between the MAVGs classified in the phylum Duplornaviricota (5) and 108 related eukaryotic reference viral genomes. (f) Genome similarity in the dsRNA viruses between the MAVGs classified in the phylum Pisuviricota (10) and 54 related eukaryotic reference viral genomes.  (g) Genome similarity in the dsRNA viruses between the MAVGs classified in the phylum Negarnaviricota (1) and 44 related eukaryotic reference viral genomes. See Fig. 2 and the Materials and Methods for how the tree was generated. The red stars represent each MAVG from our metatranscriptome. </w:t>
      </w:r>
    </w:p>
    <w:p>
      <w:pPr>
        <w:pStyle w:val="para7"/>
        <w:spacing w:line="360" w:lineRule="auto"/>
        <w:rPr>
          <w:rFonts w:eastAsia="Liberation Serif" w:cs="Liberation Serif"/>
          <w:color w:val="000000"/>
        </w:rPr>
      </w:pPr>
      <w:r>
        <w:br w:type="page"/>
      </w:r>
      <w:r>
        <w:rPr>
          <w:noProof/>
        </w:rPr>
        <w:drawing>
          <wp:anchor distT="89535" distB="89535" distL="89535" distR="89535" simplePos="0" relativeHeight="251658244" behindDoc="0" locked="0" layoutInCell="0" hidden="0" allowOverlap="1">
            <wp:simplePos x="0" y="0"/>
            <wp:positionH relativeFrom="page">
              <wp:posOffset>720090</wp:posOffset>
            </wp:positionH>
            <wp:positionV relativeFrom="page">
              <wp:posOffset>1019175</wp:posOffset>
            </wp:positionV>
            <wp:extent cx="6840220" cy="4759960"/>
            <wp:effectExtent l="0" t="0" r="0" b="0"/>
            <wp:wrapSquare wrapText="bothSides"/>
            <wp:docPr id="4" name="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4"/>
                    <pic:cNvPicPr>
                      <a:picLocks noChangeAspect="1"/>
                      <a:codePr string="" type="657" text="1"/>
                      <a:extLst>
                        <a:ext uri="smNativeData">
                          <sm:smNativeData xmlns:sm="smNativeData" val="SMDATA_17_9IDNZ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OAAAAAIIAAAAAAAAAAAAAAAAAAAAAAABuBAAAAAAAAAAAAABFBgAAFCoAAEgdAAAHAAAAbgQAAEUGAAAoAAAACAAAAAEAAAABAAAAMAAAABQAAAAAAAAAAAD//wAAAQAAAP//AAABAA=="/>
                        </a:ext>
                      </a:extLst>
                    </pic:cNvPicPr>
                  </pic:nvPicPr>
                  <pic:blipFill>
                    <a:blip r:embed="rId10"/>
                    <a:stretch>
                      <a:fillRect/>
                    </a:stretch>
                  </pic:blipFill>
                  <pic:spPr>
                    <a:xfrm>
                      <a:off x="0" y="0"/>
                      <a:ext cx="6840220" cy="4759960"/>
                    </a:xfrm>
                    <a:prstGeom prst="rect">
                      <a:avLst/>
                    </a:prstGeom>
                    <a:noFill/>
                    <a:ln w="12700">
                      <a:noFill/>
                    </a:ln>
                  </pic:spPr>
                </pic:pic>
              </a:graphicData>
            </a:graphic>
          </wp:anchor>
        </w:drawing>
      </w:r>
      <w:r>
        <w:rPr>
          <w:rFonts w:eastAsia="Liberation Serif" w:cs="Liberation Serif"/>
          <w:color w:val="000000"/>
        </w:rPr>
      </w:r>
    </w:p>
    <w:p>
      <w:pPr>
        <w:pStyle w:val="para9"/>
        <w:spacing w:line="360" w:lineRule="auto"/>
        <w:rPr>
          <w:rFonts w:eastAsia="Liberation Serif" w:cs="Liberation Serif"/>
          <w:color w:val="000000"/>
        </w:rPr>
      </w:pPr>
      <w:r>
        <w:rPr>
          <w:rFonts w:eastAsia="Liberation Serif" w:cs="Liberation Serif"/>
          <w:color w:val="000000"/>
        </w:rPr>
      </w:r>
    </w:p>
    <w:p>
      <w:pPr>
        <w:pStyle w:val="para7"/>
        <w:spacing w:line="360" w:lineRule="auto"/>
        <w:rPr>
          <w:rFonts w:eastAsia="Liberation Serif" w:cs="Liberation Serif"/>
          <w:color w:val="000000"/>
        </w:rPr>
      </w:pPr>
      <w:r>
        <w:rPr>
          <w:rFonts w:eastAsia="Liberation Serif" w:cs="Liberation Serif"/>
          <w:b/>
          <w:color w:val="000000"/>
        </w:rPr>
        <w:t>Supplementary Fig. 4. CRISPR-Cas loci and the associated genes in the metagenomic and metatranscriptomic libraries from the hindguts of</w:t>
      </w:r>
      <w:r>
        <w:rPr>
          <w:rFonts w:eastAsia="Liberation Serif" w:cs="Liberation Serif"/>
          <w:color w:val="000000"/>
        </w:rPr>
        <w:t xml:space="preserve"> </w:t>
      </w:r>
      <w:r>
        <w:rPr>
          <w:rFonts w:eastAsia="Liberation Serif" w:cs="Liberation Serif"/>
          <w:b/>
          <w:color w:val="000000"/>
        </w:rPr>
        <w:t>E. pulchripes</w:t>
      </w:r>
      <w:r>
        <w:rPr>
          <w:rFonts w:eastAsia="Liberation Serif" w:cs="Liberation Serif"/>
          <w:color w:val="000000"/>
        </w:rPr>
        <w:t xml:space="preserve"> </w:t>
      </w:r>
      <w:r>
        <w:rPr>
          <w:rFonts w:eastAsia="Liberation Serif" w:cs="Liberation Serif"/>
          <w:b/>
          <w:color w:val="000000"/>
        </w:rPr>
        <w:t>and</w:t>
      </w:r>
      <w:r>
        <w:rPr>
          <w:rFonts w:eastAsia="Liberation Serif" w:cs="Liberation Serif"/>
          <w:color w:val="000000"/>
        </w:rPr>
        <w:t xml:space="preserve"> </w:t>
      </w:r>
      <w:r>
        <w:rPr>
          <w:rFonts w:eastAsia="Liberation Serif" w:cs="Liberation Serif"/>
          <w:b/>
          <w:color w:val="000000"/>
        </w:rPr>
        <w:t>G. connexa.</w:t>
      </w:r>
      <w:r>
        <w:rPr>
          <w:rFonts w:eastAsia="Liberation Serif" w:cs="Liberation Serif"/>
          <w:color w:val="000000"/>
        </w:rPr>
        <w:t xml:space="preserve"> (a) Total number of CRISPR-Cas loci, orphan Cas-genes and CRISPR arrays in both library types from the two millipede species. (b) The number of subtypes of CRISPR-Cas loci in both library types (lacking in the metatranscriptome from G. connexa). (c) The number of orphan cas-operons (those not present in CRISPR-Cas loci) and (d) orphan CRISPR arrays in both library type. </w:t>
      </w:r>
    </w:p>
    <w:p>
      <w:pPr>
        <w:pStyle w:val="para9"/>
        <w:spacing w:line="360" w:lineRule="auto"/>
        <w:rPr>
          <w:rFonts w:eastAsia="Liberation Serif" w:cs="Liberation Serif"/>
          <w:color w:val="000000"/>
        </w:rPr>
      </w:pPr>
      <w:r>
        <w:br w:type="page"/>
      </w:r>
      <w:r>
        <w:rPr>
          <w:noProof/>
        </w:rPr>
        <w:drawing>
          <wp:anchor distT="89535" distB="89535" distL="89535" distR="89535" simplePos="0" relativeHeight="251658245" behindDoc="0" locked="0" layoutInCell="0" hidden="0" allowOverlap="1">
            <wp:simplePos x="0" y="0"/>
            <wp:positionH relativeFrom="page">
              <wp:posOffset>766445</wp:posOffset>
            </wp:positionH>
            <wp:positionV relativeFrom="page">
              <wp:posOffset>795655</wp:posOffset>
            </wp:positionV>
            <wp:extent cx="6660515" cy="5909945"/>
            <wp:effectExtent l="0" t="0" r="0" b="0"/>
            <wp:wrapSquare wrapText="bothSides"/>
            <wp:docPr id="5" name="Pic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5"/>
                    <pic:cNvPicPr>
                      <a:picLocks noChangeAspect="1"/>
                      <a:codePr string="" type="657" text="1"/>
                      <a:extLst>
                        <a:ext uri="smNativeData">
                          <sm:smNativeData xmlns:sm="smNativeData" val="SMDATA_17_9IDNZ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RAAAAAIIAAAAAAAAAAAAAAAAAAAAAAAC3BAAAAAAAAAAAAADlBAAA+SgAAFskAAAIAAAAtwQAAOUEAAAoAAAACAAAAAEAAAABAAAAMAAAABQAAAAAAAAAAAD//wAAAQAAAP//AAABAA=="/>
                        </a:ext>
                      </a:extLst>
                    </pic:cNvPicPr>
                  </pic:nvPicPr>
                  <pic:blipFill>
                    <a:blip r:embed="rId11"/>
                    <a:stretch>
                      <a:fillRect/>
                    </a:stretch>
                  </pic:blipFill>
                  <pic:spPr>
                    <a:xfrm>
                      <a:off x="0" y="0"/>
                      <a:ext cx="6660515" cy="5909945"/>
                    </a:xfrm>
                    <a:prstGeom prst="rect">
                      <a:avLst/>
                    </a:prstGeom>
                    <a:noFill/>
                    <a:ln w="12700">
                      <a:noFill/>
                    </a:ln>
                  </pic:spPr>
                </pic:pic>
              </a:graphicData>
            </a:graphic>
          </wp:anchor>
        </w:drawing>
      </w:r>
      <w:r>
        <w:rPr>
          <w:rFonts w:eastAsia="Liberation Serif" w:cs="Liberation Serif"/>
          <w:color w:val="000000"/>
        </w:rPr>
      </w:r>
    </w:p>
    <w:p>
      <w:pPr>
        <w:pStyle w:val="para7"/>
        <w:spacing w:line="360" w:lineRule="auto"/>
        <w:rPr>
          <w:rFonts w:eastAsia="Liberation Serif" w:cs="Liberation Serif"/>
          <w:color w:val="000000"/>
        </w:rPr>
      </w:pPr>
      <w:r>
        <w:rPr>
          <w:rFonts w:eastAsia="Liberation Serif" w:cs="Liberation Serif"/>
          <w:b/>
          <w:color w:val="000000"/>
        </w:rPr>
        <w:t>Supplementary Fig. 5. Arrangements and directions of the CRISPR-Cas systems identified in the metagenomes and metatranscriptomes from E. pulchripes and G. connexa. </w:t>
      </w:r>
      <w:r>
        <w:rPr>
          <w:rFonts w:eastAsia="Liberation Serif" w:cs="Liberation Serif"/>
          <w:color w:val="000000"/>
        </w:rPr>
        <w:t xml:space="preserve">(a) The CRISPR-Cas systems in the metagenome and (b) metatranscriptome from E. pulchripes. (c) The CRISPR-Cas systems in the metagenome from G. connexa. </w:t>
      </w:r>
    </w:p>
    <w:p>
      <w:r/>
    </w:p>
    <w:p>
      <w:pPr>
        <w:pStyle w:val="para9"/>
        <w:spacing w:line="360" w:lineRule="auto"/>
        <w:rPr>
          <w:rFonts w:eastAsia="Liberation Serif" w:cs="Liberation Serif"/>
          <w:color w:val="000000"/>
        </w:rPr>
      </w:pPr>
      <w:r>
        <w:br w:type="page"/>
      </w:r>
      <w:r>
        <w:rPr>
          <w:noProof/>
        </w:rPr>
        <w:drawing>
          <wp:anchor distT="89535" distB="89535" distL="89535" distR="89535" simplePos="0" relativeHeight="251658246" behindDoc="0" locked="0" layoutInCell="0" hidden="0" allowOverlap="1">
            <wp:simplePos x="0" y="0"/>
            <wp:positionH relativeFrom="page">
              <wp:posOffset>806450</wp:posOffset>
            </wp:positionH>
            <wp:positionV relativeFrom="page">
              <wp:posOffset>871855</wp:posOffset>
            </wp:positionV>
            <wp:extent cx="2967990" cy="9093200"/>
            <wp:effectExtent l="0" t="0" r="0" b="0"/>
            <wp:wrapSquare wrapText="bothSides"/>
            <wp:docPr id="6" name="Pict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6"/>
                    <pic:cNvPicPr>
                      <a:picLocks noChangeAspect="1"/>
                      <a:codePr string="" type="657" text="1"/>
                      <a:extLst>
                        <a:ext uri="smNativeData">
                          <sm:smNativeData xmlns:sm="smNativeData" val="SMDATA_17_9IDNZ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UAAAAAIIAAAAAAAAAAAAAAQAAAAAAAAD2BAAAAQAAAAAAAABdBQAAQhIAAPA3AAAJAAAA9gQAAF0FAAAoAAAACAAAAAEAAAABAAAAMAAAABQAAAAAAAAAAAD//wAAAQAAAP//AAABAA=="/>
                        </a:ext>
                      </a:extLst>
                    </pic:cNvPicPr>
                  </pic:nvPicPr>
                  <pic:blipFill>
                    <a:blip r:embed="rId12"/>
                    <a:stretch>
                      <a:fillRect/>
                    </a:stretch>
                  </pic:blipFill>
                  <pic:spPr>
                    <a:xfrm>
                      <a:off x="0" y="0"/>
                      <a:ext cx="2967990" cy="9093200"/>
                    </a:xfrm>
                    <a:prstGeom prst="rect">
                      <a:avLst/>
                    </a:prstGeom>
                    <a:noFill/>
                    <a:ln w="12700">
                      <a:noFill/>
                    </a:ln>
                  </pic:spPr>
                </pic:pic>
              </a:graphicData>
            </a:graphic>
          </wp:anchor>
        </w:drawing>
      </w:r>
      <w:r>
        <w:rPr>
          <w:rFonts w:eastAsia="Liberation Serif" w:cs="Liberation Serif"/>
          <w:color w:val="000000"/>
        </w:rPr>
      </w:r>
    </w:p>
    <w:p>
      <w:r/>
    </w:p>
    <w:p>
      <w:pPr>
        <w:pStyle w:val="para7"/>
        <w:spacing w:line="360" w:lineRule="auto"/>
        <w:rPr>
          <w:rFonts w:eastAsia="Liberation Serif" w:cs="Liberation Serif"/>
          <w:color w:val="000000"/>
        </w:rPr>
      </w:pPr>
      <w:r>
        <w:br w:type="page"/>
      </w:r>
      <w:r>
        <w:rPr>
          <w:rFonts w:eastAsia="Liberation Serif" w:cs="Liberation Serif"/>
          <w:b/>
          <w:color w:val="000000"/>
        </w:rPr>
        <w:t>Supplementary Fig. 6. Arrangements and directions of the CRISPR-Cas systems identified in the MAGs from E. pulchripes and G. connexa.</w:t>
      </w:r>
      <w:r>
        <w:rPr>
          <w:rFonts w:eastAsia="Liberation Serif" w:cs="Liberation Serif"/>
          <w:color w:val="000000"/>
        </w:rPr>
        <w:t xml:space="preserve"> Each CRISPR-Cas system identified in our study was labelled with the specific phylum of the metagenome-assembled genomes (MAGs) from which it originated in each millipede species. </w:t>
      </w:r>
    </w:p>
    <w:p>
      <w:pPr>
        <w:pStyle w:val="para7"/>
        <w:spacing w:line="360" w:lineRule="auto"/>
        <w:rPr>
          <w:rFonts w:eastAsia="Liberation Serif" w:cs="Liberation Serif"/>
          <w:color w:val="000000"/>
        </w:rPr>
      </w:pPr>
      <w:r>
        <w:br w:type="page"/>
      </w:r>
      <w:r>
        <w:rPr>
          <w:noProof/>
        </w:rPr>
        <w:drawing>
          <wp:anchor distT="89535" distB="89535" distL="89535" distR="89535" simplePos="0" relativeHeight="251658247" behindDoc="0" locked="0" layoutInCell="0" hidden="0" allowOverlap="1">
            <wp:simplePos x="0" y="0"/>
            <wp:positionH relativeFrom="page">
              <wp:posOffset>720090</wp:posOffset>
            </wp:positionH>
            <wp:positionV relativeFrom="page">
              <wp:posOffset>720090</wp:posOffset>
            </wp:positionV>
            <wp:extent cx="6840220" cy="7597140"/>
            <wp:effectExtent l="0" t="0" r="0" b="0"/>
            <wp:wrapSquare wrapText="bothSides"/>
            <wp:docPr id="7" name="Pict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7"/>
                    <pic:cNvPicPr>
                      <a:picLocks noChangeAspect="1"/>
                      <a:codePr string="" type="657" text="1"/>
                      <a:extLst>
                        <a:ext uri="smNativeData">
                          <sm:smNativeData xmlns:sm="smNativeData" val="SMDATA_17_9IDNZ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XAAAAAIIAAAAAAAAAAAAAAAAAAAAAAABuBAAAAAAAAAAAAABuBAAAFCoAALwuAAALAAAAbgQAAG4EAAAoAAAACAAAAAEAAAABAAAAMAAAABQAAAAAAAAAAAD//wAAAQAAAP//AAABAA=="/>
                        </a:ext>
                      </a:extLst>
                    </pic:cNvPicPr>
                  </pic:nvPicPr>
                  <pic:blipFill>
                    <a:blip r:embed="rId13"/>
                    <a:stretch>
                      <a:fillRect/>
                    </a:stretch>
                  </pic:blipFill>
                  <pic:spPr>
                    <a:xfrm>
                      <a:off x="0" y="0"/>
                      <a:ext cx="6840220" cy="7597140"/>
                    </a:xfrm>
                    <a:prstGeom prst="rect">
                      <a:avLst/>
                    </a:prstGeom>
                    <a:noFill/>
                    <a:ln w="12700">
                      <a:noFill/>
                    </a:ln>
                  </pic:spPr>
                </pic:pic>
              </a:graphicData>
            </a:graphic>
          </wp:anchor>
        </w:drawing>
      </w:r>
      <w:r>
        <w:rPr>
          <w:rFonts w:eastAsia="Liberation Serif" w:cs="Liberation Serif"/>
          <w:b/>
          <w:color w:val="000000"/>
        </w:rPr>
        <w:t>Supplementary Fig. 7. Arrow maps of the detected virus auxiliary metabolic genes (AMGs) from the metagenome-assembled viral genomes (MAVGs) recovered in metagenome from the hindgut of E. pulchripes</w:t>
      </w:r>
      <w:r>
        <w:rPr>
          <w:rFonts w:eastAsia="Liberation Serif" w:cs="Liberation Serif"/>
          <w:color w:val="000000"/>
        </w:rPr>
        <w:t xml:space="preserve">. </w:t>
      </w:r>
    </w:p>
    <w:p>
      <w:pPr>
        <w:pStyle w:val="para7"/>
        <w:spacing w:line="360" w:lineRule="auto"/>
        <w:rPr>
          <w:rFonts w:eastAsia="Liberation Serif" w:cs="Liberation Serif"/>
          <w:color w:val="000000"/>
        </w:rPr>
      </w:pPr>
      <w:r>
        <w:br w:type="page"/>
      </w:r>
      <w:r>
        <w:rPr>
          <w:noProof/>
        </w:rPr>
        <w:drawing>
          <wp:anchor distT="89535" distB="89535" distL="89535" distR="89535" simplePos="0" relativeHeight="251658248" behindDoc="0" locked="0" layoutInCell="0" hidden="0" allowOverlap="1">
            <wp:simplePos x="0" y="0"/>
            <wp:positionH relativeFrom="page">
              <wp:posOffset>778510</wp:posOffset>
            </wp:positionH>
            <wp:positionV relativeFrom="page">
              <wp:posOffset>782955</wp:posOffset>
            </wp:positionV>
            <wp:extent cx="5925185" cy="3855720"/>
            <wp:effectExtent l="0" t="0" r="0" b="0"/>
            <wp:wrapSquare wrapText="bothSides"/>
            <wp:docPr id="8" name="Pict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8"/>
                    <pic:cNvPicPr>
                      <a:picLocks noChangeAspect="1"/>
                      <a:codePr string="" type="657" text="1"/>
                      <a:extLst>
                        <a:ext uri="smNativeData">
                          <sm:smNativeData xmlns:sm="smNativeData" val="SMDATA_17_9IDNZ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YAAAAAIIAAAAAAAAAAAAAAAAAAAAAAADKBAAAAAAAAAAAAADRBAAAcyQAALgXAAAMAAAAygQAANEEAAAoAAAACAAAAAEAAAABAAAAMAAAABQAAAAAAAAAAAD//wAAAQAAAP//AAABAA=="/>
                        </a:ext>
                      </a:extLst>
                    </pic:cNvPicPr>
                  </pic:nvPicPr>
                  <pic:blipFill>
                    <a:blip r:embed="rId14"/>
                    <a:stretch>
                      <a:fillRect/>
                    </a:stretch>
                  </pic:blipFill>
                  <pic:spPr>
                    <a:xfrm>
                      <a:off x="0" y="0"/>
                      <a:ext cx="5925185" cy="3855720"/>
                    </a:xfrm>
                    <a:prstGeom prst="rect">
                      <a:avLst/>
                    </a:prstGeom>
                    <a:noFill/>
                    <a:ln w="12700">
                      <a:noFill/>
                    </a:ln>
                  </pic:spPr>
                </pic:pic>
              </a:graphicData>
            </a:graphic>
          </wp:anchor>
        </w:drawing>
      </w:r>
      <w:r>
        <w:rPr>
          <w:rFonts w:eastAsia="Liberation Serif" w:cs="Liberation Serif"/>
          <w:b/>
          <w:color w:val="000000"/>
        </w:rPr>
        <w:t>Supplementary Fig. 8. Arrow maps of the detected virus auxiliary metabolic genes (AMGs) from metagenome-assembled viral genomes (MAVGs) recovered in metatranscriptome from the hindgut of E. pulchripes.</w:t>
      </w:r>
      <w:r>
        <w:rPr>
          <w:rFonts w:eastAsia="Liberation Serif" w:cs="Liberation Serif"/>
          <w:color w:val="000000"/>
        </w:rPr>
        <w:t xml:space="preserve"> </w:t>
      </w:r>
    </w:p>
    <w:p>
      <w:pPr>
        <w:pStyle w:val="para7"/>
        <w:spacing w:line="360" w:lineRule="auto"/>
        <w:rPr>
          <w:rFonts w:eastAsia="Liberation Serif" w:cs="Liberation Serif"/>
          <w:color w:val="000000"/>
        </w:rPr>
      </w:pPr>
      <w:r>
        <w:br w:type="page"/>
      </w:r>
      <w:r>
        <w:rPr>
          <w:noProof/>
        </w:rPr>
        <w:drawing>
          <wp:anchor distT="89535" distB="89535" distL="89535" distR="89535" simplePos="0" relativeHeight="251658249" behindDoc="0" locked="0" layoutInCell="0" hidden="0" allowOverlap="1">
            <wp:simplePos x="0" y="0"/>
            <wp:positionH relativeFrom="page">
              <wp:posOffset>784860</wp:posOffset>
            </wp:positionH>
            <wp:positionV relativeFrom="page">
              <wp:posOffset>896620</wp:posOffset>
            </wp:positionV>
            <wp:extent cx="5918835" cy="4874895"/>
            <wp:effectExtent l="0" t="0" r="0" b="0"/>
            <wp:wrapSquare wrapText="bothSides"/>
            <wp:docPr id="9" name="Pict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9"/>
                    <pic:cNvPicPr>
                      <a:picLocks noChangeAspect="1"/>
                      <a:codePr string="" type="657" text="1"/>
                      <a:extLst>
                        <a:ext uri="smNativeData">
                          <sm:smNativeData xmlns:sm="smNativeData" val="SMDATA_17_9IDNZB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ZAAAAAIIAAAAAAAAAAAAAAAAAAAAAAADUBAAAAAAAAAAAAACEBQAAaSQAAP0dAAANAAAA1AQAAIQFAAAoAAAACAAAAAEAAAABAAAAMAAAABQAAAAAAAAAAAD//wAAAQAAAP//AAABAA=="/>
                        </a:ext>
                      </a:extLst>
                    </pic:cNvPicPr>
                  </pic:nvPicPr>
                  <pic:blipFill>
                    <a:blip r:embed="rId15"/>
                    <a:stretch>
                      <a:fillRect/>
                    </a:stretch>
                  </pic:blipFill>
                  <pic:spPr>
                    <a:xfrm>
                      <a:off x="0" y="0"/>
                      <a:ext cx="5918835" cy="4874895"/>
                    </a:xfrm>
                    <a:prstGeom prst="rect">
                      <a:avLst/>
                    </a:prstGeom>
                    <a:noFill/>
                    <a:ln w="12700">
                      <a:noFill/>
                    </a:ln>
                  </pic:spPr>
                </pic:pic>
              </a:graphicData>
            </a:graphic>
          </wp:anchor>
        </w:drawing>
      </w:r>
      <w:r>
        <w:rPr>
          <w:rFonts w:eastAsia="Liberation Serif" w:cs="Liberation Serif"/>
          <w:b/>
          <w:color w:val="000000"/>
        </w:rPr>
        <w:t>Supplementary Fig. 9. Arrow maps of the detected virus auxiliary metabolic genes (AMGs) from metagenome-assembled viral genomes (MAVGs) recovered in metagenome and metatranscriptome from the hindgut of G. connexa.</w:t>
      </w:r>
      <w:r>
        <w:rPr>
          <w:rFonts w:eastAsia="Liberation Serif" w:cs="Liberation Serif"/>
          <w:color w:val="000000"/>
        </w:rPr>
        <w:t xml:space="preserve"> </w:t>
      </w:r>
    </w:p>
    <w:sectPr>
      <w:footnotePr>
        <w:pos w:val="pageBottom"/>
        <w:numFmt w:val="decimal"/>
        <w:numStart w:val="1"/>
        <w:numRestart w:val="continuous"/>
      </w:footnotePr>
      <w:endnotePr>
        <w:pos w:val="docEnd"/>
        <w:numFmt w:val="lowerRoman"/>
        <w:numStart w:val="1"/>
        <w:numRestart w:val="continuous"/>
      </w:endnotePr>
      <w:type w:val="nextPage"/>
      <w:pgSz w:h="16838" w:w="11906"/>
      <w:pgMar w:left="1134" w:top="1134" w:right="1134" w:bottom="1134"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sic Roman">
    <w:charset w:val="00"/>
    <w:family w:val="roman"/>
    <w:pitch w:val="default"/>
  </w:font>
  <w:font w:name="Liberation Serif">
    <w:charset w:val="00"/>
    <w:family w:val="roman"/>
    <w:pitch w:val="default"/>
  </w:font>
  <w:font w:name="Calibri">
    <w:charset w:val="00"/>
    <w:family w:val="roman"/>
    <w:pitch w:val="default"/>
  </w:font>
  <w:font w:name="Liberation Sans">
    <w:charset w:val="00"/>
    <w:family w:val="swiss"/>
    <w:pitch w:val="default"/>
  </w:font>
  <w:font w:name="Noto Serif CJK SC">
    <w:charset w:val="00"/>
    <w:family w:val="roman"/>
    <w:pitch w:val="default"/>
  </w:font>
  <w:font w:name="Noto Sans Devanagari">
    <w:charset w:val="00"/>
    <w:family w:val="roman"/>
    <w:pitch w:val="default"/>
  </w:font>
  <w:font w:name="Noto Sans CJK SC">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view w:val="print"/>
  <w:defaultTabStop w:val="709"/>
  <w:autoHyphenation w:val="1"/>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2"/>
    <w:tmReviewMarkIns w:val="4"/>
    <w:tmReviewColorIns w:val="-1"/>
    <w:tmReviewMarkDel w:val="7"/>
    <w:tmReviewColorDel w:val="-1"/>
    <w:tmReviewMarkFmt w:val="7"/>
    <w:tmReviewColorFmt w:val="-1"/>
    <w:tmReviewMarkLn w:val="1"/>
    <w:tmReviewColorLn w:val="0"/>
    <w:tmReviewToolTip w:val="1"/>
  </w:tmReviewPr>
  <w:tmLastPos>
    <w:tmLastPosPage w:val="11"/>
    <w:tmLastPosSelect w:val="0"/>
    <w:tmLastPosFrameIdx w:val="0"/>
    <w:tmLastPosCaret>
      <w:tmLastPosPgfIdx w:val="23"/>
      <w:tmLastPosIdx w:val="0"/>
    </w:tmLastPosCaret>
    <w:tmLastPosAnchor>
      <w:tmLastPosPgfIdx w:val="0"/>
      <w:tmLastPosIdx w:val="0"/>
    </w:tmLastPosAnchor>
    <w:tmLastPosTblRect w:left="0" w:top="0" w:right="0" w:bottom="0"/>
  </w:tmLastPos>
  <w:tmAppRevision w:date="1691189492" w:val="1202" w:fileVer="342" w:fileVer64="64" w:fileVerOS="3"/>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hAnsi="Liberation Serif" w:eastAsia="Noto Serif CJK SC" w:cs="Noto Sans Devanagari"/>
        <w:kern w:val="1"/>
        <w:sz w:val="24"/>
        <w:szCs w:val="24"/>
        <w:lang w:val="en-gb" w:eastAsia="zh-cn" w:bidi="hi-in"/>
      </w:rPr>
    </w:rPrDefault>
    <w:pPrDefault>
      <w:pPr>
        <w:suppressAutoHyphens/>
        <w:hyphenationLines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3"/>
    <w:pPr>
      <w:spacing w:before="480"/>
      <w:keepNext/>
      <w:outlineLvl w:val="0"/>
      <w:keepLines/>
    </w:pPr>
    <w:rPr>
      <w:rFonts w:ascii="Calibri" w:hAnsi="Calibri" w:eastAsia="Basic Roman" w:cs="Basic Roman"/>
      <w:b/>
      <w:bCs/>
      <w:color w:val="345a8a"/>
      <w:sz w:val="32"/>
      <w:szCs w:val="32"/>
    </w:rPr>
  </w:style>
  <w:style w:type="paragraph" w:styleId="para2" w:customStyle="1">
    <w:name w:val="Heading"/>
    <w:qFormat/>
    <w:basedOn w:val="para0"/>
    <w:next w:val="para3"/>
    <w:pPr>
      <w:spacing w:before="240" w:after="120"/>
      <w:keepNext/>
    </w:pPr>
    <w:rPr>
      <w:rFonts w:ascii="Liberation Sans" w:hAnsi="Liberation Sans" w:eastAsia="Noto Sans CJK SC"/>
      <w:sz w:val="28"/>
      <w:szCs w:val="28"/>
    </w:rPr>
  </w:style>
  <w:style w:type="paragraph" w:styleId="para3">
    <w:name w:val="Body Text"/>
    <w:qFormat/>
    <w:basedOn w:val="para0"/>
    <w:pPr>
      <w:spacing w:after="140" w:line="276" w:lineRule="auto"/>
    </w:pPr>
  </w:style>
  <w:style w:type="paragraph" w:styleId="para4">
    <w:name w:val="List"/>
    <w:qFormat/>
    <w:basedOn w:val="para3"/>
  </w:style>
  <w:style w:type="paragraph" w:styleId="para5">
    <w:name w:val="caption"/>
    <w:qFormat/>
    <w:basedOn w:val="para0"/>
    <w:pPr>
      <w:spacing w:before="120" w:after="120"/>
      <w:suppressLineNumbers/>
    </w:pPr>
    <w:rPr>
      <w:i/>
      <w:iCs/>
    </w:rPr>
  </w:style>
  <w:style w:type="paragraph" w:styleId="para6" w:customStyle="1">
    <w:name w:val="Index"/>
    <w:qFormat/>
    <w:basedOn w:val="para0"/>
    <w:pPr>
      <w:suppressLineNumbers/>
    </w:pPr>
  </w:style>
  <w:style w:type="paragraph" w:styleId="para7" w:customStyle="1">
    <w:name w:val="Image Caption"/>
    <w:qFormat/>
    <w:basedOn w:val="para5"/>
  </w:style>
  <w:style w:type="paragraph" w:styleId="para8" w:customStyle="1">
    <w:name w:val="Figure"/>
    <w:qFormat/>
    <w:basedOn w:val="para0"/>
  </w:style>
  <w:style w:type="paragraph" w:styleId="para9" w:customStyle="1">
    <w:name w:val="Figure with Caption"/>
    <w:qFormat/>
    <w:basedOn w:val="para8"/>
    <w:pPr>
      <w:keepNext/>
    </w:pPr>
  </w:style>
  <w:style w:type="paragraph" w:styleId="para10">
    <w:name w:val="Title"/>
    <w:qFormat/>
    <w:basedOn w:val="para0"/>
    <w:next w:val="para3"/>
    <w:pPr>
      <w:spacing w:before="480" w:after="240"/>
      <w:jc w:val="center"/>
      <w:keepNext/>
      <w:keepLines/>
    </w:pPr>
    <w:rPr>
      <w:rFonts w:ascii="Calibri" w:hAnsi="Calibri" w:eastAsia="Basic Roman" w:cs="Basic Roman"/>
      <w:b/>
      <w:bCs/>
      <w:color w:val="345a8a"/>
      <w:sz w:val="36"/>
      <w:szCs w:val="36"/>
    </w:rPr>
  </w:style>
  <w:style w:type="paragraph" w:styleId="para11" w:customStyle="1">
    <w:name w:val="LO-normal"/>
    <w:qFormat/>
    <w:rPr>
      <w:rFonts w:ascii="Liberation Serif" w:hAnsi="Liberation Serif" w:eastAsia="Liberation Serif" w:cs="Liberation Serif"/>
      <w:kern w:val="1"/>
      <w:sz w:val="24"/>
      <w:szCs w:val="24"/>
      <w:lang w:val="en-us" w:eastAsia="zh-cn" w:bidi="hi-in"/>
    </w:rPr>
  </w:style>
  <w:style w:type="character" w:styleId="char0" w:default="1">
    <w:name w:val="Default Paragraph Font"/>
  </w:style>
  <w:style w:type="character" w:styleId="char1" w:customStyle="1">
    <w:name w:val="Body Text Char"/>
    <w:basedOn w:val="char0"/>
  </w:style>
  <w:style w:type="character" w:styleId="char2">
    <w:name w:val="Hyperlink"/>
    <w:basedOn w:val="char1"/>
    <w:rPr>
      <w:color w:val="4f81b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Liberation Serif" w:hAnsi="Liberation Serif" w:eastAsia="Noto Serif CJK SC" w:cs="Noto Sans Devanagari"/>
        <w:kern w:val="1"/>
        <w:sz w:val="24"/>
        <w:szCs w:val="24"/>
        <w:lang w:val="en-gb" w:eastAsia="zh-cn" w:bidi="hi-in"/>
      </w:rPr>
    </w:rPrDefault>
    <w:pPrDefault>
      <w:pPr>
        <w:suppressAutoHyphens/>
        <w:hyphenationLines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3"/>
    <w:pPr>
      <w:spacing w:before="480"/>
      <w:keepNext/>
      <w:outlineLvl w:val="0"/>
      <w:keepLines/>
    </w:pPr>
    <w:rPr>
      <w:rFonts w:ascii="Calibri" w:hAnsi="Calibri" w:eastAsia="Basic Roman" w:cs="Basic Roman"/>
      <w:b/>
      <w:bCs/>
      <w:color w:val="345a8a"/>
      <w:sz w:val="32"/>
      <w:szCs w:val="32"/>
    </w:rPr>
  </w:style>
  <w:style w:type="paragraph" w:styleId="para2" w:customStyle="1">
    <w:name w:val="Heading"/>
    <w:qFormat/>
    <w:basedOn w:val="para0"/>
    <w:next w:val="para3"/>
    <w:pPr>
      <w:spacing w:before="240" w:after="120"/>
      <w:keepNext/>
    </w:pPr>
    <w:rPr>
      <w:rFonts w:ascii="Liberation Sans" w:hAnsi="Liberation Sans" w:eastAsia="Noto Sans CJK SC"/>
      <w:sz w:val="28"/>
      <w:szCs w:val="28"/>
    </w:rPr>
  </w:style>
  <w:style w:type="paragraph" w:styleId="para3">
    <w:name w:val="Body Text"/>
    <w:qFormat/>
    <w:basedOn w:val="para0"/>
    <w:pPr>
      <w:spacing w:after="140" w:line="276" w:lineRule="auto"/>
    </w:pPr>
  </w:style>
  <w:style w:type="paragraph" w:styleId="para4">
    <w:name w:val="List"/>
    <w:qFormat/>
    <w:basedOn w:val="para3"/>
  </w:style>
  <w:style w:type="paragraph" w:styleId="para5">
    <w:name w:val="caption"/>
    <w:qFormat/>
    <w:basedOn w:val="para0"/>
    <w:pPr>
      <w:spacing w:before="120" w:after="120"/>
      <w:suppressLineNumbers/>
    </w:pPr>
    <w:rPr>
      <w:i/>
      <w:iCs/>
    </w:rPr>
  </w:style>
  <w:style w:type="paragraph" w:styleId="para6" w:customStyle="1">
    <w:name w:val="Index"/>
    <w:qFormat/>
    <w:basedOn w:val="para0"/>
    <w:pPr>
      <w:suppressLineNumbers/>
    </w:pPr>
  </w:style>
  <w:style w:type="paragraph" w:styleId="para7" w:customStyle="1">
    <w:name w:val="Image Caption"/>
    <w:qFormat/>
    <w:basedOn w:val="para5"/>
  </w:style>
  <w:style w:type="paragraph" w:styleId="para8" w:customStyle="1">
    <w:name w:val="Figure"/>
    <w:qFormat/>
    <w:basedOn w:val="para0"/>
  </w:style>
  <w:style w:type="paragraph" w:styleId="para9" w:customStyle="1">
    <w:name w:val="Figure with Caption"/>
    <w:qFormat/>
    <w:basedOn w:val="para8"/>
    <w:pPr>
      <w:keepNext/>
    </w:pPr>
  </w:style>
  <w:style w:type="paragraph" w:styleId="para10">
    <w:name w:val="Title"/>
    <w:qFormat/>
    <w:basedOn w:val="para0"/>
    <w:next w:val="para3"/>
    <w:pPr>
      <w:spacing w:before="480" w:after="240"/>
      <w:jc w:val="center"/>
      <w:keepNext/>
      <w:keepLines/>
    </w:pPr>
    <w:rPr>
      <w:rFonts w:ascii="Calibri" w:hAnsi="Calibri" w:eastAsia="Basic Roman" w:cs="Basic Roman"/>
      <w:b/>
      <w:bCs/>
      <w:color w:val="345a8a"/>
      <w:sz w:val="36"/>
      <w:szCs w:val="36"/>
    </w:rPr>
  </w:style>
  <w:style w:type="paragraph" w:styleId="para11" w:customStyle="1">
    <w:name w:val="LO-normal"/>
    <w:qFormat/>
    <w:rPr>
      <w:rFonts w:ascii="Liberation Serif" w:hAnsi="Liberation Serif" w:eastAsia="Liberation Serif" w:cs="Liberation Serif"/>
      <w:kern w:val="1"/>
      <w:sz w:val="24"/>
      <w:szCs w:val="24"/>
      <w:lang w:val="en-us" w:eastAsia="zh-cn" w:bidi="hi-in"/>
    </w:rPr>
  </w:style>
  <w:style w:type="character" w:styleId="char0" w:default="1">
    <w:name w:val="Default Paragraph Font"/>
  </w:style>
  <w:style w:type="character" w:styleId="char1" w:customStyle="1">
    <w:name w:val="Body Text Char"/>
    <w:basedOn w:val="char0"/>
  </w:style>
  <w:style w:type="character" w:styleId="char2">
    <w:name w:val="Hyperlink"/>
    <w:basedOn w:val="char1"/>
    <w:rPr>
      <w:color w:val="4f81b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Basic Roman"/>
        <a:cs typeface="Basic Roman"/>
      </a:majorFont>
      <a:minorFont>
        <a:latin typeface="Liberation Serif"/>
        <a:ea typeface="Noto Serif CJK SC"/>
        <a:cs typeface="Noto Sans Devanaga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rev.1202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Roey Angel</dc:creator>
  <cp:keywords/>
  <dc:description/>
  <cp:lastModifiedBy>Roey Angel</cp:lastModifiedBy>
  <cp:revision>2</cp:revision>
  <dcterms:created xsi:type="dcterms:W3CDTF">2023-07-25T14:34:50Z</dcterms:created>
  <dcterms:modified xsi:type="dcterms:W3CDTF">2023-08-04T22:51:32Z</dcterms:modified>
</cp:coreProperties>
</file>