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442C0F" w14:textId="4F7311F8" w:rsidR="004773F5" w:rsidRPr="00DE4871" w:rsidRDefault="000009CD">
      <w:pPr>
        <w:rPr>
          <w:rFonts w:ascii="Times New Roman" w:hAnsi="Times New Roman" w:cs="Times New Roman"/>
        </w:rPr>
      </w:pPr>
      <w:r w:rsidRPr="00DE4871">
        <w:rPr>
          <w:rFonts w:ascii="Times New Roman" w:hAnsi="Times New Roman" w:cs="Times New Roman"/>
        </w:rPr>
        <w:t>Supplementary material to:</w:t>
      </w:r>
    </w:p>
    <w:p w14:paraId="0C853967" w14:textId="20AE4F55" w:rsidR="000009CD" w:rsidRPr="0001719F" w:rsidRDefault="000009CD"/>
    <w:p w14:paraId="750791B9" w14:textId="77777777" w:rsidR="00313819" w:rsidRPr="00335F3B" w:rsidRDefault="00313819" w:rsidP="00313819">
      <w:pPr>
        <w:spacing w:before="100" w:beforeAutospacing="1" w:after="100" w:afterAutospacing="1"/>
        <w:jc w:val="both"/>
        <w:rPr>
          <w:rFonts w:ascii="Times New Roman" w:hAnsi="Times New Roman" w:cs="Times New Roman"/>
          <w:b/>
          <w:bCs/>
          <w:color w:val="000000" w:themeColor="text1"/>
        </w:rPr>
      </w:pPr>
      <w:r w:rsidRPr="00335F3B">
        <w:rPr>
          <w:rFonts w:ascii="Times New Roman" w:hAnsi="Times New Roman" w:cs="Times New Roman"/>
          <w:b/>
          <w:bCs/>
          <w:color w:val="000000" w:themeColor="text1"/>
        </w:rPr>
        <w:t>A crisis of lake hypoxia in the Anthropocene: The long-term effects of climate and nutrients</w:t>
      </w:r>
    </w:p>
    <w:p w14:paraId="34DEAB5D" w14:textId="69DA52B0" w:rsidR="00DE6258" w:rsidRPr="00494C87" w:rsidRDefault="00DE6258" w:rsidP="00DE6258">
      <w:pPr>
        <w:pStyle w:val="NormalWeb"/>
        <w:spacing w:before="0" w:beforeAutospacing="0" w:after="0" w:afterAutospacing="0" w:line="360" w:lineRule="auto"/>
        <w:jc w:val="both"/>
        <w:rPr>
          <w:sz w:val="21"/>
          <w:szCs w:val="21"/>
          <w:vertAlign w:val="superscript"/>
        </w:rPr>
      </w:pPr>
      <w:r w:rsidRPr="00757142">
        <w:rPr>
          <w:i/>
          <w:iCs/>
          <w:color w:val="222222"/>
          <w:sz w:val="21"/>
          <w:szCs w:val="21"/>
        </w:rPr>
        <w:t>Laura M. V. Soares</w:t>
      </w:r>
      <w:r w:rsidRPr="00757142">
        <w:rPr>
          <w:sz w:val="21"/>
          <w:szCs w:val="21"/>
          <w:vertAlign w:val="superscript"/>
        </w:rPr>
        <w:t>1</w:t>
      </w:r>
      <w:r w:rsidRPr="00757142">
        <w:rPr>
          <w:i/>
          <w:iCs/>
          <w:color w:val="222222"/>
          <w:sz w:val="21"/>
          <w:szCs w:val="21"/>
        </w:rPr>
        <w:t>, Jean-Philippe Jenny</w:t>
      </w:r>
      <w:r w:rsidRPr="00757142">
        <w:rPr>
          <w:sz w:val="21"/>
          <w:szCs w:val="21"/>
          <w:vertAlign w:val="superscript"/>
        </w:rPr>
        <w:t>1</w:t>
      </w:r>
      <w:r w:rsidRPr="00757142">
        <w:rPr>
          <w:i/>
          <w:iCs/>
          <w:color w:val="222222"/>
          <w:sz w:val="21"/>
          <w:szCs w:val="21"/>
        </w:rPr>
        <w:t>, Olivia Desgué-Iti</w:t>
      </w:r>
      <w:r w:rsidR="00FA5E34">
        <w:rPr>
          <w:i/>
          <w:iCs/>
          <w:color w:val="222222"/>
          <w:sz w:val="21"/>
          <w:szCs w:val="21"/>
        </w:rPr>
        <w:t>er</w:t>
      </w:r>
      <w:r w:rsidRPr="00757142">
        <w:rPr>
          <w:sz w:val="21"/>
          <w:szCs w:val="21"/>
          <w:vertAlign w:val="superscript"/>
        </w:rPr>
        <w:t>1</w:t>
      </w:r>
      <w:r w:rsidRPr="00757142">
        <w:rPr>
          <w:i/>
          <w:iCs/>
          <w:color w:val="222222"/>
          <w:sz w:val="21"/>
          <w:szCs w:val="21"/>
        </w:rPr>
        <w:t xml:space="preserve">, </w:t>
      </w:r>
      <w:proofErr w:type="spellStart"/>
      <w:r w:rsidRPr="00757142">
        <w:rPr>
          <w:i/>
          <w:iCs/>
          <w:color w:val="222222"/>
          <w:sz w:val="21"/>
          <w:szCs w:val="21"/>
        </w:rPr>
        <w:t>Cécilia</w:t>
      </w:r>
      <w:proofErr w:type="spellEnd"/>
      <w:r w:rsidRPr="00757142">
        <w:rPr>
          <w:i/>
          <w:iCs/>
          <w:color w:val="222222"/>
          <w:sz w:val="21"/>
          <w:szCs w:val="21"/>
        </w:rPr>
        <w:t xml:space="preserve"> Barouillet</w:t>
      </w:r>
      <w:r w:rsidRPr="00757142">
        <w:rPr>
          <w:sz w:val="21"/>
          <w:szCs w:val="21"/>
          <w:vertAlign w:val="superscript"/>
        </w:rPr>
        <w:t>1</w:t>
      </w:r>
      <w:r w:rsidRPr="00757142">
        <w:rPr>
          <w:i/>
          <w:iCs/>
          <w:color w:val="222222"/>
          <w:sz w:val="21"/>
          <w:szCs w:val="21"/>
        </w:rPr>
        <w:t>, Damien Bouffard</w:t>
      </w:r>
      <w:r>
        <w:rPr>
          <w:sz w:val="21"/>
          <w:szCs w:val="21"/>
          <w:vertAlign w:val="superscript"/>
        </w:rPr>
        <w:t>2</w:t>
      </w:r>
      <w:r w:rsidRPr="00757142">
        <w:rPr>
          <w:i/>
          <w:iCs/>
          <w:color w:val="222222"/>
          <w:sz w:val="21"/>
          <w:szCs w:val="21"/>
        </w:rPr>
        <w:t>, C</w:t>
      </w:r>
      <w:r w:rsidR="000A1CC3">
        <w:rPr>
          <w:i/>
          <w:iCs/>
          <w:color w:val="222222"/>
          <w:sz w:val="21"/>
          <w:szCs w:val="21"/>
        </w:rPr>
        <w:t>é</w:t>
      </w:r>
      <w:r w:rsidRPr="00757142">
        <w:rPr>
          <w:i/>
          <w:iCs/>
          <w:color w:val="222222"/>
          <w:sz w:val="21"/>
          <w:szCs w:val="21"/>
        </w:rPr>
        <w:t>line Casenave</w:t>
      </w:r>
      <w:r>
        <w:rPr>
          <w:sz w:val="21"/>
          <w:szCs w:val="21"/>
          <w:vertAlign w:val="superscript"/>
        </w:rPr>
        <w:t>3</w:t>
      </w:r>
      <w:r w:rsidRPr="00757142">
        <w:rPr>
          <w:i/>
          <w:iCs/>
          <w:color w:val="222222"/>
          <w:sz w:val="21"/>
          <w:szCs w:val="21"/>
        </w:rPr>
        <w:t>, Isabelle Domaizon</w:t>
      </w:r>
      <w:r w:rsidRPr="00757142">
        <w:rPr>
          <w:sz w:val="21"/>
          <w:szCs w:val="21"/>
          <w:vertAlign w:val="superscript"/>
        </w:rPr>
        <w:t>1</w:t>
      </w:r>
      <w:r w:rsidRPr="00757142">
        <w:rPr>
          <w:i/>
          <w:iCs/>
          <w:color w:val="222222"/>
          <w:sz w:val="21"/>
          <w:szCs w:val="21"/>
        </w:rPr>
        <w:t>, Victor Frossard</w:t>
      </w:r>
      <w:r w:rsidRPr="00757142">
        <w:rPr>
          <w:sz w:val="21"/>
          <w:szCs w:val="21"/>
          <w:vertAlign w:val="superscript"/>
        </w:rPr>
        <w:t>1</w:t>
      </w:r>
      <w:r w:rsidRPr="00757142">
        <w:rPr>
          <w:i/>
          <w:iCs/>
          <w:color w:val="222222"/>
          <w:sz w:val="21"/>
          <w:szCs w:val="21"/>
        </w:rPr>
        <w:t xml:space="preserve">, Nelson </w:t>
      </w:r>
      <w:r w:rsidR="00D75310">
        <w:rPr>
          <w:i/>
          <w:iCs/>
          <w:color w:val="222222"/>
          <w:sz w:val="21"/>
          <w:szCs w:val="21"/>
        </w:rPr>
        <w:t xml:space="preserve">G. </w:t>
      </w:r>
      <w:r w:rsidRPr="00757142">
        <w:rPr>
          <w:i/>
          <w:iCs/>
          <w:color w:val="222222"/>
          <w:sz w:val="21"/>
          <w:szCs w:val="21"/>
        </w:rPr>
        <w:t>Hairston Jr</w:t>
      </w:r>
      <w:r>
        <w:rPr>
          <w:i/>
          <w:iCs/>
          <w:color w:val="222222"/>
          <w:sz w:val="21"/>
          <w:szCs w:val="21"/>
        </w:rPr>
        <w:t>.</w:t>
      </w:r>
      <w:r w:rsidRPr="00757142">
        <w:rPr>
          <w:sz w:val="21"/>
          <w:szCs w:val="21"/>
          <w:vertAlign w:val="superscript"/>
        </w:rPr>
        <w:t xml:space="preserve"> </w:t>
      </w:r>
      <w:r>
        <w:rPr>
          <w:sz w:val="21"/>
          <w:szCs w:val="21"/>
          <w:vertAlign w:val="superscript"/>
        </w:rPr>
        <w:t>4</w:t>
      </w:r>
      <w:r w:rsidRPr="00757142">
        <w:rPr>
          <w:i/>
          <w:iCs/>
          <w:color w:val="222222"/>
          <w:sz w:val="21"/>
          <w:szCs w:val="21"/>
        </w:rPr>
        <w:t>, Andrea Lami</w:t>
      </w:r>
      <w:r>
        <w:rPr>
          <w:sz w:val="21"/>
          <w:szCs w:val="21"/>
          <w:vertAlign w:val="superscript"/>
        </w:rPr>
        <w:t>5</w:t>
      </w:r>
      <w:r w:rsidRPr="00757142">
        <w:rPr>
          <w:i/>
          <w:iCs/>
          <w:color w:val="222222"/>
          <w:sz w:val="21"/>
          <w:szCs w:val="21"/>
        </w:rPr>
        <w:t>, Bruno J. Lemaire</w:t>
      </w:r>
      <w:r>
        <w:rPr>
          <w:sz w:val="21"/>
          <w:szCs w:val="21"/>
          <w:vertAlign w:val="superscript"/>
        </w:rPr>
        <w:t>6</w:t>
      </w:r>
      <w:r w:rsidRPr="00757142">
        <w:rPr>
          <w:i/>
          <w:iCs/>
          <w:color w:val="222222"/>
          <w:sz w:val="21"/>
          <w:szCs w:val="21"/>
        </w:rPr>
        <w:t xml:space="preserve">, </w:t>
      </w:r>
      <w:proofErr w:type="spellStart"/>
      <w:r w:rsidRPr="00757142">
        <w:rPr>
          <w:i/>
          <w:iCs/>
          <w:color w:val="222222"/>
          <w:sz w:val="21"/>
          <w:szCs w:val="21"/>
        </w:rPr>
        <w:t>Gaël</w:t>
      </w:r>
      <w:proofErr w:type="spellEnd"/>
      <w:r w:rsidRPr="00757142">
        <w:rPr>
          <w:i/>
          <w:iCs/>
          <w:color w:val="222222"/>
          <w:sz w:val="21"/>
          <w:szCs w:val="21"/>
        </w:rPr>
        <w:t xml:space="preserve"> Many</w:t>
      </w:r>
      <w:r w:rsidRPr="00494C87">
        <w:rPr>
          <w:sz w:val="21"/>
          <w:szCs w:val="21"/>
          <w:vertAlign w:val="superscript"/>
        </w:rPr>
        <w:t>7</w:t>
      </w:r>
      <w:r w:rsidRPr="00494C87">
        <w:rPr>
          <w:i/>
          <w:iCs/>
          <w:color w:val="222222"/>
          <w:sz w:val="21"/>
          <w:szCs w:val="21"/>
        </w:rPr>
        <w:t>, Marie-Elodie Perga</w:t>
      </w:r>
      <w:r>
        <w:rPr>
          <w:sz w:val="21"/>
          <w:szCs w:val="21"/>
          <w:vertAlign w:val="superscript"/>
        </w:rPr>
        <w:t>7</w:t>
      </w:r>
      <w:r w:rsidRPr="00494C87">
        <w:rPr>
          <w:i/>
          <w:iCs/>
          <w:color w:val="222222"/>
          <w:sz w:val="21"/>
          <w:szCs w:val="21"/>
        </w:rPr>
        <w:t>, Georges-Marie Saulnier</w:t>
      </w:r>
      <w:r>
        <w:rPr>
          <w:sz w:val="21"/>
          <w:szCs w:val="21"/>
          <w:vertAlign w:val="superscript"/>
        </w:rPr>
        <w:t>8</w:t>
      </w:r>
      <w:r w:rsidRPr="00494C87">
        <w:rPr>
          <w:i/>
          <w:iCs/>
          <w:color w:val="222222"/>
          <w:sz w:val="21"/>
          <w:szCs w:val="21"/>
        </w:rPr>
        <w:t xml:space="preserve">, </w:t>
      </w:r>
      <w:proofErr w:type="spellStart"/>
      <w:r>
        <w:rPr>
          <w:i/>
          <w:iCs/>
          <w:color w:val="222222"/>
          <w:sz w:val="21"/>
          <w:szCs w:val="21"/>
        </w:rPr>
        <w:t>Fréderic</w:t>
      </w:r>
      <w:proofErr w:type="spellEnd"/>
      <w:r>
        <w:rPr>
          <w:i/>
          <w:iCs/>
          <w:color w:val="222222"/>
          <w:sz w:val="21"/>
          <w:szCs w:val="21"/>
        </w:rPr>
        <w:t xml:space="preserve"> Soulignac</w:t>
      </w:r>
      <w:r w:rsidRPr="00494C87">
        <w:rPr>
          <w:sz w:val="21"/>
          <w:szCs w:val="21"/>
          <w:vertAlign w:val="superscript"/>
        </w:rPr>
        <w:t>9</w:t>
      </w:r>
      <w:r>
        <w:rPr>
          <w:i/>
          <w:iCs/>
          <w:color w:val="222222"/>
          <w:sz w:val="21"/>
          <w:szCs w:val="21"/>
        </w:rPr>
        <w:t xml:space="preserve">, </w:t>
      </w:r>
      <w:r w:rsidRPr="00494C87">
        <w:rPr>
          <w:i/>
          <w:iCs/>
          <w:color w:val="222222"/>
          <w:sz w:val="21"/>
          <w:szCs w:val="21"/>
        </w:rPr>
        <w:t>Brigitte Vinçon-Leite</w:t>
      </w:r>
      <w:r>
        <w:rPr>
          <w:sz w:val="21"/>
          <w:szCs w:val="21"/>
          <w:vertAlign w:val="superscript"/>
        </w:rPr>
        <w:t>10</w:t>
      </w:r>
    </w:p>
    <w:p w14:paraId="06C32EC5" w14:textId="4B7F4673" w:rsidR="002A5777" w:rsidRPr="00B2418E" w:rsidRDefault="000009CD" w:rsidP="00EE2CE3">
      <w:r w:rsidRPr="00B2418E">
        <w:br w:type="page"/>
      </w:r>
    </w:p>
    <w:p w14:paraId="55221498" w14:textId="1458D066" w:rsidR="00B2418E" w:rsidRPr="00313819" w:rsidRDefault="00B2418E" w:rsidP="007638AF">
      <w:pPr>
        <w:spacing w:after="240" w:line="360" w:lineRule="auto"/>
        <w:jc w:val="both"/>
        <w:rPr>
          <w:rFonts w:ascii="Times New Roman" w:hAnsi="Times New Roman" w:cs="Times New Roman"/>
          <w:b/>
          <w:bCs/>
          <w:color w:val="000000" w:themeColor="text1"/>
        </w:rPr>
      </w:pPr>
      <w:r w:rsidRPr="00313819">
        <w:rPr>
          <w:rFonts w:ascii="Times New Roman" w:hAnsi="Times New Roman" w:cs="Times New Roman"/>
          <w:b/>
          <w:bCs/>
          <w:color w:val="000000" w:themeColor="text1"/>
        </w:rPr>
        <w:lastRenderedPageBreak/>
        <w:t>Historical reconstruction of model inflow forcing dat</w:t>
      </w:r>
      <w:r w:rsidR="007638AF" w:rsidRPr="00313819">
        <w:rPr>
          <w:rFonts w:ascii="Times New Roman" w:hAnsi="Times New Roman" w:cs="Times New Roman"/>
          <w:b/>
          <w:bCs/>
          <w:color w:val="000000" w:themeColor="text1"/>
        </w:rPr>
        <w:t>a</w:t>
      </w:r>
    </w:p>
    <w:p w14:paraId="6B4185FA" w14:textId="6786F6A3" w:rsidR="007638AF" w:rsidRDefault="00037F9B" w:rsidP="00B2418E">
      <w:pPr>
        <w:pStyle w:val="NormalWeb"/>
        <w:spacing w:before="0" w:beforeAutospacing="0" w:after="240" w:afterAutospacing="0" w:line="360" w:lineRule="auto"/>
        <w:jc w:val="both"/>
        <w:rPr>
          <w:b/>
          <w:bCs/>
        </w:rPr>
      </w:pPr>
      <w:r w:rsidRPr="00037F9B">
        <w:rPr>
          <w:b/>
          <w:bCs/>
          <w:noProof/>
        </w:rPr>
        <w:drawing>
          <wp:inline distT="0" distB="0" distL="0" distR="0" wp14:anchorId="3FB0B876" wp14:editId="2A0453EF">
            <wp:extent cx="6473952" cy="4487500"/>
            <wp:effectExtent l="0" t="0" r="3175" b="0"/>
            <wp:docPr id="11772164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216496" name=""/>
                    <pic:cNvPicPr/>
                  </pic:nvPicPr>
                  <pic:blipFill>
                    <a:blip r:embed="rId8"/>
                    <a:stretch>
                      <a:fillRect/>
                    </a:stretch>
                  </pic:blipFill>
                  <pic:spPr>
                    <a:xfrm>
                      <a:off x="0" y="0"/>
                      <a:ext cx="6473952" cy="4487500"/>
                    </a:xfrm>
                    <a:prstGeom prst="rect">
                      <a:avLst/>
                    </a:prstGeom>
                  </pic:spPr>
                </pic:pic>
              </a:graphicData>
            </a:graphic>
          </wp:inline>
        </w:drawing>
      </w:r>
    </w:p>
    <w:p w14:paraId="177CE7AF" w14:textId="154A7345" w:rsidR="00B2418E" w:rsidRPr="00A14EE6" w:rsidRDefault="00B2418E" w:rsidP="00B2418E">
      <w:pPr>
        <w:spacing w:line="360" w:lineRule="auto"/>
        <w:jc w:val="both"/>
        <w:rPr>
          <w:rFonts w:ascii="Times New Roman" w:hAnsi="Times New Roman" w:cs="Times New Roman"/>
          <w:color w:val="000000" w:themeColor="text1"/>
        </w:rPr>
      </w:pPr>
      <w:r w:rsidRPr="00A14EE6">
        <w:rPr>
          <w:rFonts w:ascii="Times New Roman" w:hAnsi="Times New Roman" w:cs="Times New Roman"/>
          <w:b/>
          <w:bCs/>
          <w:color w:val="000000" w:themeColor="text1"/>
        </w:rPr>
        <w:t>Fig. S1 | Reconstruction of long-term daily inputs of phosphorus into Lake Geneva from 1850 to 2100.</w:t>
      </w:r>
      <w:r w:rsidRPr="00A14EE6">
        <w:rPr>
          <w:rFonts w:ascii="Times New Roman" w:hAnsi="Times New Roman" w:cs="Times New Roman"/>
          <w:color w:val="000000" w:themeColor="text1"/>
        </w:rPr>
        <w:t xml:space="preserve"> a) Conversion of annual paleolimnological TP records in the lake into </w:t>
      </w:r>
      <w:r w:rsidR="00A44976" w:rsidRPr="00A14EE6">
        <w:rPr>
          <w:rFonts w:ascii="Times New Roman" w:hAnsi="Times New Roman" w:cs="Times New Roman"/>
          <w:color w:val="000000" w:themeColor="text1"/>
        </w:rPr>
        <w:t>SRP</w:t>
      </w:r>
      <w:r w:rsidRPr="00A14EE6">
        <w:rPr>
          <w:rFonts w:ascii="Times New Roman" w:hAnsi="Times New Roman" w:cs="Times New Roman"/>
          <w:color w:val="000000" w:themeColor="text1"/>
        </w:rPr>
        <w:t xml:space="preserve"> in the </w:t>
      </w:r>
      <w:r w:rsidR="00C6405E" w:rsidRPr="00A14EE6">
        <w:rPr>
          <w:rFonts w:ascii="Times New Roman" w:hAnsi="Times New Roman" w:cs="Times New Roman"/>
          <w:color w:val="000000" w:themeColor="text1"/>
        </w:rPr>
        <w:t xml:space="preserve">tributaries </w:t>
      </w:r>
      <w:r w:rsidR="006F6EE5" w:rsidRPr="00A14EE6">
        <w:rPr>
          <w:rFonts w:ascii="Times New Roman" w:hAnsi="Times New Roman" w:cs="Times New Roman"/>
          <w:color w:val="000000" w:themeColor="text1"/>
        </w:rPr>
        <w:t>(see “Methods”)</w:t>
      </w:r>
      <w:r w:rsidRPr="00A14EE6">
        <w:rPr>
          <w:rFonts w:ascii="Times New Roman" w:hAnsi="Times New Roman" w:cs="Times New Roman"/>
          <w:color w:val="000000" w:themeColor="text1"/>
        </w:rPr>
        <w:t xml:space="preserve">; b) Synthetic intra-annual seasonality of </w:t>
      </w:r>
      <w:r w:rsidR="00A44976" w:rsidRPr="00A14EE6">
        <w:rPr>
          <w:rFonts w:ascii="Times New Roman" w:hAnsi="Times New Roman" w:cs="Times New Roman"/>
          <w:color w:val="000000" w:themeColor="text1"/>
        </w:rPr>
        <w:t>SRP</w:t>
      </w:r>
      <w:r w:rsidRPr="00A14EE6">
        <w:rPr>
          <w:rFonts w:ascii="Times New Roman" w:hAnsi="Times New Roman" w:cs="Times New Roman"/>
          <w:color w:val="000000" w:themeColor="text1"/>
        </w:rPr>
        <w:t xml:space="preserve"> in the </w:t>
      </w:r>
      <w:r w:rsidR="006F6EE5" w:rsidRPr="00A14EE6">
        <w:rPr>
          <w:rFonts w:ascii="Times New Roman" w:hAnsi="Times New Roman" w:cs="Times New Roman"/>
          <w:color w:val="000000" w:themeColor="text1"/>
        </w:rPr>
        <w:t xml:space="preserve">tributaries (Porte de </w:t>
      </w:r>
      <w:proofErr w:type="spellStart"/>
      <w:r w:rsidR="006F6EE5" w:rsidRPr="00A14EE6">
        <w:rPr>
          <w:rFonts w:ascii="Times New Roman" w:hAnsi="Times New Roman" w:cs="Times New Roman"/>
          <w:color w:val="000000" w:themeColor="text1"/>
        </w:rPr>
        <w:t>Scex</w:t>
      </w:r>
      <w:proofErr w:type="spellEnd"/>
      <w:r w:rsidR="006F6EE5" w:rsidRPr="00A14EE6">
        <w:rPr>
          <w:rFonts w:ascii="Times New Roman" w:hAnsi="Times New Roman" w:cs="Times New Roman"/>
          <w:color w:val="000000" w:themeColor="text1"/>
        </w:rPr>
        <w:t xml:space="preserve"> monitoring station)</w:t>
      </w:r>
      <w:r w:rsidRPr="00A14EE6">
        <w:rPr>
          <w:rFonts w:ascii="Times New Roman" w:hAnsi="Times New Roman" w:cs="Times New Roman"/>
          <w:color w:val="000000" w:themeColor="text1"/>
        </w:rPr>
        <w:t xml:space="preserve">; c) Daily </w:t>
      </w:r>
      <w:r w:rsidR="00A44976" w:rsidRPr="00A14EE6">
        <w:rPr>
          <w:rFonts w:ascii="Times New Roman" w:hAnsi="Times New Roman" w:cs="Times New Roman"/>
          <w:color w:val="000000" w:themeColor="text1"/>
        </w:rPr>
        <w:t>soluble reactive phosphorus</w:t>
      </w:r>
      <w:r w:rsidRPr="00A14EE6">
        <w:rPr>
          <w:rFonts w:ascii="Times New Roman" w:hAnsi="Times New Roman" w:cs="Times New Roman"/>
          <w:color w:val="000000" w:themeColor="text1"/>
        </w:rPr>
        <w:t xml:space="preserve"> input into the lake.</w:t>
      </w:r>
    </w:p>
    <w:p w14:paraId="2DD0DD99" w14:textId="77777777" w:rsidR="00B2418E" w:rsidRPr="00A14EE6" w:rsidRDefault="00B2418E" w:rsidP="00B2418E">
      <w:pPr>
        <w:spacing w:line="360" w:lineRule="auto"/>
        <w:jc w:val="both"/>
        <w:rPr>
          <w:rFonts w:ascii="Times New Roman" w:hAnsi="Times New Roman" w:cs="Times New Roman"/>
          <w:color w:val="000000" w:themeColor="text1"/>
        </w:rPr>
      </w:pPr>
    </w:p>
    <w:p w14:paraId="40D1F2D3" w14:textId="77777777" w:rsidR="00B2418E" w:rsidRPr="00A14EE6" w:rsidRDefault="00B2418E" w:rsidP="00B2418E">
      <w:pPr>
        <w:spacing w:after="240" w:line="360" w:lineRule="auto"/>
        <w:rPr>
          <w:noProof/>
          <w:color w:val="000000" w:themeColor="text1"/>
        </w:rPr>
      </w:pPr>
      <w:r w:rsidRPr="00A14EE6">
        <w:rPr>
          <w:noProof/>
          <w:color w:val="000000" w:themeColor="text1"/>
        </w:rPr>
        <w:lastRenderedPageBreak/>
        <w:t xml:space="preserve">  </w:t>
      </w:r>
      <w:r w:rsidRPr="00A14EE6">
        <w:rPr>
          <w:noProof/>
          <w:color w:val="000000" w:themeColor="text1"/>
        </w:rPr>
        <w:drawing>
          <wp:inline distT="0" distB="0" distL="0" distR="0" wp14:anchorId="42C6E9FC" wp14:editId="396EB15D">
            <wp:extent cx="4041699" cy="2616740"/>
            <wp:effectExtent l="0" t="0" r="0" b="0"/>
            <wp:docPr id="11" name="Picture 11" descr="A picture containing text, line, fon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text, line, font, diagram&#10;&#10;Description automatically generated"/>
                    <pic:cNvPicPr/>
                  </pic:nvPicPr>
                  <pic:blipFill>
                    <a:blip r:embed="rId9"/>
                    <a:stretch>
                      <a:fillRect/>
                    </a:stretch>
                  </pic:blipFill>
                  <pic:spPr>
                    <a:xfrm>
                      <a:off x="0" y="0"/>
                      <a:ext cx="4064744" cy="2631660"/>
                    </a:xfrm>
                    <a:prstGeom prst="rect">
                      <a:avLst/>
                    </a:prstGeom>
                  </pic:spPr>
                </pic:pic>
              </a:graphicData>
            </a:graphic>
          </wp:inline>
        </w:drawing>
      </w:r>
    </w:p>
    <w:p w14:paraId="515D63FD" w14:textId="0EDAFF8C" w:rsidR="00B2418E" w:rsidRPr="00A14EE6" w:rsidRDefault="00B2418E" w:rsidP="00B2418E">
      <w:pPr>
        <w:spacing w:line="360" w:lineRule="auto"/>
        <w:jc w:val="both"/>
        <w:rPr>
          <w:rFonts w:ascii="Times New Roman" w:hAnsi="Times New Roman" w:cs="Times New Roman"/>
          <w:b/>
          <w:bCs/>
          <w:color w:val="000000" w:themeColor="text1"/>
        </w:rPr>
      </w:pPr>
      <w:r w:rsidRPr="00A14EE6">
        <w:rPr>
          <w:rFonts w:ascii="Times New Roman" w:hAnsi="Times New Roman" w:cs="Times New Roman"/>
          <w:b/>
          <w:bCs/>
          <w:color w:val="000000" w:themeColor="text1"/>
        </w:rPr>
        <w:t>Fig. S2 | Mean annual concentrations of nitrate (NO</w:t>
      </w:r>
      <w:r w:rsidRPr="00A14EE6">
        <w:rPr>
          <w:rFonts w:ascii="Times New Roman" w:hAnsi="Times New Roman" w:cs="Times New Roman"/>
          <w:b/>
          <w:bCs/>
          <w:color w:val="000000" w:themeColor="text1"/>
          <w:vertAlign w:val="subscript"/>
        </w:rPr>
        <w:t>3</w:t>
      </w:r>
      <w:r w:rsidRPr="00A14EE6">
        <w:rPr>
          <w:rFonts w:ascii="Times New Roman" w:hAnsi="Times New Roman" w:cs="Times New Roman"/>
          <w:b/>
          <w:bCs/>
          <w:color w:val="000000" w:themeColor="text1"/>
        </w:rPr>
        <w:t>), ammonium (NH</w:t>
      </w:r>
      <w:r w:rsidRPr="00A14EE6">
        <w:rPr>
          <w:rFonts w:ascii="Times New Roman" w:hAnsi="Times New Roman" w:cs="Times New Roman"/>
          <w:b/>
          <w:bCs/>
          <w:color w:val="000000" w:themeColor="text1"/>
          <w:vertAlign w:val="subscript"/>
        </w:rPr>
        <w:t>4</w:t>
      </w:r>
      <w:r w:rsidRPr="00A14EE6">
        <w:rPr>
          <w:rFonts w:ascii="Times New Roman" w:hAnsi="Times New Roman" w:cs="Times New Roman"/>
          <w:b/>
          <w:bCs/>
          <w:color w:val="000000" w:themeColor="text1"/>
        </w:rPr>
        <w:t>), and silicate (</w:t>
      </w:r>
      <w:proofErr w:type="spellStart"/>
      <w:r w:rsidRPr="00A14EE6">
        <w:rPr>
          <w:rFonts w:ascii="Times New Roman" w:hAnsi="Times New Roman" w:cs="Times New Roman"/>
          <w:b/>
          <w:bCs/>
          <w:color w:val="000000" w:themeColor="text1"/>
        </w:rPr>
        <w:t>RSi</w:t>
      </w:r>
      <w:proofErr w:type="spellEnd"/>
      <w:r w:rsidRPr="00A14EE6">
        <w:rPr>
          <w:rFonts w:ascii="Times New Roman" w:hAnsi="Times New Roman" w:cs="Times New Roman"/>
          <w:b/>
          <w:bCs/>
          <w:color w:val="000000" w:themeColor="text1"/>
        </w:rPr>
        <w:t>) measured in the Rhone River from 1974 to 2020</w:t>
      </w:r>
      <w:sdt>
        <w:sdtPr>
          <w:rPr>
            <w:rFonts w:ascii="Times New Roman" w:hAnsi="Times New Roman" w:cs="Times New Roman"/>
            <w:bCs/>
            <w:color w:val="000000"/>
            <w:vertAlign w:val="superscript"/>
          </w:rPr>
          <w:tag w:val="MENDELEY_CITATION_v3_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"/>
          <w:id w:val="-1797134332"/>
          <w:placeholder>
            <w:docPart w:val="DefaultPlaceholder_-1854013440"/>
          </w:placeholder>
        </w:sdtPr>
        <w:sdtContent>
          <w:r w:rsidR="008E32A9" w:rsidRPr="008E32A9">
            <w:rPr>
              <w:rFonts w:ascii="Times New Roman" w:hAnsi="Times New Roman" w:cs="Times New Roman"/>
              <w:bCs/>
              <w:color w:val="000000"/>
              <w:vertAlign w:val="superscript"/>
            </w:rPr>
            <w:t>1</w:t>
          </w:r>
        </w:sdtContent>
      </w:sdt>
      <w:r w:rsidRPr="00A14EE6">
        <w:rPr>
          <w:rFonts w:ascii="Times New Roman" w:hAnsi="Times New Roman" w:cs="Times New Roman"/>
          <w:b/>
          <w:bCs/>
          <w:color w:val="000000" w:themeColor="text1"/>
        </w:rPr>
        <w:t>.</w:t>
      </w:r>
    </w:p>
    <w:p w14:paraId="06D1CADD" w14:textId="77777777" w:rsidR="00B2418E" w:rsidRPr="00A14EE6" w:rsidRDefault="00B2418E" w:rsidP="00B2418E">
      <w:pPr>
        <w:spacing w:after="240" w:line="360" w:lineRule="auto"/>
        <w:ind w:firstLine="720"/>
        <w:jc w:val="both"/>
        <w:rPr>
          <w:rFonts w:ascii="Times New Roman" w:hAnsi="Times New Roman" w:cs="Times New Roman"/>
          <w:color w:val="000000" w:themeColor="text1"/>
        </w:rPr>
      </w:pPr>
    </w:p>
    <w:p w14:paraId="39602D9E" w14:textId="18B177AD" w:rsidR="00B2418E" w:rsidRPr="00A14EE6" w:rsidRDefault="00B2418E" w:rsidP="00B2418E">
      <w:pPr>
        <w:spacing w:after="240" w:line="360" w:lineRule="auto"/>
        <w:ind w:firstLine="720"/>
        <w:jc w:val="both"/>
        <w:rPr>
          <w:rFonts w:ascii="Times New Roman" w:hAnsi="Times New Roman" w:cs="Times New Roman"/>
          <w:color w:val="000000" w:themeColor="text1"/>
        </w:rPr>
      </w:pPr>
      <w:r w:rsidRPr="00A14EE6">
        <w:rPr>
          <w:rFonts w:ascii="Times New Roman" w:hAnsi="Times New Roman" w:cs="Times New Roman"/>
          <w:color w:val="000000" w:themeColor="text1"/>
        </w:rPr>
        <w:t xml:space="preserve">Fourteen input variables were included in the inflow file: discharge, temperature, salinity, DO, </w:t>
      </w:r>
      <w:r w:rsidR="00A44976" w:rsidRPr="00A14EE6">
        <w:rPr>
          <w:rFonts w:ascii="Times New Roman" w:hAnsi="Times New Roman" w:cs="Times New Roman"/>
          <w:color w:val="000000" w:themeColor="text1"/>
        </w:rPr>
        <w:t xml:space="preserve">soluble reactive phosphorus </w:t>
      </w:r>
      <w:r w:rsidRPr="00A14EE6">
        <w:rPr>
          <w:rFonts w:ascii="Times New Roman" w:hAnsi="Times New Roman" w:cs="Times New Roman"/>
          <w:color w:val="000000" w:themeColor="text1"/>
        </w:rPr>
        <w:t>(</w:t>
      </w:r>
      <w:r w:rsidR="00A44976" w:rsidRPr="00A14EE6">
        <w:rPr>
          <w:rFonts w:ascii="Times New Roman" w:hAnsi="Times New Roman" w:cs="Times New Roman"/>
          <w:color w:val="000000" w:themeColor="text1"/>
        </w:rPr>
        <w:t>SRP</w:t>
      </w:r>
      <w:r w:rsidRPr="00A14EE6">
        <w:rPr>
          <w:rFonts w:ascii="Times New Roman" w:hAnsi="Times New Roman" w:cs="Times New Roman"/>
          <w:color w:val="000000" w:themeColor="text1"/>
        </w:rPr>
        <w:t>), dissolved organic phosphorus (DOP), particulate organic phosphorus (POP), ammonium (NH</w:t>
      </w:r>
      <w:r w:rsidRPr="00A14EE6">
        <w:rPr>
          <w:rFonts w:ascii="Times New Roman" w:hAnsi="Times New Roman" w:cs="Times New Roman"/>
          <w:color w:val="000000" w:themeColor="text1"/>
          <w:vertAlign w:val="subscript"/>
        </w:rPr>
        <w:t>4</w:t>
      </w:r>
      <w:r w:rsidRPr="00A14EE6">
        <w:rPr>
          <w:rFonts w:ascii="Times New Roman" w:hAnsi="Times New Roman" w:cs="Times New Roman"/>
          <w:color w:val="000000" w:themeColor="text1"/>
        </w:rPr>
        <w:t>), nitrate (NO</w:t>
      </w:r>
      <w:r w:rsidRPr="00A14EE6">
        <w:rPr>
          <w:rFonts w:ascii="Times New Roman" w:hAnsi="Times New Roman" w:cs="Times New Roman"/>
          <w:color w:val="000000" w:themeColor="text1"/>
          <w:vertAlign w:val="subscript"/>
        </w:rPr>
        <w:t>3</w:t>
      </w:r>
      <w:r w:rsidRPr="00A14EE6">
        <w:rPr>
          <w:rFonts w:ascii="Times New Roman" w:hAnsi="Times New Roman" w:cs="Times New Roman"/>
          <w:color w:val="000000" w:themeColor="text1"/>
        </w:rPr>
        <w:t>), dissolved organic nitrogen (DON), particulate organic nitrogen (PON), reactive silica (SiO</w:t>
      </w:r>
      <w:r w:rsidRPr="00A14EE6">
        <w:rPr>
          <w:rFonts w:ascii="Times New Roman" w:hAnsi="Times New Roman" w:cs="Times New Roman"/>
          <w:color w:val="000000" w:themeColor="text1"/>
          <w:vertAlign w:val="subscript"/>
        </w:rPr>
        <w:t>2</w:t>
      </w:r>
      <w:r w:rsidRPr="00A14EE6">
        <w:rPr>
          <w:rFonts w:ascii="Times New Roman" w:hAnsi="Times New Roman" w:cs="Times New Roman"/>
          <w:color w:val="000000" w:themeColor="text1"/>
        </w:rPr>
        <w:t xml:space="preserve">), dissolved organic carbon (DOC), and particulate organic carbon (POC). Except for the phosphorus inputs, their long-term trends were estimated following common procedures found in the literature based on field measurements. A complete description of each of these methods is provided below and is summarized in </w:t>
      </w:r>
      <w:r w:rsidR="00C6405E" w:rsidRPr="00A14EE6">
        <w:rPr>
          <w:rFonts w:ascii="Times New Roman" w:hAnsi="Times New Roman" w:cs="Times New Roman"/>
          <w:color w:val="000000" w:themeColor="text1"/>
        </w:rPr>
        <w:t xml:space="preserve">Fig. S3 and </w:t>
      </w:r>
      <w:r w:rsidRPr="00A14EE6">
        <w:rPr>
          <w:rFonts w:ascii="Times New Roman" w:hAnsi="Times New Roman" w:cs="Times New Roman"/>
          <w:color w:val="000000" w:themeColor="text1"/>
        </w:rPr>
        <w:t>Table S</w:t>
      </w:r>
      <w:r w:rsidR="00C6405E" w:rsidRPr="00A14EE6">
        <w:rPr>
          <w:rFonts w:ascii="Times New Roman" w:hAnsi="Times New Roman" w:cs="Times New Roman"/>
          <w:color w:val="000000" w:themeColor="text1"/>
        </w:rPr>
        <w:t>1</w:t>
      </w:r>
      <w:r w:rsidRPr="00A14EE6">
        <w:rPr>
          <w:rFonts w:ascii="Times New Roman" w:hAnsi="Times New Roman" w:cs="Times New Roman"/>
          <w:color w:val="000000" w:themeColor="text1"/>
        </w:rPr>
        <w:t>.</w:t>
      </w:r>
    </w:p>
    <w:p w14:paraId="39C2DC1E" w14:textId="77777777" w:rsidR="00B2418E" w:rsidRPr="00A14EE6" w:rsidRDefault="00B2418E" w:rsidP="00B2418E">
      <w:pPr>
        <w:spacing w:after="240" w:line="360" w:lineRule="auto"/>
        <w:jc w:val="both"/>
        <w:rPr>
          <w:rFonts w:ascii="Times New Roman" w:hAnsi="Times New Roman" w:cs="Times New Roman"/>
          <w:i/>
          <w:iCs/>
          <w:color w:val="000000" w:themeColor="text1"/>
        </w:rPr>
      </w:pPr>
      <w:r w:rsidRPr="00A14EE6">
        <w:rPr>
          <w:rFonts w:ascii="Times New Roman" w:hAnsi="Times New Roman" w:cs="Times New Roman"/>
          <w:i/>
          <w:iCs/>
          <w:color w:val="000000" w:themeColor="text1"/>
        </w:rPr>
        <w:t>Inflow and outflow discharge</w:t>
      </w:r>
    </w:p>
    <w:p w14:paraId="03833CF3" w14:textId="356C4680" w:rsidR="00B2418E" w:rsidRPr="00A14EE6" w:rsidRDefault="00B2418E" w:rsidP="00B2418E">
      <w:pPr>
        <w:spacing w:after="240" w:line="360" w:lineRule="auto"/>
        <w:ind w:firstLine="720"/>
        <w:jc w:val="both"/>
        <w:rPr>
          <w:rFonts w:ascii="Times New Roman" w:hAnsi="Times New Roman" w:cs="Times New Roman"/>
          <w:color w:val="000000" w:themeColor="text1"/>
        </w:rPr>
      </w:pPr>
      <w:r w:rsidRPr="00A14EE6">
        <w:rPr>
          <w:rFonts w:ascii="Times New Roman" w:hAnsi="Times New Roman" w:cs="Times New Roman"/>
          <w:color w:val="000000" w:themeColor="text1"/>
        </w:rPr>
        <w:t>Daily inflow discharge into Lake Geneva was estimated based on long-term monitoring of the outflow discharge, comprising 102 years of measurements</w:t>
      </w:r>
      <w:sdt>
        <w:sdtPr>
          <w:rPr>
            <w:rFonts w:ascii="Times New Roman" w:hAnsi="Times New Roman" w:cs="Times New Roman"/>
            <w:color w:val="000000"/>
            <w:vertAlign w:val="superscript"/>
          </w:rPr>
          <w:tag w:val="MENDELEY_CITATION_v3_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"/>
          <w:id w:val="814767360"/>
          <w:placeholder>
            <w:docPart w:val="DefaultPlaceholder_-1854013440"/>
          </w:placeholder>
        </w:sdtPr>
        <w:sdtContent>
          <w:r w:rsidR="008E32A9" w:rsidRPr="008E32A9">
            <w:rPr>
              <w:rFonts w:ascii="Times New Roman" w:hAnsi="Times New Roman" w:cs="Times New Roman"/>
              <w:color w:val="000000"/>
              <w:vertAlign w:val="superscript"/>
            </w:rPr>
            <w:t>1</w:t>
          </w:r>
        </w:sdtContent>
      </w:sdt>
      <w:r w:rsidRPr="00A14EE6">
        <w:rPr>
          <w:rFonts w:ascii="Times New Roman" w:hAnsi="Times New Roman" w:cs="Times New Roman"/>
          <w:color w:val="000000" w:themeColor="text1"/>
        </w:rPr>
        <w:t xml:space="preserve">. Monthly outflow discharges in the Rhone River from 1919 to 2020 were linearly interpolated to obtain a daily time series. The mean daily outflow over the period was computed and replicated from 1850 to 2100. Like most large natural alpine lakes, the level in Lake Geneva is regulated by several valves installed at its outlet. Indeed, since 1884, Lake Geneva’s level is regulated within limits compatible with its multiple uses: lake elevation can vary from 371.70 m to 372.30 m through the operation of a dam; during </w:t>
      </w:r>
      <w:r w:rsidRPr="00A14EE6">
        <w:rPr>
          <w:rFonts w:ascii="Times New Roman" w:hAnsi="Times New Roman" w:cs="Times New Roman"/>
          <w:color w:val="000000" w:themeColor="text1"/>
        </w:rPr>
        <w:lastRenderedPageBreak/>
        <w:t>floods or heavy rains, fluctuations can occur and increase the level by about 30 cm</w:t>
      </w:r>
      <w:sdt>
        <w:sdtPr>
          <w:rPr>
            <w:rFonts w:ascii="Times New Roman" w:hAnsi="Times New Roman" w:cs="Times New Roman"/>
            <w:color w:val="000000"/>
            <w:vertAlign w:val="superscript"/>
          </w:rPr>
          <w:tag w:val="MENDELEY_CITATION_v3_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"/>
          <w:id w:val="1618028721"/>
          <w:placeholder>
            <w:docPart w:val="1D41F9DD91619A4485A999CA6783360A"/>
          </w:placeholder>
        </w:sdtPr>
        <w:sdtContent>
          <w:r w:rsidR="008E32A9" w:rsidRPr="008E32A9">
            <w:rPr>
              <w:rFonts w:ascii="Times New Roman" w:hAnsi="Times New Roman" w:cs="Times New Roman"/>
              <w:color w:val="000000"/>
              <w:vertAlign w:val="superscript"/>
            </w:rPr>
            <w:t>2</w:t>
          </w:r>
        </w:sdtContent>
      </w:sdt>
      <w:r w:rsidRPr="00A14EE6">
        <w:rPr>
          <w:rFonts w:ascii="Times New Roman" w:hAnsi="Times New Roman" w:cs="Times New Roman"/>
          <w:color w:val="000000" w:themeColor="text1"/>
        </w:rPr>
        <w:t xml:space="preserve">. In face of a small variation representing only 0.3% relative to its maximum water depth, it was assumed that inflow discharges were equal to outflow discharges for the 1850–2100 period. This assumption was tested against weekly measurements of the inflow Rhone River from 1974 to 2020 multiplied by a correction factor of 1.33 to account for the contribution of the other affluents </w:t>
      </w:r>
      <w:r w:rsidR="00A14EE6">
        <w:rPr>
          <w:rFonts w:ascii="Times New Roman" w:hAnsi="Times New Roman" w:cs="Times New Roman"/>
          <w:color w:val="000000" w:themeColor="text1"/>
        </w:rPr>
        <w:br/>
      </w:r>
      <w:r w:rsidRPr="00A14EE6">
        <w:rPr>
          <w:rFonts w:ascii="Times New Roman" w:hAnsi="Times New Roman" w:cs="Times New Roman"/>
          <w:color w:val="000000" w:themeColor="text1"/>
        </w:rPr>
        <w:t>(RMSE = 66 m</w:t>
      </w:r>
      <w:r w:rsidRPr="00A14EE6">
        <w:rPr>
          <w:rFonts w:ascii="Times New Roman" w:hAnsi="Times New Roman" w:cs="Times New Roman"/>
          <w:color w:val="000000" w:themeColor="text1"/>
          <w:vertAlign w:val="superscript"/>
        </w:rPr>
        <w:t>3</w:t>
      </w:r>
      <w:r w:rsidRPr="00A14EE6">
        <w:rPr>
          <w:rFonts w:ascii="Times New Roman" w:hAnsi="Times New Roman" w:cs="Times New Roman"/>
          <w:color w:val="000000" w:themeColor="text1"/>
        </w:rPr>
        <w:t xml:space="preserve"> s</w:t>
      </w:r>
      <w:r w:rsidRPr="00A14EE6">
        <w:rPr>
          <w:rFonts w:ascii="Times New Roman" w:hAnsi="Times New Roman" w:cs="Times New Roman"/>
          <w:color w:val="000000" w:themeColor="text1"/>
          <w:vertAlign w:val="superscript"/>
        </w:rPr>
        <w:t>–1</w:t>
      </w:r>
      <w:r w:rsidRPr="00A14EE6">
        <w:rPr>
          <w:rFonts w:ascii="Times New Roman" w:hAnsi="Times New Roman" w:cs="Times New Roman"/>
          <w:color w:val="000000" w:themeColor="text1"/>
        </w:rPr>
        <w:t>; RRMSE = 10%). In addition, inflow and outflow discharges were neglected in previous modeling applications in Lake Geneva</w:t>
      </w:r>
      <w:sdt>
        <w:sdtPr>
          <w:rPr>
            <w:rFonts w:ascii="Times New Roman" w:hAnsi="Times New Roman" w:cs="Times New Roman"/>
            <w:color w:val="000000"/>
            <w:vertAlign w:val="superscript"/>
          </w:rPr>
          <w:tag w:val="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"/>
          <w:id w:val="-1037351803"/>
          <w:placeholder>
            <w:docPart w:val="1D41F9DD91619A4485A999CA6783360A"/>
          </w:placeholder>
        </w:sdtPr>
        <w:sdtContent>
          <w:r w:rsidR="008E32A9" w:rsidRPr="008E32A9">
            <w:rPr>
              <w:rFonts w:ascii="Times New Roman" w:hAnsi="Times New Roman" w:cs="Times New Roman"/>
              <w:color w:val="000000"/>
              <w:vertAlign w:val="superscript"/>
            </w:rPr>
            <w:t>3,4</w:t>
          </w:r>
        </w:sdtContent>
      </w:sdt>
      <w:r w:rsidRPr="00A14EE6">
        <w:rPr>
          <w:rFonts w:ascii="Times New Roman" w:hAnsi="Times New Roman" w:cs="Times New Roman"/>
          <w:color w:val="000000" w:themeColor="text1"/>
        </w:rPr>
        <w:t xml:space="preserve"> with no compromise of the thermal </w:t>
      </w:r>
      <w:proofErr w:type="gramStart"/>
      <w:r w:rsidRPr="00A14EE6">
        <w:rPr>
          <w:rFonts w:ascii="Times New Roman" w:hAnsi="Times New Roman" w:cs="Times New Roman"/>
          <w:color w:val="000000" w:themeColor="text1"/>
        </w:rPr>
        <w:t>dynamics</w:t>
      </w:r>
      <w:proofErr w:type="gramEnd"/>
      <w:r w:rsidRPr="00A14EE6">
        <w:rPr>
          <w:rFonts w:ascii="Times New Roman" w:hAnsi="Times New Roman" w:cs="Times New Roman"/>
          <w:color w:val="000000" w:themeColor="text1"/>
        </w:rPr>
        <w:t xml:space="preserve"> simulation by this assumption. Hence, all lake inflows were entered as input to the model as a single combined inflow.</w:t>
      </w:r>
    </w:p>
    <w:p w14:paraId="5CC5E5C8" w14:textId="77777777" w:rsidR="00B2418E" w:rsidRPr="00A14EE6" w:rsidRDefault="00B2418E" w:rsidP="00B2418E">
      <w:pPr>
        <w:spacing w:after="240" w:line="360" w:lineRule="auto"/>
        <w:jc w:val="both"/>
        <w:rPr>
          <w:rFonts w:ascii="Times New Roman" w:hAnsi="Times New Roman" w:cs="Times New Roman"/>
          <w:i/>
          <w:iCs/>
          <w:color w:val="000000" w:themeColor="text1"/>
        </w:rPr>
      </w:pPr>
      <w:r w:rsidRPr="00A14EE6">
        <w:rPr>
          <w:rFonts w:ascii="Times New Roman" w:hAnsi="Times New Roman" w:cs="Times New Roman"/>
          <w:i/>
          <w:iCs/>
          <w:color w:val="000000" w:themeColor="text1"/>
        </w:rPr>
        <w:t xml:space="preserve">Inflow salinity, </w:t>
      </w:r>
      <w:proofErr w:type="gramStart"/>
      <w:r w:rsidRPr="00A14EE6">
        <w:rPr>
          <w:rFonts w:ascii="Times New Roman" w:hAnsi="Times New Roman" w:cs="Times New Roman"/>
          <w:i/>
          <w:iCs/>
          <w:color w:val="000000" w:themeColor="text1"/>
        </w:rPr>
        <w:t>temperature</w:t>
      </w:r>
      <w:proofErr w:type="gramEnd"/>
      <w:r w:rsidRPr="00A14EE6">
        <w:rPr>
          <w:rFonts w:ascii="Times New Roman" w:hAnsi="Times New Roman" w:cs="Times New Roman"/>
          <w:i/>
          <w:iCs/>
          <w:color w:val="000000" w:themeColor="text1"/>
        </w:rPr>
        <w:t xml:space="preserve"> and dissolved oxygen concentration</w:t>
      </w:r>
    </w:p>
    <w:p w14:paraId="2F0D09A4" w14:textId="288E420F" w:rsidR="00B2418E" w:rsidRPr="00A14EE6" w:rsidRDefault="00B2418E" w:rsidP="00B2418E">
      <w:pPr>
        <w:spacing w:after="240" w:line="360" w:lineRule="auto"/>
        <w:ind w:firstLine="720"/>
        <w:jc w:val="both"/>
        <w:rPr>
          <w:rFonts w:ascii="Times New Roman" w:hAnsi="Times New Roman" w:cs="Times New Roman"/>
          <w:color w:val="000000" w:themeColor="text1"/>
        </w:rPr>
      </w:pPr>
      <w:r w:rsidRPr="00A14EE6">
        <w:rPr>
          <w:rFonts w:ascii="Times New Roman" w:hAnsi="Times New Roman" w:cs="Times New Roman"/>
          <w:color w:val="000000" w:themeColor="text1"/>
        </w:rPr>
        <w:t>Weekly measurements of chloride from 1974 to 2020 were linearly interpolated to obtain a daily time series; then, the mean daily chloride over the period was computed and replicated from 1850 to 2100. As the Rhone River contributes to approximately 75% of the total inflow discharge, a scaling factor of 1.33 was applied to consider the contribution of chloride in the remaining tributaries. The salinity content (</w:t>
      </w:r>
      <m:oMath>
        <m:r>
          <w:rPr>
            <w:rFonts w:ascii="Cambria Math" w:hAnsi="Cambria Math" w:cs="Times New Roman"/>
            <w:color w:val="000000" w:themeColor="text1"/>
          </w:rPr>
          <m:t>S</m:t>
        </m:r>
      </m:oMath>
      <w:r w:rsidRPr="00A14EE6">
        <w:rPr>
          <w:rFonts w:ascii="Times New Roman" w:eastAsiaTheme="minorEastAsia" w:hAnsi="Times New Roman" w:cs="Times New Roman"/>
          <w:color w:val="000000" w:themeColor="text1"/>
        </w:rPr>
        <w:t>, pss</w:t>
      </w:r>
      <w:r w:rsidR="00C6405E" w:rsidRPr="00A14EE6">
        <w:rPr>
          <w:rFonts w:ascii="Times New Roman" w:eastAsiaTheme="minorEastAsia" w:hAnsi="Times New Roman" w:cs="Times New Roman"/>
          <w:color w:val="000000" w:themeColor="text1"/>
        </w:rPr>
        <w:t>)</w:t>
      </w:r>
      <w:r w:rsidRPr="00A14EE6">
        <w:rPr>
          <w:rFonts w:ascii="Times New Roman" w:hAnsi="Times New Roman" w:cs="Times New Roman"/>
          <w:color w:val="000000" w:themeColor="text1"/>
        </w:rPr>
        <w:t xml:space="preserve"> was calculated from chloride (</w:t>
      </w:r>
      <m:oMath>
        <m:sSup>
          <m:sSupPr>
            <m:ctrlPr>
              <w:rPr>
                <w:rFonts w:ascii="Cambria Math" w:hAnsi="Cambria Math" w:cs="Times New Roman"/>
                <w:i/>
                <w:color w:val="000000" w:themeColor="text1"/>
              </w:rPr>
            </m:ctrlPr>
          </m:sSupPr>
          <m:e>
            <m:r>
              <w:rPr>
                <w:rFonts w:ascii="Cambria Math" w:hAnsi="Cambria Math" w:cs="Times New Roman"/>
                <w:color w:val="000000" w:themeColor="text1"/>
              </w:rPr>
              <m:t>Cl</m:t>
            </m:r>
          </m:e>
          <m:sup>
            <m:r>
              <w:rPr>
                <w:rFonts w:ascii="Cambria Math" w:hAnsi="Cambria Math" w:cs="Times New Roman"/>
                <w:color w:val="000000" w:themeColor="text1"/>
              </w:rPr>
              <m:t>-</m:t>
            </m:r>
          </m:sup>
        </m:sSup>
      </m:oMath>
      <w:r w:rsidRPr="00A14EE6">
        <w:rPr>
          <w:rFonts w:ascii="Times New Roman" w:eastAsiaTheme="minorEastAsia" w:hAnsi="Times New Roman" w:cs="Times New Roman"/>
          <w:color w:val="000000" w:themeColor="text1"/>
        </w:rPr>
        <w:t>, mg L</w:t>
      </w:r>
      <w:r w:rsidRPr="00A14EE6">
        <w:rPr>
          <w:rFonts w:ascii="Times New Roman" w:hAnsi="Times New Roman" w:cs="Times New Roman"/>
          <w:color w:val="000000" w:themeColor="text1"/>
          <w:vertAlign w:val="superscript"/>
        </w:rPr>
        <w:t>–1</w:t>
      </w:r>
      <w:r w:rsidRPr="00A14EE6">
        <w:rPr>
          <w:rFonts w:ascii="Times New Roman" w:hAnsi="Times New Roman" w:cs="Times New Roman"/>
          <w:color w:val="000000" w:themeColor="text1"/>
        </w:rPr>
        <w:t>) as:</w:t>
      </w:r>
    </w:p>
    <w:p w14:paraId="2237A635" w14:textId="77777777" w:rsidR="00B2418E" w:rsidRPr="00A14EE6" w:rsidRDefault="00B2418E" w:rsidP="00B2418E">
      <w:pPr>
        <w:spacing w:after="240" w:line="360" w:lineRule="auto"/>
        <w:jc w:val="both"/>
        <w:rPr>
          <w:rFonts w:ascii="Times New Roman" w:hAnsi="Times New Roman" w:cs="Times New Roman"/>
          <w:color w:val="000000" w:themeColor="text1"/>
        </w:rPr>
      </w:pPr>
      <m:oMath>
        <m:r>
          <w:rPr>
            <w:rFonts w:ascii="Cambria Math" w:hAnsi="Cambria Math" w:cs="Times New Roman"/>
            <w:color w:val="000000" w:themeColor="text1"/>
          </w:rPr>
          <m:t>S=0.0018066</m:t>
        </m:r>
        <m:sSup>
          <m:sSupPr>
            <m:ctrlPr>
              <w:rPr>
                <w:rFonts w:ascii="Cambria Math" w:hAnsi="Cambria Math" w:cs="Times New Roman"/>
                <w:i/>
                <w:color w:val="000000" w:themeColor="text1"/>
              </w:rPr>
            </m:ctrlPr>
          </m:sSupPr>
          <m:e>
            <m:r>
              <w:rPr>
                <w:rFonts w:ascii="Cambria Math" w:hAnsi="Cambria Math" w:cs="Times New Roman"/>
                <w:color w:val="000000" w:themeColor="text1"/>
              </w:rPr>
              <m:t>×Cl</m:t>
            </m:r>
          </m:e>
          <m:sup>
            <m:r>
              <w:rPr>
                <w:rFonts w:ascii="Cambria Math" w:hAnsi="Cambria Math" w:cs="Times New Roman"/>
                <w:color w:val="000000" w:themeColor="text1"/>
              </w:rPr>
              <m:t>-</m:t>
            </m:r>
          </m:sup>
        </m:sSup>
      </m:oMath>
      <w:r w:rsidRPr="00A14EE6">
        <w:rPr>
          <w:rFonts w:ascii="Times New Roman" w:eastAsiaTheme="minorEastAsia" w:hAnsi="Times New Roman" w:cs="Times New Roman"/>
          <w:color w:val="000000" w:themeColor="text1"/>
        </w:rPr>
        <w:tab/>
      </w:r>
      <w:r w:rsidRPr="00A14EE6">
        <w:rPr>
          <w:rFonts w:ascii="Times New Roman" w:eastAsiaTheme="minorEastAsia" w:hAnsi="Times New Roman" w:cs="Times New Roman"/>
          <w:color w:val="000000" w:themeColor="text1"/>
        </w:rPr>
        <w:tab/>
      </w:r>
      <w:r w:rsidRPr="00A14EE6">
        <w:rPr>
          <w:rFonts w:ascii="Times New Roman" w:eastAsiaTheme="minorEastAsia" w:hAnsi="Times New Roman" w:cs="Times New Roman"/>
          <w:color w:val="000000" w:themeColor="text1"/>
        </w:rPr>
        <w:tab/>
      </w:r>
      <w:r w:rsidRPr="00A14EE6">
        <w:rPr>
          <w:rFonts w:ascii="Times New Roman" w:eastAsiaTheme="minorEastAsia" w:hAnsi="Times New Roman" w:cs="Times New Roman"/>
          <w:color w:val="000000" w:themeColor="text1"/>
        </w:rPr>
        <w:tab/>
      </w:r>
      <w:r w:rsidRPr="00A14EE6">
        <w:rPr>
          <w:rFonts w:ascii="Times New Roman" w:eastAsiaTheme="minorEastAsia" w:hAnsi="Times New Roman" w:cs="Times New Roman"/>
          <w:color w:val="000000" w:themeColor="text1"/>
        </w:rPr>
        <w:tab/>
      </w:r>
      <w:r w:rsidRPr="00A14EE6">
        <w:rPr>
          <w:rFonts w:ascii="Times New Roman" w:eastAsiaTheme="minorEastAsia" w:hAnsi="Times New Roman" w:cs="Times New Roman"/>
          <w:color w:val="000000" w:themeColor="text1"/>
        </w:rPr>
        <w:tab/>
      </w:r>
      <w:r w:rsidRPr="00A14EE6">
        <w:rPr>
          <w:rFonts w:ascii="Times New Roman" w:eastAsiaTheme="minorEastAsia" w:hAnsi="Times New Roman" w:cs="Times New Roman"/>
          <w:color w:val="000000" w:themeColor="text1"/>
        </w:rPr>
        <w:tab/>
      </w:r>
      <w:r w:rsidRPr="00A14EE6">
        <w:rPr>
          <w:rFonts w:ascii="Times New Roman" w:eastAsiaTheme="minorEastAsia" w:hAnsi="Times New Roman" w:cs="Times New Roman"/>
          <w:color w:val="000000" w:themeColor="text1"/>
        </w:rPr>
        <w:tab/>
      </w:r>
      <w:r w:rsidRPr="00A14EE6">
        <w:rPr>
          <w:rFonts w:ascii="Times New Roman" w:eastAsiaTheme="minorEastAsia" w:hAnsi="Times New Roman" w:cs="Times New Roman"/>
          <w:color w:val="000000" w:themeColor="text1"/>
        </w:rPr>
        <w:tab/>
        <w:t>(1)</w:t>
      </w:r>
    </w:p>
    <w:p w14:paraId="4BEFF99F" w14:textId="468F26A4" w:rsidR="00B2418E" w:rsidRPr="00A14EE6" w:rsidRDefault="00B2418E" w:rsidP="00B2418E">
      <w:pPr>
        <w:spacing w:after="240" w:line="360" w:lineRule="auto"/>
        <w:ind w:firstLine="720"/>
        <w:jc w:val="both"/>
        <w:rPr>
          <w:rFonts w:ascii="Times New Roman" w:hAnsi="Times New Roman" w:cs="Times New Roman"/>
          <w:color w:val="000000" w:themeColor="text1"/>
        </w:rPr>
      </w:pPr>
      <w:r w:rsidRPr="00A14EE6">
        <w:rPr>
          <w:rFonts w:ascii="Times New Roman" w:hAnsi="Times New Roman" w:cs="Times New Roman"/>
          <w:color w:val="000000" w:themeColor="text1"/>
        </w:rPr>
        <w:t>Daily inflow water temperature during 1850–2100 period was estimated by the air2stream model as a function of air temperature and inflow discharge</w:t>
      </w:r>
      <w:sdt>
        <w:sdtPr>
          <w:rPr>
            <w:rFonts w:ascii="Times New Roman" w:hAnsi="Times New Roman" w:cs="Times New Roman"/>
            <w:color w:val="000000"/>
            <w:vertAlign w:val="superscript"/>
          </w:rPr>
          <w:tag w:val="MENDELEY_CITATION_v3_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"/>
          <w:id w:val="-649286938"/>
          <w:placeholder>
            <w:docPart w:val="1D41F9DD91619A4485A999CA6783360A"/>
          </w:placeholder>
        </w:sdtPr>
        <w:sdtContent>
          <w:r w:rsidR="008E32A9" w:rsidRPr="008E32A9">
            <w:rPr>
              <w:rFonts w:ascii="Times New Roman" w:hAnsi="Times New Roman" w:cs="Times New Roman"/>
              <w:color w:val="000000"/>
              <w:vertAlign w:val="superscript"/>
            </w:rPr>
            <w:t>5</w:t>
          </w:r>
        </w:sdtContent>
      </w:sdt>
      <w:r w:rsidRPr="00A14EE6">
        <w:rPr>
          <w:rFonts w:ascii="Times New Roman" w:hAnsi="Times New Roman" w:cs="Times New Roman"/>
          <w:color w:val="000000" w:themeColor="text1"/>
        </w:rPr>
        <w:t>. A comparison of estimated water temperature against weekly measurements in the Rhone River from 1974 to 2020 presented an RMSE of 0.66 °C and an RRMSE of 7.5%. Daily inflow oxygen concentration was estimated as a function of water temperature assuming 100% saturation at the inflow</w:t>
      </w:r>
      <w:sdt>
        <w:sdtPr>
          <w:rPr>
            <w:rFonts w:ascii="Times New Roman" w:hAnsi="Times New Roman" w:cs="Times New Roman"/>
            <w:color w:val="000000"/>
            <w:vertAlign w:val="superscript"/>
          </w:rPr>
          <w:tag w:val="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"/>
          <w:id w:val="-1744329674"/>
          <w:placeholder>
            <w:docPart w:val="1D41F9DD91619A4485A999CA6783360A"/>
          </w:placeholder>
        </w:sdtPr>
        <w:sdtContent>
          <w:r w:rsidR="008E32A9" w:rsidRPr="008E32A9">
            <w:rPr>
              <w:rFonts w:ascii="Times New Roman" w:hAnsi="Times New Roman" w:cs="Times New Roman"/>
              <w:color w:val="000000"/>
              <w:vertAlign w:val="superscript"/>
            </w:rPr>
            <w:t>6,7</w:t>
          </w:r>
        </w:sdtContent>
      </w:sdt>
      <w:r w:rsidRPr="00A14EE6">
        <w:rPr>
          <w:rFonts w:ascii="Times New Roman" w:hAnsi="Times New Roman" w:cs="Times New Roman"/>
          <w:color w:val="000000" w:themeColor="text1"/>
        </w:rPr>
        <w:t xml:space="preserve"> as:</w:t>
      </w:r>
    </w:p>
    <w:p w14:paraId="504835B5" w14:textId="77777777" w:rsidR="00B2418E" w:rsidRPr="00A14EE6" w:rsidRDefault="00B2418E" w:rsidP="00B2418E">
      <w:pPr>
        <w:autoSpaceDE w:val="0"/>
        <w:autoSpaceDN w:val="0"/>
        <w:adjustRightInd w:val="0"/>
        <w:spacing w:after="240" w:line="360" w:lineRule="auto"/>
        <w:jc w:val="both"/>
        <w:rPr>
          <w:rFonts w:ascii="Times New Roman" w:hAnsi="Times New Roman" w:cs="Times New Roman"/>
          <w:color w:val="000000" w:themeColor="text1"/>
        </w:rPr>
      </w:pPr>
      <m:oMath>
        <m:r>
          <w:rPr>
            <w:rFonts w:ascii="Cambria Math" w:hAnsi="Cambria Math" w:cs="Times New Roman"/>
            <w:color w:val="000000" w:themeColor="text1"/>
          </w:rPr>
          <m:t>DO=exp</m:t>
        </m:r>
        <m:d>
          <m:dPr>
            <m:ctrlPr>
              <w:rPr>
                <w:rFonts w:ascii="Cambria Math" w:hAnsi="Cambria Math" w:cs="Times New Roman"/>
                <w:i/>
                <w:color w:val="000000" w:themeColor="text1"/>
              </w:rPr>
            </m:ctrlPr>
          </m:dPr>
          <m:e>
            <m:r>
              <w:rPr>
                <w:rFonts w:ascii="Cambria Math" w:hAnsi="Cambria Math" w:cs="Times New Roman"/>
                <w:color w:val="000000" w:themeColor="text1"/>
              </w:rPr>
              <m:t>7.71-1.31ln</m:t>
            </m:r>
            <m:d>
              <m:dPr>
                <m:ctrlPr>
                  <w:rPr>
                    <w:rFonts w:ascii="Cambria Math" w:hAnsi="Cambria Math" w:cs="Times New Roman"/>
                    <w:i/>
                    <w:color w:val="000000" w:themeColor="text1"/>
                  </w:rPr>
                </m:ctrlPr>
              </m:dPr>
              <m:e>
                <m:r>
                  <w:rPr>
                    <w:rFonts w:ascii="Cambria Math" w:hAnsi="Cambria Math" w:cs="Times New Roman"/>
                    <w:color w:val="000000" w:themeColor="text1"/>
                  </w:rPr>
                  <m:t>T+45.93</m:t>
                </m:r>
              </m:e>
            </m:d>
          </m:e>
        </m:d>
      </m:oMath>
      <w:r w:rsidRPr="00A14EE6">
        <w:rPr>
          <w:rFonts w:ascii="Times New Roman" w:eastAsiaTheme="minorEastAsia" w:hAnsi="Times New Roman" w:cs="Times New Roman"/>
          <w:color w:val="000000" w:themeColor="text1"/>
        </w:rPr>
        <w:tab/>
      </w:r>
      <w:r w:rsidRPr="00A14EE6">
        <w:rPr>
          <w:rFonts w:ascii="Times New Roman" w:eastAsiaTheme="minorEastAsia" w:hAnsi="Times New Roman" w:cs="Times New Roman"/>
          <w:color w:val="000000" w:themeColor="text1"/>
        </w:rPr>
        <w:tab/>
      </w:r>
      <w:r w:rsidRPr="00A14EE6">
        <w:rPr>
          <w:rFonts w:ascii="Times New Roman" w:eastAsiaTheme="minorEastAsia" w:hAnsi="Times New Roman" w:cs="Times New Roman"/>
          <w:color w:val="000000" w:themeColor="text1"/>
        </w:rPr>
        <w:tab/>
      </w:r>
      <w:r w:rsidRPr="00A14EE6">
        <w:rPr>
          <w:rFonts w:ascii="Times New Roman" w:eastAsiaTheme="minorEastAsia" w:hAnsi="Times New Roman" w:cs="Times New Roman"/>
          <w:color w:val="000000" w:themeColor="text1"/>
        </w:rPr>
        <w:tab/>
      </w:r>
      <w:r w:rsidRPr="00A14EE6">
        <w:rPr>
          <w:rFonts w:ascii="Times New Roman" w:eastAsiaTheme="minorEastAsia" w:hAnsi="Times New Roman" w:cs="Times New Roman"/>
          <w:color w:val="000000" w:themeColor="text1"/>
        </w:rPr>
        <w:tab/>
      </w:r>
      <w:r w:rsidRPr="00A14EE6">
        <w:rPr>
          <w:rFonts w:ascii="Times New Roman" w:eastAsiaTheme="minorEastAsia" w:hAnsi="Times New Roman" w:cs="Times New Roman"/>
          <w:color w:val="000000" w:themeColor="text1"/>
        </w:rPr>
        <w:tab/>
      </w:r>
      <w:r w:rsidRPr="00A14EE6">
        <w:rPr>
          <w:rFonts w:ascii="Times New Roman" w:eastAsiaTheme="minorEastAsia" w:hAnsi="Times New Roman" w:cs="Times New Roman"/>
          <w:color w:val="000000" w:themeColor="text1"/>
        </w:rPr>
        <w:tab/>
        <w:t>(2)</w:t>
      </w:r>
    </w:p>
    <w:p w14:paraId="7D413EA3" w14:textId="77777777" w:rsidR="00B2418E" w:rsidRPr="00A14EE6" w:rsidRDefault="00B2418E" w:rsidP="00B2418E">
      <w:pPr>
        <w:autoSpaceDE w:val="0"/>
        <w:autoSpaceDN w:val="0"/>
        <w:adjustRightInd w:val="0"/>
        <w:spacing w:after="240" w:line="360" w:lineRule="auto"/>
        <w:jc w:val="both"/>
        <w:rPr>
          <w:rFonts w:ascii="Times New Roman" w:hAnsi="Times New Roman" w:cs="Times New Roman"/>
          <w:color w:val="000000" w:themeColor="text1"/>
        </w:rPr>
      </w:pPr>
      <w:r w:rsidRPr="00A14EE6">
        <w:rPr>
          <w:rFonts w:ascii="Times New Roman" w:hAnsi="Times New Roman" w:cs="Times New Roman"/>
          <w:color w:val="000000" w:themeColor="text1"/>
        </w:rPr>
        <w:t xml:space="preserve">where </w:t>
      </w:r>
      <m:oMath>
        <m:r>
          <w:rPr>
            <w:rFonts w:ascii="Cambria Math" w:hAnsi="Cambria Math" w:cs="Times New Roman"/>
            <w:color w:val="000000" w:themeColor="text1"/>
          </w:rPr>
          <m:t>DO</m:t>
        </m:r>
      </m:oMath>
      <w:r w:rsidRPr="00A14EE6">
        <w:rPr>
          <w:rFonts w:ascii="Times New Roman" w:hAnsi="Times New Roman" w:cs="Times New Roman"/>
          <w:color w:val="000000" w:themeColor="text1"/>
        </w:rPr>
        <w:t xml:space="preserve"> is dissolved oxygen at saturation in mg L</w:t>
      </w:r>
      <w:r w:rsidRPr="00A14EE6">
        <w:rPr>
          <w:rFonts w:ascii="Times New Roman" w:hAnsi="Times New Roman" w:cs="Times New Roman"/>
          <w:color w:val="000000" w:themeColor="text1"/>
          <w:vertAlign w:val="superscript"/>
        </w:rPr>
        <w:t>–</w:t>
      </w:r>
      <w:r w:rsidRPr="00A14EE6">
        <w:rPr>
          <w:rFonts w:ascii="Times New Roman" w:hAnsi="Times New Roman" w:cs="Times New Roman"/>
          <w:color w:val="000000" w:themeColor="text1"/>
          <w:position w:val="-1"/>
          <w:vertAlign w:val="superscript"/>
        </w:rPr>
        <w:t>1</w:t>
      </w:r>
      <w:r w:rsidRPr="00A14EE6">
        <w:rPr>
          <w:rFonts w:ascii="Times New Roman" w:hAnsi="Times New Roman" w:cs="Times New Roman"/>
          <w:color w:val="000000" w:themeColor="text1"/>
        </w:rPr>
        <w:t xml:space="preserve"> and T is water temperature in ºC.</w:t>
      </w:r>
    </w:p>
    <w:p w14:paraId="4B0CE3E8" w14:textId="586976B6" w:rsidR="00B2418E" w:rsidRPr="00A14EE6" w:rsidRDefault="00B2418E" w:rsidP="00B2418E">
      <w:pPr>
        <w:spacing w:after="240" w:line="360" w:lineRule="auto"/>
        <w:ind w:firstLine="720"/>
        <w:jc w:val="both"/>
        <w:rPr>
          <w:rFonts w:ascii="Times New Roman" w:hAnsi="Times New Roman" w:cs="Times New Roman"/>
          <w:color w:val="000000" w:themeColor="text1"/>
        </w:rPr>
      </w:pPr>
      <w:r w:rsidRPr="00A14EE6">
        <w:rPr>
          <w:rFonts w:ascii="Times New Roman" w:hAnsi="Times New Roman" w:cs="Times New Roman"/>
          <w:color w:val="000000" w:themeColor="text1"/>
        </w:rPr>
        <w:t>The estimated inflow DO concentration was compared against weekly measurements in the Rhone River from 1974 to 2020 and a correction factor of 0.95 was applied for a closer match with field conditions. Performance metrics (RMSE = 0.56 mg L</w:t>
      </w:r>
      <w:r w:rsidRPr="00A14EE6">
        <w:rPr>
          <w:rFonts w:ascii="Times New Roman" w:hAnsi="Times New Roman" w:cs="Times New Roman"/>
          <w:color w:val="000000" w:themeColor="text1"/>
          <w:vertAlign w:val="superscript"/>
        </w:rPr>
        <w:t>–</w:t>
      </w:r>
      <w:r w:rsidRPr="00A14EE6">
        <w:rPr>
          <w:rFonts w:ascii="Times New Roman" w:hAnsi="Times New Roman" w:cs="Times New Roman"/>
          <w:color w:val="000000" w:themeColor="text1"/>
          <w:position w:val="-1"/>
          <w:vertAlign w:val="superscript"/>
        </w:rPr>
        <w:t>1</w:t>
      </w:r>
      <w:r w:rsidRPr="00A14EE6">
        <w:rPr>
          <w:rFonts w:ascii="Times New Roman" w:hAnsi="Times New Roman" w:cs="Times New Roman"/>
          <w:color w:val="000000" w:themeColor="text1"/>
        </w:rPr>
        <w:t xml:space="preserve">; RRMSE = 12%) attested to the agreement between estimations and measurements. As both water temperature and dissolved </w:t>
      </w:r>
      <w:r w:rsidRPr="00A14EE6">
        <w:rPr>
          <w:rFonts w:ascii="Times New Roman" w:hAnsi="Times New Roman" w:cs="Times New Roman"/>
          <w:color w:val="000000" w:themeColor="text1"/>
        </w:rPr>
        <w:lastRenderedPageBreak/>
        <w:t>oxygen were estimated from air temperature, they were calculated for the three different future climatic projections (SSP1-RCP2.6, SSP3-RCP7.0, and SSP5-RCP8.5).</w:t>
      </w:r>
    </w:p>
    <w:p w14:paraId="48901C50" w14:textId="77777777" w:rsidR="00B2418E" w:rsidRPr="00A14EE6" w:rsidRDefault="00B2418E" w:rsidP="00B2418E">
      <w:pPr>
        <w:spacing w:after="240" w:line="360" w:lineRule="auto"/>
        <w:jc w:val="both"/>
        <w:rPr>
          <w:rFonts w:ascii="Times New Roman" w:hAnsi="Times New Roman" w:cs="Times New Roman"/>
          <w:i/>
          <w:iCs/>
          <w:color w:val="000000" w:themeColor="text1"/>
        </w:rPr>
      </w:pPr>
      <w:r w:rsidRPr="00A14EE6">
        <w:rPr>
          <w:rFonts w:ascii="Times New Roman" w:hAnsi="Times New Roman" w:cs="Times New Roman"/>
          <w:i/>
          <w:iCs/>
          <w:color w:val="000000" w:themeColor="text1"/>
        </w:rPr>
        <w:t xml:space="preserve">Inflow nutrients </w:t>
      </w:r>
    </w:p>
    <w:p w14:paraId="5B9B0B84" w14:textId="43A9AD1A" w:rsidR="00B2418E" w:rsidRPr="00A14EE6" w:rsidRDefault="00B2418E" w:rsidP="00B2418E">
      <w:pPr>
        <w:spacing w:after="240" w:line="360" w:lineRule="auto"/>
        <w:ind w:firstLine="720"/>
        <w:jc w:val="both"/>
        <w:rPr>
          <w:rFonts w:ascii="Times New Roman" w:hAnsi="Times New Roman" w:cs="Times New Roman"/>
          <w:color w:val="000000" w:themeColor="text1"/>
        </w:rPr>
      </w:pPr>
      <w:r w:rsidRPr="00A14EE6">
        <w:rPr>
          <w:rFonts w:ascii="Times New Roman" w:hAnsi="Times New Roman" w:cs="Times New Roman"/>
          <w:color w:val="000000" w:themeColor="text1"/>
        </w:rPr>
        <w:t>Daily ammonium, nitrate, and reactive silica concentrations in the inflows were derived by linear interpolation between weekly samples in the Rhone River from 1974 to 2020 (for ammonium, data were available from 1974 to 1986). This method has been used in other model applications</w:t>
      </w:r>
      <w:sdt>
        <w:sdtPr>
          <w:rPr>
            <w:rFonts w:ascii="Times New Roman" w:hAnsi="Times New Roman" w:cs="Times New Roman"/>
            <w:color w:val="000000"/>
            <w:vertAlign w:val="superscript"/>
          </w:rPr>
          <w:tag w:val="MENDELEY_CITATION_v3_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"/>
          <w:id w:val="972255980"/>
          <w:placeholder>
            <w:docPart w:val="1D41F9DD91619A4485A999CA6783360A"/>
          </w:placeholder>
        </w:sdtPr>
        <w:sdtContent>
          <w:r w:rsidR="008E32A9" w:rsidRPr="008E32A9">
            <w:rPr>
              <w:rFonts w:ascii="Times New Roman" w:hAnsi="Times New Roman" w:cs="Times New Roman"/>
              <w:color w:val="000000"/>
              <w:vertAlign w:val="superscript"/>
            </w:rPr>
            <w:t>8,9</w:t>
          </w:r>
        </w:sdtContent>
      </w:sdt>
      <w:r w:rsidRPr="00A14EE6">
        <w:rPr>
          <w:rFonts w:ascii="Times New Roman" w:hAnsi="Times New Roman" w:cs="Times New Roman"/>
          <w:color w:val="000000" w:themeColor="text1"/>
        </w:rPr>
        <w:t xml:space="preserve"> but potentially underestimates the effect of storm events that may not be captured by routine monitoring. A scaling factor of 1.33 was applied to consider the contribution of nutrient inflows in the remaining tributaries. The mean daily concentrations over the period were computed and replicated from 1850 to 2100.</w:t>
      </w:r>
    </w:p>
    <w:p w14:paraId="6615BAB7" w14:textId="77777777" w:rsidR="00B2418E" w:rsidRPr="00A14EE6" w:rsidRDefault="00B2418E" w:rsidP="00B2418E">
      <w:pPr>
        <w:spacing w:after="240" w:line="360" w:lineRule="auto"/>
        <w:jc w:val="both"/>
        <w:rPr>
          <w:rFonts w:ascii="Times New Roman" w:hAnsi="Times New Roman" w:cs="Times New Roman"/>
          <w:color w:val="000000" w:themeColor="text1"/>
        </w:rPr>
      </w:pPr>
      <w:r w:rsidRPr="00A14EE6">
        <w:rPr>
          <w:rFonts w:ascii="Times New Roman" w:hAnsi="Times New Roman" w:cs="Times New Roman"/>
          <w:i/>
          <w:iCs/>
          <w:color w:val="000000" w:themeColor="text1"/>
        </w:rPr>
        <w:t>Inflow organic matter</w:t>
      </w:r>
    </w:p>
    <w:p w14:paraId="6AA8F0AB" w14:textId="6C178B4C" w:rsidR="00B2418E" w:rsidRPr="00A14EE6" w:rsidRDefault="00B2418E" w:rsidP="00B2418E">
      <w:pPr>
        <w:spacing w:after="240" w:line="360" w:lineRule="auto"/>
        <w:ind w:firstLine="720"/>
        <w:jc w:val="both"/>
        <w:rPr>
          <w:rFonts w:ascii="Times New Roman" w:hAnsi="Times New Roman" w:cs="Times New Roman"/>
          <w:color w:val="000000" w:themeColor="text1"/>
        </w:rPr>
      </w:pPr>
      <w:r w:rsidRPr="00A14EE6">
        <w:rPr>
          <w:rFonts w:ascii="Times New Roman" w:hAnsi="Times New Roman" w:cs="Times New Roman"/>
          <w:color w:val="000000" w:themeColor="text1"/>
        </w:rPr>
        <w:t xml:space="preserve">Daily </w:t>
      </w:r>
      <w:r w:rsidR="00D477FE" w:rsidRPr="00A14EE6">
        <w:rPr>
          <w:rFonts w:ascii="Times New Roman" w:hAnsi="Times New Roman" w:cs="Times New Roman"/>
          <w:color w:val="000000" w:themeColor="text1"/>
        </w:rPr>
        <w:t xml:space="preserve">total and </w:t>
      </w:r>
      <w:r w:rsidRPr="00A14EE6">
        <w:rPr>
          <w:rFonts w:ascii="Times New Roman" w:hAnsi="Times New Roman" w:cs="Times New Roman"/>
          <w:color w:val="000000" w:themeColor="text1"/>
        </w:rPr>
        <w:t>dissolved organic carbon in the inflows were derived by linear interpolation between weekly samples in the Rhone River from 1974 to 2020. A scaling factor of 1.33 was applied to consider the contribution of nutrient inflows in the remaining tributaries and the mean daily concentrations over the period were computed and replicated from 1850 to 2100.</w:t>
      </w:r>
      <w:r w:rsidR="00D477FE" w:rsidRPr="00A14EE6">
        <w:rPr>
          <w:rFonts w:ascii="Times New Roman" w:hAnsi="Times New Roman" w:cs="Times New Roman"/>
          <w:color w:val="000000" w:themeColor="text1"/>
        </w:rPr>
        <w:t xml:space="preserve"> Particulate organic carbon was estimated as:</w:t>
      </w:r>
    </w:p>
    <w:p w14:paraId="53872F9E" w14:textId="3A072C68" w:rsidR="00D477FE" w:rsidRPr="00A14EE6" w:rsidRDefault="00D477FE" w:rsidP="00D477FE">
      <w:pPr>
        <w:spacing w:after="240" w:line="360" w:lineRule="auto"/>
        <w:jc w:val="both"/>
        <w:rPr>
          <w:rFonts w:ascii="Times New Roman" w:hAnsi="Times New Roman" w:cs="Times New Roman"/>
          <w:color w:val="000000" w:themeColor="text1"/>
        </w:rPr>
      </w:pPr>
      <m:oMath>
        <m:r>
          <w:rPr>
            <w:rFonts w:ascii="Cambria Math" w:hAnsi="Cambria Math" w:cs="Times New Roman"/>
            <w:color w:val="000000" w:themeColor="text1"/>
          </w:rPr>
          <m:t>POC=TOC-DOC</m:t>
        </m:r>
      </m:oMath>
      <w:r w:rsidRPr="00A14EE6">
        <w:rPr>
          <w:rFonts w:ascii="Times New Roman" w:eastAsiaTheme="minorEastAsia" w:hAnsi="Times New Roman" w:cs="Times New Roman"/>
          <w:color w:val="000000" w:themeColor="text1"/>
        </w:rPr>
        <w:tab/>
      </w:r>
      <w:r w:rsidRPr="00A14EE6">
        <w:rPr>
          <w:rFonts w:ascii="Times New Roman" w:eastAsiaTheme="minorEastAsia" w:hAnsi="Times New Roman" w:cs="Times New Roman"/>
          <w:color w:val="000000" w:themeColor="text1"/>
        </w:rPr>
        <w:tab/>
      </w:r>
      <w:r w:rsidRPr="00A14EE6">
        <w:rPr>
          <w:rFonts w:ascii="Times New Roman" w:eastAsiaTheme="minorEastAsia" w:hAnsi="Times New Roman" w:cs="Times New Roman"/>
          <w:color w:val="000000" w:themeColor="text1"/>
        </w:rPr>
        <w:tab/>
      </w:r>
      <w:r w:rsidRPr="00A14EE6">
        <w:rPr>
          <w:rFonts w:ascii="Times New Roman" w:eastAsiaTheme="minorEastAsia" w:hAnsi="Times New Roman" w:cs="Times New Roman"/>
          <w:color w:val="000000" w:themeColor="text1"/>
        </w:rPr>
        <w:tab/>
      </w:r>
      <w:r w:rsidRPr="00A14EE6">
        <w:rPr>
          <w:rFonts w:ascii="Times New Roman" w:eastAsiaTheme="minorEastAsia" w:hAnsi="Times New Roman" w:cs="Times New Roman"/>
          <w:color w:val="000000" w:themeColor="text1"/>
        </w:rPr>
        <w:tab/>
      </w:r>
      <w:r w:rsidRPr="00A14EE6">
        <w:rPr>
          <w:rFonts w:ascii="Times New Roman" w:eastAsiaTheme="minorEastAsia" w:hAnsi="Times New Roman" w:cs="Times New Roman"/>
          <w:color w:val="000000" w:themeColor="text1"/>
        </w:rPr>
        <w:tab/>
      </w:r>
      <w:r w:rsidRPr="00A14EE6">
        <w:rPr>
          <w:rFonts w:ascii="Times New Roman" w:eastAsiaTheme="minorEastAsia" w:hAnsi="Times New Roman" w:cs="Times New Roman"/>
          <w:color w:val="000000" w:themeColor="text1"/>
        </w:rPr>
        <w:tab/>
      </w:r>
      <w:r w:rsidRPr="00A14EE6">
        <w:rPr>
          <w:rFonts w:ascii="Times New Roman" w:eastAsiaTheme="minorEastAsia" w:hAnsi="Times New Roman" w:cs="Times New Roman"/>
          <w:color w:val="000000" w:themeColor="text1"/>
        </w:rPr>
        <w:tab/>
      </w:r>
      <w:r w:rsidRPr="00A14EE6">
        <w:rPr>
          <w:rFonts w:ascii="Times New Roman" w:eastAsiaTheme="minorEastAsia" w:hAnsi="Times New Roman" w:cs="Times New Roman"/>
          <w:color w:val="000000" w:themeColor="text1"/>
        </w:rPr>
        <w:tab/>
      </w:r>
      <w:r w:rsidRPr="00A14EE6">
        <w:rPr>
          <w:rFonts w:ascii="Times New Roman" w:eastAsiaTheme="minorEastAsia" w:hAnsi="Times New Roman" w:cs="Times New Roman"/>
          <w:color w:val="000000" w:themeColor="text1"/>
        </w:rPr>
        <w:tab/>
        <w:t>(3)</w:t>
      </w:r>
    </w:p>
    <w:p w14:paraId="6E25C96D" w14:textId="67E12B13" w:rsidR="00B2418E" w:rsidRPr="00A14EE6" w:rsidRDefault="00B2418E" w:rsidP="00B2418E">
      <w:pPr>
        <w:autoSpaceDE w:val="0"/>
        <w:autoSpaceDN w:val="0"/>
        <w:adjustRightInd w:val="0"/>
        <w:spacing w:after="240" w:line="360" w:lineRule="auto"/>
        <w:ind w:firstLine="720"/>
        <w:jc w:val="both"/>
        <w:rPr>
          <w:rFonts w:ascii="Times New Roman" w:hAnsi="Times New Roman" w:cs="Times New Roman"/>
          <w:color w:val="000000" w:themeColor="text1"/>
        </w:rPr>
      </w:pPr>
      <w:r w:rsidRPr="00A14EE6">
        <w:rPr>
          <w:rFonts w:ascii="Times New Roman" w:hAnsi="Times New Roman" w:cs="Times New Roman"/>
          <w:color w:val="000000" w:themeColor="text1"/>
        </w:rPr>
        <w:t>In the absence of field measurements on organic nitrogen, they were calculated from inorganic nutrient concentrations and were divided into dissolved (D) and particulate (P) fractions as:</w:t>
      </w:r>
      <w:r w:rsidRPr="00A14EE6">
        <w:rPr>
          <w:rFonts w:ascii="Times New Roman" w:hAnsi="Times New Roman" w:cs="Times New Roman"/>
          <w:color w:val="000000" w:themeColor="text1"/>
        </w:rPr>
        <w:tab/>
      </w:r>
    </w:p>
    <w:p w14:paraId="3AAD5DB9" w14:textId="5A6437B4" w:rsidR="00B2418E" w:rsidRDefault="00B2418E" w:rsidP="00B2418E">
      <w:pPr>
        <w:autoSpaceDE w:val="0"/>
        <w:autoSpaceDN w:val="0"/>
        <w:adjustRightInd w:val="0"/>
        <w:spacing w:after="240" w:line="360" w:lineRule="auto"/>
        <w:jc w:val="both"/>
        <w:rPr>
          <w:rFonts w:ascii="Times New Roman" w:eastAsiaTheme="minorEastAsia" w:hAnsi="Times New Roman" w:cs="Times New Roman"/>
          <w:color w:val="000000" w:themeColor="text1"/>
        </w:rPr>
      </w:pPr>
      <m:oMath>
        <m:r>
          <w:rPr>
            <w:rFonts w:ascii="Cambria Math" w:hAnsi="Cambria Math" w:cs="Times New Roman"/>
            <w:color w:val="000000" w:themeColor="text1"/>
          </w:rPr>
          <m:t>DON or PON=</m:t>
        </m:r>
        <m:f>
          <m:fPr>
            <m:type m:val="lin"/>
            <m:ctrlPr>
              <w:rPr>
                <w:rFonts w:ascii="Cambria Math" w:hAnsi="Cambria Math" w:cs="Times New Roman"/>
                <w:i/>
                <w:color w:val="000000" w:themeColor="text1"/>
              </w:rPr>
            </m:ctrlPr>
          </m:fPr>
          <m:num>
            <m:r>
              <w:rPr>
                <w:rFonts w:ascii="Cambria Math" w:hAnsi="Cambria Math" w:cs="Times New Roman"/>
                <w:color w:val="000000" w:themeColor="text1"/>
              </w:rPr>
              <m:t xml:space="preserve"> </m:t>
            </m:r>
            <m:d>
              <m:dPr>
                <m:ctrlPr>
                  <w:rPr>
                    <w:rFonts w:ascii="Cambria Math" w:hAnsi="Cambria Math" w:cs="Times New Roman"/>
                    <w:i/>
                    <w:color w:val="000000" w:themeColor="text1"/>
                  </w:rPr>
                </m:ctrlPr>
              </m:dPr>
              <m:e>
                <m:r>
                  <w:rPr>
                    <w:rFonts w:ascii="Cambria Math" w:hAnsi="Cambria Math" w:cs="Times New Roman"/>
                    <w:color w:val="000000" w:themeColor="text1"/>
                  </w:rPr>
                  <m:t>TN-</m:t>
                </m:r>
                <m:sSub>
                  <m:sSubPr>
                    <m:ctrlPr>
                      <w:rPr>
                        <w:rFonts w:ascii="Cambria Math" w:hAnsi="Cambria Math" w:cs="Times New Roman"/>
                        <w:i/>
                        <w:color w:val="000000" w:themeColor="text1"/>
                      </w:rPr>
                    </m:ctrlPr>
                  </m:sSubPr>
                  <m:e>
                    <m:r>
                      <w:rPr>
                        <w:rFonts w:ascii="Cambria Math" w:hAnsi="Cambria Math" w:cs="Times New Roman"/>
                        <w:color w:val="000000" w:themeColor="text1"/>
                      </w:rPr>
                      <m:t>NH</m:t>
                    </m:r>
                  </m:e>
                  <m:sub>
                    <m:r>
                      <w:rPr>
                        <w:rFonts w:ascii="Cambria Math" w:hAnsi="Cambria Math" w:cs="Times New Roman"/>
                        <w:color w:val="000000" w:themeColor="text1"/>
                      </w:rPr>
                      <m:t>4</m:t>
                    </m:r>
                  </m:sub>
                </m:sSub>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NO</m:t>
                    </m:r>
                  </m:e>
                  <m:sub>
                    <m:r>
                      <w:rPr>
                        <w:rFonts w:ascii="Cambria Math" w:hAnsi="Cambria Math" w:cs="Times New Roman"/>
                        <w:color w:val="000000" w:themeColor="text1"/>
                      </w:rPr>
                      <m:t>3</m:t>
                    </m:r>
                  </m:sub>
                </m:sSub>
              </m:e>
            </m:d>
          </m:num>
          <m:den>
            <m:r>
              <w:rPr>
                <w:rFonts w:ascii="Cambria Math" w:hAnsi="Cambria Math" w:cs="Times New Roman"/>
                <w:color w:val="000000" w:themeColor="text1"/>
              </w:rPr>
              <m:t>2</m:t>
            </m:r>
          </m:den>
        </m:f>
      </m:oMath>
      <w:r w:rsidRPr="00A14EE6">
        <w:rPr>
          <w:rFonts w:ascii="Times New Roman" w:eastAsiaTheme="minorEastAsia" w:hAnsi="Times New Roman" w:cs="Times New Roman"/>
          <w:color w:val="000000" w:themeColor="text1"/>
        </w:rPr>
        <w:tab/>
      </w:r>
      <w:r w:rsidRPr="00A14EE6">
        <w:rPr>
          <w:rFonts w:ascii="Times New Roman" w:eastAsiaTheme="minorEastAsia" w:hAnsi="Times New Roman" w:cs="Times New Roman"/>
          <w:color w:val="000000" w:themeColor="text1"/>
        </w:rPr>
        <w:tab/>
      </w:r>
      <w:r w:rsidRPr="00A14EE6">
        <w:rPr>
          <w:rFonts w:ascii="Times New Roman" w:eastAsiaTheme="minorEastAsia" w:hAnsi="Times New Roman" w:cs="Times New Roman"/>
          <w:color w:val="000000" w:themeColor="text1"/>
        </w:rPr>
        <w:tab/>
      </w:r>
      <w:r w:rsidRPr="00A14EE6">
        <w:rPr>
          <w:rFonts w:ascii="Times New Roman" w:eastAsiaTheme="minorEastAsia" w:hAnsi="Times New Roman" w:cs="Times New Roman"/>
          <w:color w:val="000000" w:themeColor="text1"/>
        </w:rPr>
        <w:tab/>
      </w:r>
      <w:r w:rsidRPr="00A14EE6">
        <w:rPr>
          <w:rFonts w:ascii="Times New Roman" w:eastAsiaTheme="minorEastAsia" w:hAnsi="Times New Roman" w:cs="Times New Roman"/>
          <w:color w:val="000000" w:themeColor="text1"/>
        </w:rPr>
        <w:tab/>
      </w:r>
      <w:r w:rsidRPr="00A14EE6">
        <w:rPr>
          <w:rFonts w:ascii="Times New Roman" w:eastAsiaTheme="minorEastAsia" w:hAnsi="Times New Roman" w:cs="Times New Roman"/>
          <w:color w:val="000000" w:themeColor="text1"/>
        </w:rPr>
        <w:tab/>
      </w:r>
      <w:r w:rsidRPr="00A14EE6">
        <w:rPr>
          <w:rFonts w:ascii="Times New Roman" w:eastAsiaTheme="minorEastAsia" w:hAnsi="Times New Roman" w:cs="Times New Roman"/>
          <w:color w:val="000000" w:themeColor="text1"/>
        </w:rPr>
        <w:tab/>
        <w:t>(</w:t>
      </w:r>
      <w:r w:rsidR="00D477FE" w:rsidRPr="00A14EE6">
        <w:rPr>
          <w:rFonts w:ascii="Times New Roman" w:eastAsiaTheme="minorEastAsia" w:hAnsi="Times New Roman" w:cs="Times New Roman"/>
          <w:color w:val="000000" w:themeColor="text1"/>
        </w:rPr>
        <w:t>4</w:t>
      </w:r>
      <w:r w:rsidRPr="00A14EE6">
        <w:rPr>
          <w:rFonts w:ascii="Times New Roman" w:eastAsiaTheme="minorEastAsia" w:hAnsi="Times New Roman" w:cs="Times New Roman"/>
          <w:color w:val="000000" w:themeColor="text1"/>
        </w:rPr>
        <w:t>)</w:t>
      </w:r>
    </w:p>
    <w:p w14:paraId="27F1571A" w14:textId="4DE4A2D1" w:rsidR="00B2418E" w:rsidRPr="00A14EE6" w:rsidRDefault="00F84704" w:rsidP="00F84704">
      <w:pPr>
        <w:autoSpaceDE w:val="0"/>
        <w:autoSpaceDN w:val="0"/>
        <w:adjustRightInd w:val="0"/>
        <w:spacing w:after="240" w:line="360" w:lineRule="auto"/>
        <w:jc w:val="both"/>
        <w:rPr>
          <w:rFonts w:ascii="Times New Roman" w:eastAsiaTheme="minorEastAsia" w:hAnsi="Times New Roman" w:cs="Times New Roman"/>
          <w:color w:val="000000" w:themeColor="text1"/>
        </w:rPr>
      </w:pPr>
      <w:r>
        <w:rPr>
          <w:rFonts w:ascii="Times New Roman" w:eastAsiaTheme="minorEastAsia" w:hAnsi="Times New Roman" w:cs="Times New Roman"/>
          <w:noProof/>
          <w:color w:val="000000" w:themeColor="text1"/>
        </w:rPr>
        <w:lastRenderedPageBreak/>
        <w:drawing>
          <wp:inline distT="0" distB="0" distL="0" distR="0" wp14:anchorId="60841552" wp14:editId="6995317F">
            <wp:extent cx="6473952" cy="4546291"/>
            <wp:effectExtent l="0" t="0" r="3175" b="635"/>
            <wp:docPr id="49297801"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97801" name="Picture 1" descr="A screenshot of a computer screen&#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473952" cy="4546291"/>
                    </a:xfrm>
                    <a:prstGeom prst="rect">
                      <a:avLst/>
                    </a:prstGeom>
                  </pic:spPr>
                </pic:pic>
              </a:graphicData>
            </a:graphic>
          </wp:inline>
        </w:drawing>
      </w:r>
    </w:p>
    <w:p w14:paraId="0AA9185F" w14:textId="574705C4" w:rsidR="00C6405E" w:rsidRPr="00F84704" w:rsidRDefault="00B2418E" w:rsidP="00F84704">
      <w:pPr>
        <w:autoSpaceDE w:val="0"/>
        <w:autoSpaceDN w:val="0"/>
        <w:adjustRightInd w:val="0"/>
        <w:spacing w:line="360" w:lineRule="auto"/>
        <w:jc w:val="both"/>
        <w:rPr>
          <w:rFonts w:ascii="Times New Roman" w:eastAsiaTheme="minorEastAsia" w:hAnsi="Times New Roman" w:cs="Times New Roman"/>
          <w:color w:val="000000" w:themeColor="text1"/>
        </w:rPr>
      </w:pPr>
      <w:r w:rsidRPr="00A14EE6">
        <w:rPr>
          <w:rFonts w:ascii="Times New Roman" w:eastAsiaTheme="minorEastAsia" w:hAnsi="Times New Roman" w:cs="Times New Roman"/>
          <w:b/>
          <w:bCs/>
          <w:color w:val="000000" w:themeColor="text1"/>
        </w:rPr>
        <w:t>Fig. S3 | Input inflow forcing data to the GLM-AED2 model applied to Lake Geneva from 1850 to 2100.</w:t>
      </w:r>
      <w:r w:rsidRPr="00A14EE6">
        <w:rPr>
          <w:rFonts w:ascii="Times New Roman" w:eastAsiaTheme="minorEastAsia" w:hAnsi="Times New Roman" w:cs="Times New Roman"/>
          <w:color w:val="000000" w:themeColor="text1"/>
        </w:rPr>
        <w:t xml:space="preserve"> a) inflow and outflow discharge, b) salinity, c) water temperature, d) dissolved oxygen, e) ammonium, f) nitrate, g) silicate, h) dissolved organic carbon, </w:t>
      </w:r>
      <w:proofErr w:type="spellStart"/>
      <w:r w:rsidRPr="00A14EE6">
        <w:rPr>
          <w:rFonts w:ascii="Times New Roman" w:eastAsiaTheme="minorEastAsia" w:hAnsi="Times New Roman" w:cs="Times New Roman"/>
          <w:color w:val="000000" w:themeColor="text1"/>
        </w:rPr>
        <w:t>i</w:t>
      </w:r>
      <w:proofErr w:type="spellEnd"/>
      <w:r w:rsidRPr="00A14EE6">
        <w:rPr>
          <w:rFonts w:ascii="Times New Roman" w:eastAsiaTheme="minorEastAsia" w:hAnsi="Times New Roman" w:cs="Times New Roman"/>
          <w:color w:val="000000" w:themeColor="text1"/>
        </w:rPr>
        <w:t>) particulate organic carbon, and j) dissolved and particulate organic nitrogen.</w:t>
      </w:r>
    </w:p>
    <w:p w14:paraId="6D15C7C3" w14:textId="77777777" w:rsidR="00F84704" w:rsidRDefault="00F84704">
      <w:pPr>
        <w:rPr>
          <w:rFonts w:ascii="Times New Roman" w:eastAsiaTheme="minorEastAsia" w:hAnsi="Times New Roman" w:cs="Times New Roman"/>
          <w:b/>
          <w:bCs/>
          <w:color w:val="000000" w:themeColor="text1"/>
        </w:rPr>
      </w:pPr>
      <w:r>
        <w:rPr>
          <w:rFonts w:eastAsiaTheme="minorEastAsia"/>
          <w:b/>
          <w:bCs/>
          <w:color w:val="000000" w:themeColor="text1"/>
        </w:rPr>
        <w:br w:type="page"/>
      </w:r>
    </w:p>
    <w:p w14:paraId="7778262D" w14:textId="5AB501E0" w:rsidR="00B2418E" w:rsidRPr="00A14EE6" w:rsidRDefault="00B2418E" w:rsidP="00B2418E">
      <w:pPr>
        <w:pStyle w:val="NormalWeb"/>
        <w:jc w:val="both"/>
        <w:rPr>
          <w:rFonts w:eastAsiaTheme="minorEastAsia"/>
          <w:b/>
          <w:bCs/>
          <w:color w:val="000000" w:themeColor="text1"/>
        </w:rPr>
      </w:pPr>
      <w:r w:rsidRPr="00A14EE6">
        <w:rPr>
          <w:rFonts w:eastAsiaTheme="minorEastAsia"/>
          <w:b/>
          <w:bCs/>
          <w:color w:val="000000" w:themeColor="text1"/>
        </w:rPr>
        <w:lastRenderedPageBreak/>
        <w:t>Table S</w:t>
      </w:r>
      <w:r w:rsidR="00C6405E" w:rsidRPr="00A14EE6">
        <w:rPr>
          <w:rFonts w:eastAsiaTheme="minorEastAsia"/>
          <w:b/>
          <w:bCs/>
          <w:color w:val="000000" w:themeColor="text1"/>
        </w:rPr>
        <w:t>1</w:t>
      </w:r>
      <w:r w:rsidRPr="00A14EE6">
        <w:rPr>
          <w:rFonts w:eastAsiaTheme="minorEastAsia"/>
          <w:b/>
          <w:bCs/>
          <w:color w:val="000000" w:themeColor="text1"/>
        </w:rPr>
        <w:t xml:space="preserve">. Methods applied for long-term reconstructions of model forcing data for the historical simulations and future projections. </w:t>
      </w:r>
    </w:p>
    <w:tbl>
      <w:tblPr>
        <w:tblStyle w:val="TableGrid"/>
        <w:tblW w:w="11749" w:type="dxa"/>
        <w:tblInd w:w="-1134"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84"/>
        <w:gridCol w:w="4715"/>
        <w:gridCol w:w="3150"/>
      </w:tblGrid>
      <w:tr w:rsidR="00A14EE6" w:rsidRPr="00A14EE6" w14:paraId="638D6F50" w14:textId="77777777" w:rsidTr="00130D55">
        <w:tc>
          <w:tcPr>
            <w:tcW w:w="3884" w:type="dxa"/>
            <w:tcBorders>
              <w:top w:val="single" w:sz="4" w:space="0" w:color="auto"/>
              <w:bottom w:val="single" w:sz="4" w:space="0" w:color="auto"/>
            </w:tcBorders>
          </w:tcPr>
          <w:p w14:paraId="575D8B6D" w14:textId="77777777" w:rsidR="00B2418E" w:rsidRPr="00A14EE6" w:rsidRDefault="00B2418E" w:rsidP="00130D55">
            <w:pPr>
              <w:pStyle w:val="NormalWeb"/>
              <w:spacing w:before="0" w:beforeAutospacing="0" w:after="0" w:afterAutospacing="0"/>
              <w:rPr>
                <w:color w:val="000000" w:themeColor="text1"/>
              </w:rPr>
            </w:pPr>
            <w:r w:rsidRPr="00A14EE6">
              <w:rPr>
                <w:color w:val="000000" w:themeColor="text1"/>
              </w:rPr>
              <w:t>Driver</w:t>
            </w:r>
          </w:p>
        </w:tc>
        <w:tc>
          <w:tcPr>
            <w:tcW w:w="4715" w:type="dxa"/>
            <w:tcBorders>
              <w:top w:val="single" w:sz="4" w:space="0" w:color="auto"/>
              <w:bottom w:val="single" w:sz="4" w:space="0" w:color="auto"/>
            </w:tcBorders>
          </w:tcPr>
          <w:p w14:paraId="3ABAB0D6" w14:textId="77777777" w:rsidR="00B2418E" w:rsidRPr="00A14EE6" w:rsidRDefault="00B2418E" w:rsidP="00130D55">
            <w:pPr>
              <w:pStyle w:val="NormalWeb"/>
              <w:spacing w:before="0" w:beforeAutospacing="0" w:after="0" w:afterAutospacing="0"/>
              <w:rPr>
                <w:color w:val="000000" w:themeColor="text1"/>
              </w:rPr>
            </w:pPr>
            <w:r w:rsidRPr="00A14EE6">
              <w:rPr>
                <w:color w:val="000000" w:themeColor="text1"/>
              </w:rPr>
              <w:t>Historical reconstruction</w:t>
            </w:r>
          </w:p>
        </w:tc>
        <w:tc>
          <w:tcPr>
            <w:tcW w:w="3150" w:type="dxa"/>
            <w:tcBorders>
              <w:top w:val="single" w:sz="4" w:space="0" w:color="auto"/>
              <w:bottom w:val="single" w:sz="4" w:space="0" w:color="auto"/>
            </w:tcBorders>
          </w:tcPr>
          <w:p w14:paraId="271ECC39" w14:textId="77777777" w:rsidR="00B2418E" w:rsidRPr="00A14EE6" w:rsidRDefault="00B2418E" w:rsidP="00130D55">
            <w:pPr>
              <w:pStyle w:val="NormalWeb"/>
              <w:spacing w:before="0" w:beforeAutospacing="0" w:after="0" w:afterAutospacing="0"/>
              <w:rPr>
                <w:color w:val="000000" w:themeColor="text1"/>
              </w:rPr>
            </w:pPr>
            <w:r w:rsidRPr="00A14EE6">
              <w:rPr>
                <w:color w:val="000000" w:themeColor="text1"/>
              </w:rPr>
              <w:t>Future projections</w:t>
            </w:r>
          </w:p>
        </w:tc>
      </w:tr>
      <w:tr w:rsidR="00A14EE6" w:rsidRPr="00A14EE6" w14:paraId="510AAA22" w14:textId="77777777" w:rsidTr="00130D55">
        <w:trPr>
          <w:trHeight w:val="1439"/>
        </w:trPr>
        <w:tc>
          <w:tcPr>
            <w:tcW w:w="3884" w:type="dxa"/>
            <w:tcBorders>
              <w:top w:val="single" w:sz="4" w:space="0" w:color="auto"/>
              <w:bottom w:val="single" w:sz="4" w:space="0" w:color="D9D9D9" w:themeColor="background1" w:themeShade="D9"/>
            </w:tcBorders>
          </w:tcPr>
          <w:p w14:paraId="43F42A47" w14:textId="77777777" w:rsidR="00B2418E" w:rsidRPr="00A14EE6" w:rsidRDefault="00B2418E" w:rsidP="00130D55">
            <w:pPr>
              <w:pStyle w:val="NormalWeb"/>
              <w:spacing w:before="0" w:beforeAutospacing="0" w:after="0" w:afterAutospacing="0"/>
              <w:rPr>
                <w:color w:val="000000" w:themeColor="text1"/>
              </w:rPr>
            </w:pPr>
            <w:r w:rsidRPr="00A14EE6">
              <w:rPr>
                <w:color w:val="000000" w:themeColor="text1"/>
              </w:rPr>
              <w:t>Inflow discharge</w:t>
            </w:r>
          </w:p>
          <w:p w14:paraId="0906B3F2" w14:textId="77777777" w:rsidR="00B2418E" w:rsidRPr="00A14EE6" w:rsidRDefault="00B2418E" w:rsidP="00130D55">
            <w:pPr>
              <w:pStyle w:val="NormalWeb"/>
              <w:spacing w:before="0" w:beforeAutospacing="0" w:after="0" w:afterAutospacing="0"/>
              <w:rPr>
                <w:color w:val="000000" w:themeColor="text1"/>
              </w:rPr>
            </w:pPr>
            <w:r w:rsidRPr="00A14EE6">
              <w:rPr>
                <w:color w:val="000000" w:themeColor="text1"/>
              </w:rPr>
              <w:t>Outflow discharge</w:t>
            </w:r>
          </w:p>
        </w:tc>
        <w:tc>
          <w:tcPr>
            <w:tcW w:w="4715" w:type="dxa"/>
            <w:tcBorders>
              <w:top w:val="single" w:sz="4" w:space="0" w:color="auto"/>
              <w:bottom w:val="single" w:sz="4" w:space="0" w:color="D9D9D9" w:themeColor="background1" w:themeShade="D9"/>
            </w:tcBorders>
          </w:tcPr>
          <w:p w14:paraId="61320FB2" w14:textId="5DC53128" w:rsidR="00B2418E" w:rsidRPr="00A14EE6" w:rsidRDefault="00B2418E" w:rsidP="00130D55">
            <w:pPr>
              <w:pStyle w:val="NormalWeb"/>
              <w:spacing w:before="0" w:beforeAutospacing="0" w:after="0" w:afterAutospacing="0"/>
              <w:rPr>
                <w:color w:val="000000" w:themeColor="text1"/>
              </w:rPr>
            </w:pPr>
            <w:r w:rsidRPr="00A14EE6">
              <w:rPr>
                <w:color w:val="000000" w:themeColor="text1"/>
              </w:rPr>
              <w:t xml:space="preserve">Inflow discharge was assumed equal to outflow discharge in face of a small lake level variation (0.3%). Linear interpolation of monthly outflow discharges. Replication of daily means </w:t>
            </w:r>
            <w:r w:rsidR="006F6EE5" w:rsidRPr="00A14EE6">
              <w:rPr>
                <w:color w:val="000000" w:themeColor="text1"/>
              </w:rPr>
              <w:t xml:space="preserve">each year </w:t>
            </w:r>
            <w:r w:rsidRPr="00A14EE6">
              <w:rPr>
                <w:color w:val="000000" w:themeColor="text1"/>
              </w:rPr>
              <w:t>for 1850–2014 period.</w:t>
            </w:r>
          </w:p>
        </w:tc>
        <w:tc>
          <w:tcPr>
            <w:tcW w:w="3150" w:type="dxa"/>
            <w:vMerge w:val="restart"/>
            <w:tcBorders>
              <w:top w:val="single" w:sz="4" w:space="0" w:color="auto"/>
              <w:bottom w:val="single" w:sz="4" w:space="0" w:color="D9D9D9" w:themeColor="background1" w:themeShade="D9"/>
            </w:tcBorders>
            <w:vAlign w:val="center"/>
          </w:tcPr>
          <w:p w14:paraId="58911620" w14:textId="77777777" w:rsidR="00B2418E" w:rsidRPr="00A14EE6" w:rsidRDefault="00B2418E" w:rsidP="00130D55">
            <w:pPr>
              <w:pStyle w:val="NormalWeb"/>
              <w:spacing w:before="0" w:beforeAutospacing="0" w:after="0" w:afterAutospacing="0"/>
              <w:rPr>
                <w:color w:val="000000" w:themeColor="text1"/>
              </w:rPr>
            </w:pPr>
            <w:r w:rsidRPr="00A14EE6">
              <w:rPr>
                <w:color w:val="000000" w:themeColor="text1"/>
              </w:rPr>
              <w:t>To isolate the effects of future climatic forcing directly on the lake, it was kept constant. Adoption of the replicated daily means for 2015–2100 period.</w:t>
            </w:r>
          </w:p>
        </w:tc>
      </w:tr>
      <w:tr w:rsidR="00A14EE6" w:rsidRPr="00A14EE6" w14:paraId="33FDE681" w14:textId="77777777" w:rsidTr="00130D55">
        <w:trPr>
          <w:trHeight w:val="2411"/>
        </w:trPr>
        <w:tc>
          <w:tcPr>
            <w:tcW w:w="3884" w:type="dxa"/>
            <w:tcBorders>
              <w:top w:val="single" w:sz="4" w:space="0" w:color="D9D9D9" w:themeColor="background1" w:themeShade="D9"/>
              <w:bottom w:val="single" w:sz="4" w:space="0" w:color="D9D9D9" w:themeColor="background1" w:themeShade="D9"/>
            </w:tcBorders>
          </w:tcPr>
          <w:p w14:paraId="212DB265" w14:textId="77777777" w:rsidR="00B2418E" w:rsidRPr="00A14EE6" w:rsidRDefault="00B2418E" w:rsidP="00130D55">
            <w:pPr>
              <w:pStyle w:val="NormalWeb"/>
              <w:spacing w:before="0" w:beforeAutospacing="0" w:after="0" w:afterAutospacing="0"/>
              <w:rPr>
                <w:color w:val="000000" w:themeColor="text1"/>
              </w:rPr>
            </w:pPr>
            <w:r w:rsidRPr="00A14EE6">
              <w:rPr>
                <w:color w:val="000000" w:themeColor="text1"/>
              </w:rPr>
              <w:t>Inflow salinity</w:t>
            </w:r>
          </w:p>
        </w:tc>
        <w:tc>
          <w:tcPr>
            <w:tcW w:w="4715" w:type="dxa"/>
            <w:tcBorders>
              <w:top w:val="single" w:sz="4" w:space="0" w:color="D9D9D9" w:themeColor="background1" w:themeShade="D9"/>
              <w:bottom w:val="single" w:sz="4" w:space="0" w:color="D9D9D9" w:themeColor="background1" w:themeShade="D9"/>
            </w:tcBorders>
          </w:tcPr>
          <w:p w14:paraId="71219093" w14:textId="77777777" w:rsidR="00B2418E" w:rsidRPr="00A14EE6" w:rsidRDefault="00B2418E" w:rsidP="00130D55">
            <w:pPr>
              <w:pStyle w:val="NormalWeb"/>
              <w:shd w:val="clear" w:color="auto" w:fill="FFFFFF"/>
              <w:spacing w:before="0" w:beforeAutospacing="0" w:after="0" w:afterAutospacing="0"/>
              <w:rPr>
                <w:color w:val="000000" w:themeColor="text1"/>
              </w:rPr>
            </w:pPr>
            <w:r w:rsidRPr="00A14EE6">
              <w:rPr>
                <w:color w:val="000000" w:themeColor="text1"/>
              </w:rPr>
              <w:t xml:space="preserve">Linear interpolation of monthly chloride. Application of a scaling factor of 1.33 to account for the contribution of the remaining tributaries. Salinity was determined using the relationship: </w:t>
            </w:r>
          </w:p>
          <w:p w14:paraId="2FB446F9" w14:textId="77777777" w:rsidR="00B2418E" w:rsidRPr="00A14EE6" w:rsidRDefault="00B2418E" w:rsidP="00130D55">
            <w:pPr>
              <w:pStyle w:val="NormalWeb"/>
              <w:shd w:val="clear" w:color="auto" w:fill="FFFFFF"/>
              <w:spacing w:before="0" w:beforeAutospacing="0" w:after="0" w:afterAutospacing="0"/>
              <w:rPr>
                <w:color w:val="000000" w:themeColor="text1"/>
              </w:rPr>
            </w:pPr>
            <w:r w:rsidRPr="00A14EE6">
              <w:rPr>
                <w:color w:val="000000" w:themeColor="text1"/>
              </w:rPr>
              <w:t xml:space="preserve">salinity (ppt) = 0.0018066 </w:t>
            </w:r>
            <m:oMath>
              <m:r>
                <w:rPr>
                  <w:rFonts w:ascii="Cambria Math" w:hAnsi="Cambria Math"/>
                  <w:color w:val="000000" w:themeColor="text1"/>
                </w:rPr>
                <m:t>×</m:t>
              </m:r>
            </m:oMath>
            <w:r w:rsidRPr="00A14EE6">
              <w:rPr>
                <w:color w:val="000000" w:themeColor="text1"/>
              </w:rPr>
              <w:t xml:space="preserve"> Cl</w:t>
            </w:r>
            <w:r w:rsidRPr="00A14EE6">
              <w:rPr>
                <w:color w:val="000000" w:themeColor="text1"/>
                <w:position w:val="8"/>
              </w:rPr>
              <w:t xml:space="preserve">– </w:t>
            </w:r>
            <w:r w:rsidRPr="00A14EE6">
              <w:rPr>
                <w:color w:val="000000" w:themeColor="text1"/>
              </w:rPr>
              <w:t>(mg/L)</w:t>
            </w:r>
          </w:p>
          <w:p w14:paraId="321383C4" w14:textId="617EEDAF" w:rsidR="00B2418E" w:rsidRPr="00A14EE6" w:rsidRDefault="00B2418E" w:rsidP="00130D55">
            <w:pPr>
              <w:jc w:val="both"/>
              <w:rPr>
                <w:rFonts w:ascii="Times New Roman" w:hAnsi="Times New Roman" w:cs="Times New Roman"/>
                <w:color w:val="000000" w:themeColor="text1"/>
              </w:rPr>
            </w:pPr>
            <w:r w:rsidRPr="00A14EE6">
              <w:rPr>
                <w:rFonts w:ascii="Times New Roman" w:hAnsi="Times New Roman" w:cs="Times New Roman"/>
                <w:color w:val="000000" w:themeColor="text1"/>
              </w:rPr>
              <w:t xml:space="preserve">Replication of daily </w:t>
            </w:r>
            <w:r w:rsidRPr="00A14EE6">
              <w:rPr>
                <w:rFonts w:ascii="Times New Roman" w:eastAsia="Times New Roman" w:hAnsi="Times New Roman" w:cs="Times New Roman"/>
                <w:color w:val="000000" w:themeColor="text1"/>
              </w:rPr>
              <w:t>means</w:t>
            </w:r>
            <w:r w:rsidR="006F6EE5" w:rsidRPr="00A14EE6">
              <w:rPr>
                <w:rFonts w:ascii="Times New Roman" w:eastAsia="Times New Roman" w:hAnsi="Times New Roman" w:cs="Times New Roman"/>
                <w:color w:val="000000" w:themeColor="text1"/>
              </w:rPr>
              <w:t xml:space="preserve"> </w:t>
            </w:r>
            <w:r w:rsidR="006F6EE5" w:rsidRPr="00A14EE6">
              <w:rPr>
                <w:rFonts w:ascii="Times New Roman" w:hAnsi="Times New Roman" w:cs="Times New Roman"/>
                <w:color w:val="000000" w:themeColor="text1"/>
              </w:rPr>
              <w:t>each yea</w:t>
            </w:r>
            <w:r w:rsidR="006F6EE5" w:rsidRPr="00A14EE6">
              <w:rPr>
                <w:color w:val="000000" w:themeColor="text1"/>
              </w:rPr>
              <w:t>r</w:t>
            </w:r>
            <w:r w:rsidRPr="00A14EE6">
              <w:rPr>
                <w:rFonts w:ascii="Times New Roman" w:eastAsia="Times New Roman" w:hAnsi="Times New Roman" w:cs="Times New Roman"/>
                <w:color w:val="000000" w:themeColor="text1"/>
              </w:rPr>
              <w:t xml:space="preserve"> for 1850–2014 period.</w:t>
            </w:r>
          </w:p>
        </w:tc>
        <w:tc>
          <w:tcPr>
            <w:tcW w:w="3150" w:type="dxa"/>
            <w:vMerge/>
            <w:tcBorders>
              <w:top w:val="single" w:sz="4" w:space="0" w:color="D9D9D9" w:themeColor="background1" w:themeShade="D9"/>
              <w:bottom w:val="single" w:sz="4" w:space="0" w:color="D9D9D9" w:themeColor="background1" w:themeShade="D9"/>
            </w:tcBorders>
          </w:tcPr>
          <w:p w14:paraId="31B2D0B8" w14:textId="77777777" w:rsidR="00B2418E" w:rsidRPr="00A14EE6" w:rsidRDefault="00B2418E" w:rsidP="00130D55">
            <w:pPr>
              <w:pStyle w:val="NormalWeb"/>
              <w:spacing w:before="0" w:beforeAutospacing="0" w:after="0" w:afterAutospacing="0"/>
              <w:rPr>
                <w:color w:val="000000" w:themeColor="text1"/>
              </w:rPr>
            </w:pPr>
          </w:p>
        </w:tc>
      </w:tr>
      <w:tr w:rsidR="00A14EE6" w:rsidRPr="00A14EE6" w14:paraId="6F8C26FF" w14:textId="77777777" w:rsidTr="00130D55">
        <w:trPr>
          <w:trHeight w:val="800"/>
        </w:trPr>
        <w:tc>
          <w:tcPr>
            <w:tcW w:w="3884" w:type="dxa"/>
            <w:tcBorders>
              <w:top w:val="single" w:sz="4" w:space="0" w:color="D9D9D9" w:themeColor="background1" w:themeShade="D9"/>
              <w:bottom w:val="single" w:sz="4" w:space="0" w:color="D9D9D9" w:themeColor="background1" w:themeShade="D9"/>
            </w:tcBorders>
          </w:tcPr>
          <w:p w14:paraId="2E80BD87" w14:textId="77777777" w:rsidR="00B2418E" w:rsidRPr="00A14EE6" w:rsidRDefault="00B2418E" w:rsidP="00130D55">
            <w:pPr>
              <w:pStyle w:val="NormalWeb"/>
              <w:spacing w:before="0" w:beforeAutospacing="0" w:after="0" w:afterAutospacing="0"/>
              <w:rPr>
                <w:color w:val="000000" w:themeColor="text1"/>
              </w:rPr>
            </w:pPr>
            <w:r w:rsidRPr="00A14EE6">
              <w:rPr>
                <w:color w:val="000000" w:themeColor="text1"/>
              </w:rPr>
              <w:t>Inflow temperature</w:t>
            </w:r>
          </w:p>
        </w:tc>
        <w:tc>
          <w:tcPr>
            <w:tcW w:w="7865" w:type="dxa"/>
            <w:gridSpan w:val="2"/>
            <w:tcBorders>
              <w:top w:val="single" w:sz="4" w:space="0" w:color="D9D9D9" w:themeColor="background1" w:themeShade="D9"/>
              <w:bottom w:val="single" w:sz="4" w:space="0" w:color="D9D9D9" w:themeColor="background1" w:themeShade="D9"/>
            </w:tcBorders>
          </w:tcPr>
          <w:p w14:paraId="1BF3B5A4" w14:textId="77777777" w:rsidR="00B2418E" w:rsidRPr="00A14EE6" w:rsidRDefault="00B2418E" w:rsidP="00130D55">
            <w:pPr>
              <w:pStyle w:val="NormalWeb"/>
              <w:spacing w:before="0" w:beforeAutospacing="0" w:after="0" w:afterAutospacing="0"/>
              <w:rPr>
                <w:color w:val="000000" w:themeColor="text1"/>
              </w:rPr>
            </w:pPr>
            <w:r w:rsidRPr="00A14EE6">
              <w:rPr>
                <w:color w:val="000000" w:themeColor="text1"/>
              </w:rPr>
              <w:t>Estimated by the air2stream model as a function of air temperature and inflow discharge for 1850–2100 period.</w:t>
            </w:r>
          </w:p>
        </w:tc>
      </w:tr>
      <w:tr w:rsidR="00A14EE6" w:rsidRPr="00A14EE6" w14:paraId="0169415D" w14:textId="77777777" w:rsidTr="00130D55">
        <w:tc>
          <w:tcPr>
            <w:tcW w:w="3884" w:type="dxa"/>
            <w:tcBorders>
              <w:top w:val="single" w:sz="4" w:space="0" w:color="D9D9D9" w:themeColor="background1" w:themeShade="D9"/>
              <w:bottom w:val="single" w:sz="4" w:space="0" w:color="D9D9D9" w:themeColor="background1" w:themeShade="D9"/>
            </w:tcBorders>
          </w:tcPr>
          <w:p w14:paraId="6EC0FD58" w14:textId="77777777" w:rsidR="00B2418E" w:rsidRPr="00A14EE6" w:rsidRDefault="00B2418E" w:rsidP="00130D55">
            <w:pPr>
              <w:pStyle w:val="NormalWeb"/>
              <w:spacing w:before="0" w:beforeAutospacing="0" w:after="0" w:afterAutospacing="0"/>
              <w:rPr>
                <w:color w:val="000000" w:themeColor="text1"/>
              </w:rPr>
            </w:pPr>
            <w:r w:rsidRPr="00A14EE6">
              <w:rPr>
                <w:color w:val="000000" w:themeColor="text1"/>
              </w:rPr>
              <w:t>Inflow oxygen</w:t>
            </w:r>
          </w:p>
        </w:tc>
        <w:tc>
          <w:tcPr>
            <w:tcW w:w="7865" w:type="dxa"/>
            <w:gridSpan w:val="2"/>
            <w:tcBorders>
              <w:top w:val="single" w:sz="4" w:space="0" w:color="D9D9D9" w:themeColor="background1" w:themeShade="D9"/>
              <w:bottom w:val="single" w:sz="4" w:space="0" w:color="D9D9D9" w:themeColor="background1" w:themeShade="D9"/>
            </w:tcBorders>
          </w:tcPr>
          <w:p w14:paraId="7CC40AC8" w14:textId="77777777" w:rsidR="00B2418E" w:rsidRPr="00A14EE6" w:rsidRDefault="00B2418E" w:rsidP="00130D55">
            <w:pPr>
              <w:jc w:val="both"/>
              <w:rPr>
                <w:rFonts w:ascii="Times New Roman" w:hAnsi="Times New Roman" w:cs="Times New Roman"/>
                <w:color w:val="000000" w:themeColor="text1"/>
              </w:rPr>
            </w:pPr>
            <w:r w:rsidRPr="00A14EE6">
              <w:rPr>
                <w:rFonts w:ascii="Times New Roman" w:hAnsi="Times New Roman" w:cs="Times New Roman"/>
                <w:color w:val="000000" w:themeColor="text1"/>
              </w:rPr>
              <w:t xml:space="preserve">Estimated as a function of water temperature assuming 100% saturation at the inflow </w:t>
            </w:r>
            <w:r w:rsidRPr="00A14EE6">
              <w:rPr>
                <w:rFonts w:ascii="Times New Roman" w:eastAsia="Times New Roman" w:hAnsi="Times New Roman" w:cs="Times New Roman"/>
                <w:color w:val="000000" w:themeColor="text1"/>
              </w:rPr>
              <w:t>for 1850–2100 period as</w:t>
            </w:r>
            <w:r w:rsidRPr="00A14EE6">
              <w:rPr>
                <w:rFonts w:ascii="Times New Roman" w:hAnsi="Times New Roman" w:cs="Times New Roman"/>
                <w:color w:val="000000" w:themeColor="text1"/>
              </w:rPr>
              <w:t>:</w:t>
            </w:r>
          </w:p>
          <w:p w14:paraId="07DE9791" w14:textId="77777777" w:rsidR="00B2418E" w:rsidRPr="00A14EE6" w:rsidRDefault="00B2418E" w:rsidP="00130D55">
            <w:pPr>
              <w:pStyle w:val="NormalWeb"/>
              <w:spacing w:before="0" w:beforeAutospacing="0" w:after="0" w:afterAutospacing="0"/>
              <w:rPr>
                <w:color w:val="000000" w:themeColor="text1"/>
              </w:rPr>
            </w:pPr>
            <m:oMath>
              <m:r>
                <w:rPr>
                  <w:rFonts w:ascii="Cambria Math" w:hAnsi="Cambria Math"/>
                  <w:color w:val="000000" w:themeColor="text1"/>
                </w:rPr>
                <m:t>DO=exp</m:t>
              </m:r>
              <m:d>
                <m:dPr>
                  <m:ctrlPr>
                    <w:rPr>
                      <w:rFonts w:ascii="Cambria Math" w:hAnsi="Cambria Math"/>
                      <w:i/>
                      <w:color w:val="000000" w:themeColor="text1"/>
                    </w:rPr>
                  </m:ctrlPr>
                </m:dPr>
                <m:e>
                  <m:r>
                    <w:rPr>
                      <w:rFonts w:ascii="Cambria Math" w:hAnsi="Cambria Math"/>
                      <w:color w:val="000000" w:themeColor="text1"/>
                    </w:rPr>
                    <m:t>7.71-1.31ln</m:t>
                  </m:r>
                  <m:d>
                    <m:dPr>
                      <m:ctrlPr>
                        <w:rPr>
                          <w:rFonts w:ascii="Cambria Math" w:hAnsi="Cambria Math"/>
                          <w:i/>
                          <w:color w:val="000000" w:themeColor="text1"/>
                        </w:rPr>
                      </m:ctrlPr>
                    </m:dPr>
                    <m:e>
                      <m:r>
                        <w:rPr>
                          <w:rFonts w:ascii="Cambria Math" w:hAnsi="Cambria Math"/>
                          <w:color w:val="000000" w:themeColor="text1"/>
                        </w:rPr>
                        <m:t>T+45.93</m:t>
                      </m:r>
                    </m:e>
                  </m:d>
                </m:e>
              </m:d>
            </m:oMath>
            <w:r w:rsidRPr="00A14EE6">
              <w:rPr>
                <w:rFonts w:eastAsiaTheme="minorEastAsia"/>
                <w:color w:val="000000" w:themeColor="text1"/>
              </w:rPr>
              <w:tab/>
            </w:r>
            <w:r w:rsidRPr="00A14EE6">
              <w:rPr>
                <w:rFonts w:eastAsiaTheme="minorEastAsia"/>
                <w:color w:val="000000" w:themeColor="text1"/>
              </w:rPr>
              <w:tab/>
            </w:r>
          </w:p>
        </w:tc>
      </w:tr>
      <w:tr w:rsidR="00A14EE6" w:rsidRPr="00A14EE6" w14:paraId="10FEFAE9" w14:textId="77777777" w:rsidTr="00130D55">
        <w:trPr>
          <w:trHeight w:val="1718"/>
        </w:trPr>
        <w:tc>
          <w:tcPr>
            <w:tcW w:w="3884" w:type="dxa"/>
            <w:tcBorders>
              <w:top w:val="single" w:sz="4" w:space="0" w:color="D9D9D9" w:themeColor="background1" w:themeShade="D9"/>
              <w:bottom w:val="single" w:sz="4" w:space="0" w:color="D9D9D9" w:themeColor="background1" w:themeShade="D9"/>
            </w:tcBorders>
          </w:tcPr>
          <w:p w14:paraId="3DFD3C4A" w14:textId="77777777" w:rsidR="00B2418E" w:rsidRPr="00A14EE6" w:rsidRDefault="00B2418E" w:rsidP="00130D55">
            <w:pPr>
              <w:pStyle w:val="NormalWeb"/>
              <w:spacing w:before="0" w:beforeAutospacing="0" w:after="0" w:afterAutospacing="0"/>
              <w:rPr>
                <w:color w:val="000000" w:themeColor="text1"/>
              </w:rPr>
            </w:pPr>
            <w:r w:rsidRPr="00A14EE6">
              <w:rPr>
                <w:color w:val="000000" w:themeColor="text1"/>
              </w:rPr>
              <w:t>Inflow ammonium</w:t>
            </w:r>
          </w:p>
          <w:p w14:paraId="36FEC2DE" w14:textId="77777777" w:rsidR="00B2418E" w:rsidRPr="00A14EE6" w:rsidRDefault="00B2418E" w:rsidP="00130D55">
            <w:pPr>
              <w:pStyle w:val="NormalWeb"/>
              <w:spacing w:before="0" w:beforeAutospacing="0" w:after="0" w:afterAutospacing="0"/>
              <w:rPr>
                <w:color w:val="000000" w:themeColor="text1"/>
              </w:rPr>
            </w:pPr>
            <w:r w:rsidRPr="00A14EE6">
              <w:rPr>
                <w:color w:val="000000" w:themeColor="text1"/>
              </w:rPr>
              <w:t>Inflow nitrate</w:t>
            </w:r>
          </w:p>
          <w:p w14:paraId="668697BC" w14:textId="77777777" w:rsidR="00B2418E" w:rsidRPr="00A14EE6" w:rsidRDefault="00B2418E" w:rsidP="00130D55">
            <w:pPr>
              <w:pStyle w:val="NormalWeb"/>
              <w:spacing w:before="0" w:beforeAutospacing="0" w:after="0" w:afterAutospacing="0"/>
              <w:rPr>
                <w:color w:val="000000" w:themeColor="text1"/>
              </w:rPr>
            </w:pPr>
            <w:r w:rsidRPr="00A14EE6">
              <w:rPr>
                <w:color w:val="000000" w:themeColor="text1"/>
              </w:rPr>
              <w:t>Inflow reactive silica</w:t>
            </w:r>
          </w:p>
          <w:p w14:paraId="54780660" w14:textId="77777777" w:rsidR="00B2418E" w:rsidRPr="00A14EE6" w:rsidRDefault="00B2418E" w:rsidP="00130D55">
            <w:pPr>
              <w:pStyle w:val="NormalWeb"/>
              <w:spacing w:before="0" w:beforeAutospacing="0" w:after="0" w:afterAutospacing="0"/>
              <w:rPr>
                <w:color w:val="000000" w:themeColor="text1"/>
              </w:rPr>
            </w:pPr>
            <w:r w:rsidRPr="00A14EE6">
              <w:rPr>
                <w:color w:val="000000" w:themeColor="text1"/>
              </w:rPr>
              <w:t xml:space="preserve">Inflow dissolved organic </w:t>
            </w:r>
            <w:proofErr w:type="gramStart"/>
            <w:r w:rsidRPr="00A14EE6">
              <w:rPr>
                <w:color w:val="000000" w:themeColor="text1"/>
              </w:rPr>
              <w:t>carbon</w:t>
            </w:r>
            <w:proofErr w:type="gramEnd"/>
          </w:p>
          <w:p w14:paraId="1B996D1D" w14:textId="77777777" w:rsidR="00B2418E" w:rsidRPr="00A14EE6" w:rsidRDefault="00B2418E" w:rsidP="00130D55">
            <w:pPr>
              <w:pStyle w:val="NormalWeb"/>
              <w:spacing w:before="0" w:beforeAutospacing="0" w:after="0" w:afterAutospacing="0"/>
              <w:rPr>
                <w:color w:val="000000" w:themeColor="text1"/>
              </w:rPr>
            </w:pPr>
            <w:r w:rsidRPr="00A14EE6">
              <w:rPr>
                <w:color w:val="000000" w:themeColor="text1"/>
              </w:rPr>
              <w:t>Inflow total organic carbon</w:t>
            </w:r>
          </w:p>
          <w:p w14:paraId="67FBBC03" w14:textId="77777777" w:rsidR="00B2418E" w:rsidRPr="00A14EE6" w:rsidRDefault="00B2418E" w:rsidP="00130D55">
            <w:pPr>
              <w:pStyle w:val="NormalWeb"/>
              <w:spacing w:before="0" w:beforeAutospacing="0" w:after="0" w:afterAutospacing="0"/>
              <w:rPr>
                <w:color w:val="000000" w:themeColor="text1"/>
              </w:rPr>
            </w:pPr>
            <w:r w:rsidRPr="00A14EE6">
              <w:rPr>
                <w:color w:val="000000" w:themeColor="text1"/>
              </w:rPr>
              <w:t>Inflow total nitrogen</w:t>
            </w:r>
          </w:p>
        </w:tc>
        <w:tc>
          <w:tcPr>
            <w:tcW w:w="4715" w:type="dxa"/>
            <w:tcBorders>
              <w:top w:val="single" w:sz="4" w:space="0" w:color="D9D9D9" w:themeColor="background1" w:themeShade="D9"/>
              <w:bottom w:val="single" w:sz="4" w:space="0" w:color="D9D9D9" w:themeColor="background1" w:themeShade="D9"/>
            </w:tcBorders>
          </w:tcPr>
          <w:p w14:paraId="3F68AE0F" w14:textId="5D713015" w:rsidR="00B2418E" w:rsidRPr="00A14EE6" w:rsidRDefault="00B2418E" w:rsidP="00130D55">
            <w:pPr>
              <w:pStyle w:val="NormalWeb"/>
              <w:spacing w:before="0" w:beforeAutospacing="0" w:after="0" w:afterAutospacing="0"/>
              <w:rPr>
                <w:color w:val="000000" w:themeColor="text1"/>
              </w:rPr>
            </w:pPr>
            <w:r w:rsidRPr="00A14EE6">
              <w:rPr>
                <w:color w:val="000000" w:themeColor="text1"/>
              </w:rPr>
              <w:t xml:space="preserve">Linear interpolation between weekly measurements. A scaling factor of 1.33 was applied to consider the contribution of mass inflows in the remaining tributaries. Replication of daily means </w:t>
            </w:r>
            <w:r w:rsidR="006F6EE5" w:rsidRPr="00A14EE6">
              <w:rPr>
                <w:color w:val="000000" w:themeColor="text1"/>
              </w:rPr>
              <w:t xml:space="preserve">each year </w:t>
            </w:r>
            <w:r w:rsidRPr="00A14EE6">
              <w:rPr>
                <w:color w:val="000000" w:themeColor="text1"/>
              </w:rPr>
              <w:t xml:space="preserve">for 1850–2014 period. </w:t>
            </w:r>
          </w:p>
        </w:tc>
        <w:tc>
          <w:tcPr>
            <w:tcW w:w="3150" w:type="dxa"/>
            <w:tcBorders>
              <w:top w:val="single" w:sz="4" w:space="0" w:color="D9D9D9" w:themeColor="background1" w:themeShade="D9"/>
              <w:bottom w:val="single" w:sz="4" w:space="0" w:color="D9D9D9" w:themeColor="background1" w:themeShade="D9"/>
            </w:tcBorders>
          </w:tcPr>
          <w:p w14:paraId="2DEA4FAA" w14:textId="5A4E89D7" w:rsidR="00B2418E" w:rsidRPr="00A14EE6" w:rsidRDefault="00B2418E" w:rsidP="00130D55">
            <w:pPr>
              <w:pStyle w:val="NormalWeb"/>
              <w:spacing w:before="0" w:beforeAutospacing="0" w:after="0" w:afterAutospacing="0"/>
              <w:rPr>
                <w:color w:val="000000" w:themeColor="text1"/>
              </w:rPr>
            </w:pPr>
            <w:r w:rsidRPr="00A14EE6">
              <w:rPr>
                <w:color w:val="000000" w:themeColor="text1"/>
              </w:rPr>
              <w:t xml:space="preserve">Replication of daily means </w:t>
            </w:r>
            <w:r w:rsidR="006F6EE5" w:rsidRPr="00A14EE6">
              <w:rPr>
                <w:color w:val="000000" w:themeColor="text1"/>
              </w:rPr>
              <w:t xml:space="preserve">each year </w:t>
            </w:r>
            <w:r w:rsidRPr="00A14EE6">
              <w:rPr>
                <w:color w:val="000000" w:themeColor="text1"/>
              </w:rPr>
              <w:t>for 2015–2100 period.</w:t>
            </w:r>
          </w:p>
        </w:tc>
      </w:tr>
      <w:tr w:rsidR="00A14EE6" w:rsidRPr="00A14EE6" w14:paraId="09CD030C" w14:textId="77777777" w:rsidTr="00130D55">
        <w:tc>
          <w:tcPr>
            <w:tcW w:w="3884" w:type="dxa"/>
            <w:tcBorders>
              <w:top w:val="single" w:sz="4" w:space="0" w:color="D9D9D9" w:themeColor="background1" w:themeShade="D9"/>
              <w:bottom w:val="single" w:sz="4" w:space="0" w:color="D9D9D9" w:themeColor="background1" w:themeShade="D9"/>
            </w:tcBorders>
          </w:tcPr>
          <w:p w14:paraId="20EC816E" w14:textId="77777777" w:rsidR="00B2418E" w:rsidRPr="00A14EE6" w:rsidRDefault="00B2418E" w:rsidP="00130D55">
            <w:pPr>
              <w:pStyle w:val="NormalWeb"/>
              <w:spacing w:before="0" w:beforeAutospacing="0" w:after="0" w:afterAutospacing="0"/>
              <w:rPr>
                <w:color w:val="000000" w:themeColor="text1"/>
              </w:rPr>
            </w:pPr>
            <w:r w:rsidRPr="00A14EE6">
              <w:rPr>
                <w:color w:val="000000" w:themeColor="text1"/>
              </w:rPr>
              <w:t>Inflow particulate organic carbon</w:t>
            </w:r>
          </w:p>
        </w:tc>
        <w:tc>
          <w:tcPr>
            <w:tcW w:w="7865" w:type="dxa"/>
            <w:gridSpan w:val="2"/>
            <w:tcBorders>
              <w:top w:val="single" w:sz="4" w:space="0" w:color="D9D9D9" w:themeColor="background1" w:themeShade="D9"/>
              <w:bottom w:val="single" w:sz="4" w:space="0" w:color="D9D9D9" w:themeColor="background1" w:themeShade="D9"/>
            </w:tcBorders>
          </w:tcPr>
          <w:p w14:paraId="2C2E2910" w14:textId="77777777" w:rsidR="00B2418E" w:rsidRPr="00A14EE6" w:rsidRDefault="00B2418E" w:rsidP="00130D55">
            <w:pPr>
              <w:pStyle w:val="NormalWeb"/>
              <w:spacing w:before="0" w:beforeAutospacing="0" w:after="0" w:afterAutospacing="0"/>
              <w:rPr>
                <w:color w:val="000000" w:themeColor="text1"/>
              </w:rPr>
            </w:pPr>
            <w:r w:rsidRPr="00A14EE6">
              <w:rPr>
                <w:color w:val="000000" w:themeColor="text1"/>
              </w:rPr>
              <w:t>Calculated as:</w:t>
            </w:r>
          </w:p>
          <w:p w14:paraId="01EA04F6" w14:textId="77777777" w:rsidR="00B2418E" w:rsidRPr="00A14EE6" w:rsidRDefault="00B2418E" w:rsidP="00130D55">
            <w:pPr>
              <w:pStyle w:val="NormalWeb"/>
              <w:spacing w:before="0" w:beforeAutospacing="0" w:after="0" w:afterAutospacing="0"/>
              <w:rPr>
                <w:color w:val="000000" w:themeColor="text1"/>
              </w:rPr>
            </w:pPr>
            <m:oMathPara>
              <m:oMathParaPr>
                <m:jc m:val="left"/>
              </m:oMathParaPr>
              <m:oMath>
                <m:r>
                  <w:rPr>
                    <w:rFonts w:ascii="Cambria Math" w:hAnsi="Cambria Math"/>
                    <w:color w:val="000000" w:themeColor="text1"/>
                  </w:rPr>
                  <m:t>POC=TOC-DOC</m:t>
                </m:r>
              </m:oMath>
            </m:oMathPara>
          </w:p>
        </w:tc>
      </w:tr>
      <w:tr w:rsidR="00A14EE6" w:rsidRPr="00A14EE6" w14:paraId="0AD6AC9E" w14:textId="77777777" w:rsidTr="00130D55">
        <w:tc>
          <w:tcPr>
            <w:tcW w:w="3884" w:type="dxa"/>
            <w:tcBorders>
              <w:top w:val="single" w:sz="4" w:space="0" w:color="D9D9D9" w:themeColor="background1" w:themeShade="D9"/>
              <w:bottom w:val="single" w:sz="4" w:space="0" w:color="auto"/>
            </w:tcBorders>
          </w:tcPr>
          <w:p w14:paraId="18FAA740" w14:textId="77777777" w:rsidR="00B2418E" w:rsidRPr="00A14EE6" w:rsidRDefault="00B2418E" w:rsidP="00130D55">
            <w:pPr>
              <w:pStyle w:val="NormalWeb"/>
              <w:spacing w:before="0" w:beforeAutospacing="0" w:after="0" w:afterAutospacing="0"/>
              <w:rPr>
                <w:color w:val="000000" w:themeColor="text1"/>
              </w:rPr>
            </w:pPr>
            <w:r w:rsidRPr="00A14EE6">
              <w:rPr>
                <w:color w:val="000000" w:themeColor="text1"/>
              </w:rPr>
              <w:t xml:space="preserve">Inflow dissolved organic </w:t>
            </w:r>
            <w:proofErr w:type="gramStart"/>
            <w:r w:rsidRPr="00A14EE6">
              <w:rPr>
                <w:color w:val="000000" w:themeColor="text1"/>
              </w:rPr>
              <w:t>nitrogen</w:t>
            </w:r>
            <w:proofErr w:type="gramEnd"/>
          </w:p>
          <w:p w14:paraId="62EEFC15" w14:textId="77777777" w:rsidR="00B2418E" w:rsidRPr="00A14EE6" w:rsidRDefault="00B2418E" w:rsidP="00130D55">
            <w:pPr>
              <w:pStyle w:val="NormalWeb"/>
              <w:spacing w:before="0" w:beforeAutospacing="0" w:after="0" w:afterAutospacing="0"/>
              <w:rPr>
                <w:color w:val="000000" w:themeColor="text1"/>
              </w:rPr>
            </w:pPr>
            <w:r w:rsidRPr="00A14EE6">
              <w:rPr>
                <w:color w:val="000000" w:themeColor="text1"/>
              </w:rPr>
              <w:t>Inflow particulate organic nitrogen</w:t>
            </w:r>
          </w:p>
        </w:tc>
        <w:tc>
          <w:tcPr>
            <w:tcW w:w="7865" w:type="dxa"/>
            <w:gridSpan w:val="2"/>
            <w:tcBorders>
              <w:top w:val="single" w:sz="4" w:space="0" w:color="D9D9D9" w:themeColor="background1" w:themeShade="D9"/>
              <w:bottom w:val="single" w:sz="4" w:space="0" w:color="auto"/>
            </w:tcBorders>
          </w:tcPr>
          <w:p w14:paraId="0549AB47" w14:textId="77777777" w:rsidR="00B2418E" w:rsidRPr="00A14EE6" w:rsidRDefault="00B2418E" w:rsidP="00130D55">
            <w:pPr>
              <w:autoSpaceDE w:val="0"/>
              <w:autoSpaceDN w:val="0"/>
              <w:adjustRightInd w:val="0"/>
              <w:jc w:val="both"/>
              <w:rPr>
                <w:rFonts w:ascii="Times New Roman" w:hAnsi="Times New Roman" w:cs="Times New Roman"/>
                <w:color w:val="000000" w:themeColor="text1"/>
              </w:rPr>
            </w:pPr>
            <w:r w:rsidRPr="00A14EE6">
              <w:rPr>
                <w:rFonts w:ascii="Times New Roman" w:hAnsi="Times New Roman" w:cs="Times New Roman"/>
                <w:color w:val="000000" w:themeColor="text1"/>
              </w:rPr>
              <w:t>Calculated from total and inorganic nitrogen concentrations as:</w:t>
            </w:r>
            <w:r w:rsidRPr="00A14EE6">
              <w:rPr>
                <w:rFonts w:ascii="Times New Roman" w:hAnsi="Times New Roman" w:cs="Times New Roman"/>
                <w:color w:val="000000" w:themeColor="text1"/>
              </w:rPr>
              <w:tab/>
            </w:r>
          </w:p>
          <w:p w14:paraId="763C8567" w14:textId="77777777" w:rsidR="00B2418E" w:rsidRPr="00A14EE6" w:rsidRDefault="00B2418E" w:rsidP="00130D55">
            <w:pPr>
              <w:autoSpaceDE w:val="0"/>
              <w:autoSpaceDN w:val="0"/>
              <w:adjustRightInd w:val="0"/>
              <w:jc w:val="both"/>
              <w:rPr>
                <w:rFonts w:ascii="Times New Roman" w:eastAsiaTheme="minorEastAsia" w:hAnsi="Times New Roman" w:cs="Times New Roman"/>
                <w:color w:val="000000" w:themeColor="text1"/>
              </w:rPr>
            </w:pPr>
            <m:oMath>
              <m:r>
                <w:rPr>
                  <w:rFonts w:ascii="Cambria Math" w:hAnsi="Cambria Math" w:cs="Times New Roman"/>
                  <w:color w:val="000000" w:themeColor="text1"/>
                </w:rPr>
                <m:t>DON or PON=</m:t>
              </m:r>
              <m:f>
                <m:fPr>
                  <m:type m:val="lin"/>
                  <m:ctrlPr>
                    <w:rPr>
                      <w:rFonts w:ascii="Cambria Math" w:hAnsi="Cambria Math" w:cs="Times New Roman"/>
                      <w:i/>
                      <w:color w:val="000000" w:themeColor="text1"/>
                    </w:rPr>
                  </m:ctrlPr>
                </m:fPr>
                <m:num>
                  <m:r>
                    <w:rPr>
                      <w:rFonts w:ascii="Cambria Math" w:hAnsi="Cambria Math" w:cs="Times New Roman"/>
                      <w:color w:val="000000" w:themeColor="text1"/>
                    </w:rPr>
                    <m:t xml:space="preserve"> </m:t>
                  </m:r>
                  <m:d>
                    <m:dPr>
                      <m:ctrlPr>
                        <w:rPr>
                          <w:rFonts w:ascii="Cambria Math" w:hAnsi="Cambria Math" w:cs="Times New Roman"/>
                          <w:i/>
                          <w:color w:val="000000" w:themeColor="text1"/>
                        </w:rPr>
                      </m:ctrlPr>
                    </m:dPr>
                    <m:e>
                      <m:r>
                        <w:rPr>
                          <w:rFonts w:ascii="Cambria Math" w:hAnsi="Cambria Math" w:cs="Times New Roman"/>
                          <w:color w:val="000000" w:themeColor="text1"/>
                        </w:rPr>
                        <m:t>TN-</m:t>
                      </m:r>
                      <m:sSub>
                        <m:sSubPr>
                          <m:ctrlPr>
                            <w:rPr>
                              <w:rFonts w:ascii="Cambria Math" w:hAnsi="Cambria Math" w:cs="Times New Roman"/>
                              <w:i/>
                              <w:color w:val="000000" w:themeColor="text1"/>
                            </w:rPr>
                          </m:ctrlPr>
                        </m:sSubPr>
                        <m:e>
                          <m:r>
                            <w:rPr>
                              <w:rFonts w:ascii="Cambria Math" w:hAnsi="Cambria Math" w:cs="Times New Roman"/>
                              <w:color w:val="000000" w:themeColor="text1"/>
                            </w:rPr>
                            <m:t>NH</m:t>
                          </m:r>
                        </m:e>
                        <m:sub>
                          <m:r>
                            <w:rPr>
                              <w:rFonts w:ascii="Cambria Math" w:hAnsi="Cambria Math" w:cs="Times New Roman"/>
                              <w:color w:val="000000" w:themeColor="text1"/>
                            </w:rPr>
                            <m:t>4</m:t>
                          </m:r>
                        </m:sub>
                      </m:sSub>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NO</m:t>
                          </m:r>
                        </m:e>
                        <m:sub>
                          <m:r>
                            <w:rPr>
                              <w:rFonts w:ascii="Cambria Math" w:hAnsi="Cambria Math" w:cs="Times New Roman"/>
                              <w:color w:val="000000" w:themeColor="text1"/>
                            </w:rPr>
                            <m:t>3</m:t>
                          </m:r>
                        </m:sub>
                      </m:sSub>
                    </m:e>
                  </m:d>
                </m:num>
                <m:den>
                  <m:r>
                    <w:rPr>
                      <w:rFonts w:ascii="Cambria Math" w:hAnsi="Cambria Math" w:cs="Times New Roman"/>
                      <w:color w:val="000000" w:themeColor="text1"/>
                    </w:rPr>
                    <m:t>2</m:t>
                  </m:r>
                </m:den>
              </m:f>
            </m:oMath>
            <w:r w:rsidRPr="00A14EE6">
              <w:rPr>
                <w:rFonts w:ascii="Times New Roman" w:eastAsiaTheme="minorEastAsia" w:hAnsi="Times New Roman" w:cs="Times New Roman"/>
                <w:color w:val="000000" w:themeColor="text1"/>
              </w:rPr>
              <w:tab/>
            </w:r>
            <w:r w:rsidRPr="00A14EE6">
              <w:rPr>
                <w:rFonts w:ascii="Times New Roman" w:eastAsiaTheme="minorEastAsia" w:hAnsi="Times New Roman" w:cs="Times New Roman"/>
                <w:color w:val="000000" w:themeColor="text1"/>
              </w:rPr>
              <w:tab/>
            </w:r>
            <w:r w:rsidRPr="00A14EE6">
              <w:rPr>
                <w:rFonts w:ascii="Times New Roman" w:eastAsiaTheme="minorEastAsia" w:hAnsi="Times New Roman" w:cs="Times New Roman"/>
                <w:color w:val="000000" w:themeColor="text1"/>
              </w:rPr>
              <w:tab/>
            </w:r>
            <w:r w:rsidRPr="00A14EE6">
              <w:rPr>
                <w:rFonts w:ascii="Times New Roman" w:eastAsiaTheme="minorEastAsia" w:hAnsi="Times New Roman" w:cs="Times New Roman"/>
                <w:color w:val="000000" w:themeColor="text1"/>
              </w:rPr>
              <w:tab/>
            </w:r>
            <w:r w:rsidRPr="00A14EE6">
              <w:rPr>
                <w:rFonts w:ascii="Times New Roman" w:eastAsiaTheme="minorEastAsia" w:hAnsi="Times New Roman" w:cs="Times New Roman"/>
                <w:color w:val="000000" w:themeColor="text1"/>
              </w:rPr>
              <w:tab/>
            </w:r>
          </w:p>
        </w:tc>
      </w:tr>
    </w:tbl>
    <w:p w14:paraId="68A8E7F6" w14:textId="77777777" w:rsidR="00B2418E" w:rsidRPr="00A14EE6" w:rsidRDefault="00B2418E" w:rsidP="00B2418E">
      <w:pPr>
        <w:spacing w:line="480" w:lineRule="auto"/>
        <w:rPr>
          <w:b/>
          <w:color w:val="000000" w:themeColor="text1"/>
        </w:rPr>
        <w:sectPr w:rsidR="00B2418E" w:rsidRPr="00A14EE6" w:rsidSect="006A1E5C">
          <w:footerReference w:type="even" r:id="rId11"/>
          <w:footerReference w:type="default" r:id="rId12"/>
          <w:pgSz w:w="12240" w:h="15840"/>
          <w:pgMar w:top="1440" w:right="1440" w:bottom="1440" w:left="1440" w:header="720" w:footer="720" w:gutter="0"/>
          <w:cols w:space="720"/>
          <w:docGrid w:linePitch="360"/>
        </w:sectPr>
      </w:pPr>
    </w:p>
    <w:p w14:paraId="65120AA4" w14:textId="77777777" w:rsidR="001A2CB1" w:rsidRPr="00A14EE6" w:rsidRDefault="001A2CB1" w:rsidP="001A2CB1">
      <w:pPr>
        <w:pStyle w:val="NormalWeb"/>
        <w:spacing w:before="0" w:beforeAutospacing="0" w:after="240" w:afterAutospacing="0" w:line="360" w:lineRule="auto"/>
        <w:jc w:val="both"/>
        <w:rPr>
          <w:color w:val="000000" w:themeColor="text1"/>
        </w:rPr>
      </w:pPr>
      <w:r w:rsidRPr="00A14EE6">
        <w:rPr>
          <w:b/>
          <w:bCs/>
          <w:color w:val="000000" w:themeColor="text1"/>
        </w:rPr>
        <w:lastRenderedPageBreak/>
        <w:t>Model calibration and validation</w:t>
      </w:r>
    </w:p>
    <w:p w14:paraId="002F21B4" w14:textId="3F789B97" w:rsidR="001A2CB1" w:rsidRPr="00A14EE6" w:rsidRDefault="001A2CB1" w:rsidP="001A2CB1">
      <w:pPr>
        <w:pStyle w:val="NormalWeb"/>
        <w:spacing w:before="0" w:beforeAutospacing="0" w:after="240" w:afterAutospacing="0" w:line="360" w:lineRule="auto"/>
        <w:ind w:firstLine="640"/>
        <w:jc w:val="both"/>
        <w:rPr>
          <w:color w:val="000000" w:themeColor="text1"/>
        </w:rPr>
      </w:pPr>
      <w:r w:rsidRPr="00A14EE6">
        <w:rPr>
          <w:color w:val="000000" w:themeColor="text1"/>
        </w:rPr>
        <w:t xml:space="preserve">The modelling procedure followed well-defined standard techniques, </w:t>
      </w:r>
      <w:proofErr w:type="gramStart"/>
      <w:r w:rsidRPr="00A14EE6">
        <w:rPr>
          <w:color w:val="000000" w:themeColor="text1"/>
        </w:rPr>
        <w:t>i.e.</w:t>
      </w:r>
      <w:proofErr w:type="gramEnd"/>
      <w:r w:rsidRPr="00A14EE6">
        <w:rPr>
          <w:color w:val="000000" w:themeColor="text1"/>
        </w:rPr>
        <w:t xml:space="preserve"> calibration based on field measurements over a representative time period and validation against an independent dataset</w:t>
      </w:r>
      <w:sdt>
        <w:sdtPr>
          <w:rPr>
            <w:color w:val="000000"/>
            <w:vertAlign w:val="superscript"/>
          </w:rPr>
          <w:tag w:val="MENDELEY_CITATION_v3_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"/>
          <w:id w:val="836273173"/>
          <w:placeholder>
            <w:docPart w:val="FA704D3093BD2A4586E6598F497BFC33"/>
          </w:placeholder>
        </w:sdtPr>
        <w:sdtContent>
          <w:r w:rsidR="008E32A9" w:rsidRPr="008E32A9">
            <w:rPr>
              <w:color w:val="000000"/>
              <w:vertAlign w:val="superscript"/>
            </w:rPr>
            <w:t>10</w:t>
          </w:r>
        </w:sdtContent>
      </w:sdt>
      <w:r w:rsidRPr="00A14EE6">
        <w:rPr>
          <w:color w:val="000000" w:themeColor="text1"/>
        </w:rPr>
        <w:t>. The GLM-AED2 model was calibrated for a 10-year period from 1</w:t>
      </w:r>
      <w:r w:rsidRPr="00A14EE6">
        <w:rPr>
          <w:color w:val="000000" w:themeColor="text1"/>
          <w:vertAlign w:val="superscript"/>
        </w:rPr>
        <w:t>st</w:t>
      </w:r>
      <w:r w:rsidRPr="00A14EE6">
        <w:rPr>
          <w:color w:val="000000" w:themeColor="text1"/>
        </w:rPr>
        <w:t xml:space="preserve"> January 1992 to 31</w:t>
      </w:r>
      <w:r w:rsidRPr="00A14EE6">
        <w:rPr>
          <w:color w:val="000000" w:themeColor="text1"/>
          <w:vertAlign w:val="superscript"/>
        </w:rPr>
        <w:t>st</w:t>
      </w:r>
      <w:r w:rsidRPr="00A14EE6">
        <w:rPr>
          <w:color w:val="000000" w:themeColor="text1"/>
        </w:rPr>
        <w:t xml:space="preserve"> December 2001</w:t>
      </w:r>
      <w:r w:rsidR="0065603A" w:rsidRPr="00A14EE6">
        <w:rPr>
          <w:color w:val="000000" w:themeColor="text1"/>
        </w:rPr>
        <w:t xml:space="preserve"> </w:t>
      </w:r>
      <w:r w:rsidR="00D477FE" w:rsidRPr="00A14EE6">
        <w:rPr>
          <w:color w:val="000000" w:themeColor="text1"/>
        </w:rPr>
        <w:t>using all available measurements over</w:t>
      </w:r>
      <w:r w:rsidR="0065603A" w:rsidRPr="00A14EE6">
        <w:rPr>
          <w:color w:val="000000" w:themeColor="text1"/>
        </w:rPr>
        <w:t xml:space="preserve"> the vertical profile of the water column.</w:t>
      </w:r>
      <w:r w:rsidRPr="00A14EE6">
        <w:rPr>
          <w:color w:val="000000" w:themeColor="text1"/>
        </w:rPr>
        <w:t xml:space="preserve"> In the context of the present approach of coupling lake modelling and paleolimnological data, we selected the variables that contain long-term paleolimnological records as focal state variables for the calibration and validation procedures: dissolved oxygen, chlorophyll-a, and total organic carbon (TOC) (as well as water temperature that was previously calibrated</w:t>
      </w:r>
      <w:sdt>
        <w:sdtPr>
          <w:rPr>
            <w:color w:val="000000"/>
            <w:vertAlign w:val="superscript"/>
          </w:rPr>
          <w:tag w:val="MENDELEY_CITATION_v3_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"/>
          <w:id w:val="1944654956"/>
          <w:placeholder>
            <w:docPart w:val="FA704D3093BD2A4586E6598F497BFC33"/>
          </w:placeholder>
        </w:sdtPr>
        <w:sdtContent>
          <w:r w:rsidR="008E32A9" w:rsidRPr="008E32A9">
            <w:rPr>
              <w:color w:val="000000"/>
              <w:vertAlign w:val="superscript"/>
            </w:rPr>
            <w:t>4</w:t>
          </w:r>
        </w:sdtContent>
      </w:sdt>
      <w:r w:rsidRPr="00A14EE6">
        <w:rPr>
          <w:color w:val="000000" w:themeColor="text1"/>
        </w:rPr>
        <w:t>). Initial model parameter values and their typical ranges were derived from default values in the literature</w:t>
      </w:r>
      <w:sdt>
        <w:sdtPr>
          <w:rPr>
            <w:color w:val="000000"/>
            <w:vertAlign w:val="superscript"/>
          </w:rPr>
          <w:tag w:val="MENDELEY_CITATION_v3_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"/>
          <w:id w:val="496539122"/>
          <w:placeholder>
            <w:docPart w:val="A4A93F8B209A1F42A95E631A52122990"/>
          </w:placeholder>
        </w:sdtPr>
        <w:sdtContent>
          <w:r w:rsidR="008E32A9" w:rsidRPr="008E32A9">
            <w:rPr>
              <w:color w:val="000000"/>
              <w:vertAlign w:val="superscript"/>
            </w:rPr>
            <w:t>11</w:t>
          </w:r>
        </w:sdtContent>
      </w:sdt>
      <w:r w:rsidRPr="00A14EE6">
        <w:rPr>
          <w:color w:val="000000" w:themeColor="text1"/>
        </w:rPr>
        <w:t>. Lake-specific calibration (Table S</w:t>
      </w:r>
      <w:r w:rsidR="00C6405E" w:rsidRPr="00A14EE6">
        <w:rPr>
          <w:color w:val="000000" w:themeColor="text1"/>
        </w:rPr>
        <w:t>2</w:t>
      </w:r>
      <w:r w:rsidRPr="00A14EE6">
        <w:rPr>
          <w:color w:val="000000" w:themeColor="text1"/>
        </w:rPr>
        <w:t>) focused on parameters related to (1) oxygen and phosphorus flux at the sediment-water interface: sediment flux of oxygen and phosphorus (</w:t>
      </w:r>
      <w:proofErr w:type="spellStart"/>
      <w:r w:rsidRPr="00A14EE6">
        <w:rPr>
          <w:color w:val="000000" w:themeColor="text1"/>
        </w:rPr>
        <w:t>Fsed_oxy</w:t>
      </w:r>
      <w:proofErr w:type="spellEnd"/>
      <w:r w:rsidRPr="00A14EE6">
        <w:rPr>
          <w:color w:val="000000" w:themeColor="text1"/>
        </w:rPr>
        <w:t xml:space="preserve">, </w:t>
      </w:r>
      <w:proofErr w:type="spellStart"/>
      <w:r w:rsidRPr="00A14EE6">
        <w:rPr>
          <w:color w:val="000000" w:themeColor="text1"/>
        </w:rPr>
        <w:t>Fsed_frp</w:t>
      </w:r>
      <w:proofErr w:type="spellEnd"/>
      <w:r w:rsidRPr="00A14EE6">
        <w:rPr>
          <w:color w:val="000000" w:themeColor="text1"/>
        </w:rPr>
        <w:t xml:space="preserve">), half-saturation concentration controlling flux of oxygen and </w:t>
      </w:r>
      <w:proofErr w:type="spellStart"/>
      <w:r w:rsidRPr="00A14EE6">
        <w:rPr>
          <w:color w:val="000000" w:themeColor="text1"/>
        </w:rPr>
        <w:t>phopshorus</w:t>
      </w:r>
      <w:proofErr w:type="spellEnd"/>
      <w:r w:rsidRPr="00A14EE6">
        <w:rPr>
          <w:color w:val="000000" w:themeColor="text1"/>
        </w:rPr>
        <w:t xml:space="preserve"> (</w:t>
      </w:r>
      <w:proofErr w:type="spellStart"/>
      <w:r w:rsidRPr="00A14EE6">
        <w:rPr>
          <w:color w:val="000000" w:themeColor="text1"/>
        </w:rPr>
        <w:t>Ksed_oxy</w:t>
      </w:r>
      <w:proofErr w:type="spellEnd"/>
      <w:r w:rsidRPr="00A14EE6">
        <w:rPr>
          <w:color w:val="000000" w:themeColor="text1"/>
        </w:rPr>
        <w:t xml:space="preserve">, </w:t>
      </w:r>
      <w:proofErr w:type="spellStart"/>
      <w:r w:rsidRPr="00A14EE6">
        <w:rPr>
          <w:color w:val="000000" w:themeColor="text1"/>
        </w:rPr>
        <w:t>Ksed_frp</w:t>
      </w:r>
      <w:proofErr w:type="spellEnd"/>
      <w:r w:rsidRPr="00A14EE6">
        <w:rPr>
          <w:color w:val="000000" w:themeColor="text1"/>
        </w:rPr>
        <w:t>), Arrhenius temperature multiplier for sediment phosphorus flux (</w:t>
      </w:r>
      <w:proofErr w:type="spellStart"/>
      <w:r w:rsidRPr="00A14EE6">
        <w:rPr>
          <w:color w:val="000000" w:themeColor="text1"/>
        </w:rPr>
        <w:t>theta_sed_frp</w:t>
      </w:r>
      <w:proofErr w:type="spellEnd"/>
      <w:r w:rsidRPr="00A14EE6">
        <w:rPr>
          <w:color w:val="000000" w:themeColor="text1"/>
        </w:rPr>
        <w:t>); (2) rates of organic matter: Arrhenius temperature multiplier for mineralization (</w:t>
      </w:r>
      <w:proofErr w:type="spellStart"/>
      <w:r w:rsidRPr="00A14EE6">
        <w:rPr>
          <w:color w:val="000000" w:themeColor="text1"/>
        </w:rPr>
        <w:t>theta_minerl</w:t>
      </w:r>
      <w:proofErr w:type="spellEnd"/>
      <w:r w:rsidRPr="00A14EE6">
        <w:rPr>
          <w:color w:val="000000" w:themeColor="text1"/>
        </w:rPr>
        <w:t>), mineralization rate of dissolved organic matter (</w:t>
      </w:r>
      <w:proofErr w:type="spellStart"/>
      <w:r w:rsidRPr="00A14EE6">
        <w:rPr>
          <w:color w:val="000000" w:themeColor="text1"/>
        </w:rPr>
        <w:t>Rdom</w:t>
      </w:r>
      <w:proofErr w:type="spellEnd"/>
      <w:r w:rsidRPr="00A14EE6">
        <w:rPr>
          <w:color w:val="000000" w:themeColor="text1"/>
        </w:rPr>
        <w:t>), hydrolysis rate of particulate organic matter (</w:t>
      </w:r>
      <w:proofErr w:type="spellStart"/>
      <w:r w:rsidRPr="00A14EE6">
        <w:rPr>
          <w:color w:val="000000" w:themeColor="text1"/>
        </w:rPr>
        <w:t>Rpoc_hydrol</w:t>
      </w:r>
      <w:proofErr w:type="spellEnd"/>
      <w:r w:rsidRPr="00A14EE6">
        <w:rPr>
          <w:color w:val="000000" w:themeColor="text1"/>
        </w:rPr>
        <w:t xml:space="preserve">, </w:t>
      </w:r>
      <w:proofErr w:type="spellStart"/>
      <w:r w:rsidRPr="00A14EE6">
        <w:rPr>
          <w:color w:val="000000" w:themeColor="text1"/>
        </w:rPr>
        <w:t>Rpon_hydrol</w:t>
      </w:r>
      <w:proofErr w:type="spellEnd"/>
      <w:r w:rsidRPr="00A14EE6">
        <w:rPr>
          <w:color w:val="000000" w:themeColor="text1"/>
        </w:rPr>
        <w:t xml:space="preserve">, </w:t>
      </w:r>
      <w:proofErr w:type="spellStart"/>
      <w:r w:rsidRPr="00A14EE6">
        <w:rPr>
          <w:color w:val="000000" w:themeColor="text1"/>
        </w:rPr>
        <w:t>Rpop_hydrol</w:t>
      </w:r>
      <w:proofErr w:type="spellEnd"/>
      <w:r w:rsidRPr="00A14EE6">
        <w:rPr>
          <w:color w:val="000000" w:themeColor="text1"/>
        </w:rPr>
        <w:t>); and (3) phytoplankton growth and mortality: maximum growth rate (</w:t>
      </w:r>
      <w:proofErr w:type="spellStart"/>
      <w:r w:rsidRPr="00A14EE6">
        <w:rPr>
          <w:color w:val="000000" w:themeColor="text1"/>
        </w:rPr>
        <w:t>Rgrowth</w:t>
      </w:r>
      <w:proofErr w:type="spellEnd"/>
      <w:r w:rsidRPr="00A14EE6">
        <w:rPr>
          <w:color w:val="000000" w:themeColor="text1"/>
        </w:rPr>
        <w:t>), standard, maximum and optimum temperatures (</w:t>
      </w:r>
      <w:proofErr w:type="spellStart"/>
      <w:r w:rsidRPr="00A14EE6">
        <w:rPr>
          <w:color w:val="000000" w:themeColor="text1"/>
        </w:rPr>
        <w:t>T_std</w:t>
      </w:r>
      <w:proofErr w:type="spellEnd"/>
      <w:r w:rsidRPr="00A14EE6">
        <w:rPr>
          <w:color w:val="000000" w:themeColor="text1"/>
        </w:rPr>
        <w:t xml:space="preserve">, </w:t>
      </w:r>
      <w:proofErr w:type="spellStart"/>
      <w:r w:rsidRPr="00A14EE6">
        <w:rPr>
          <w:color w:val="000000" w:themeColor="text1"/>
        </w:rPr>
        <w:t>T_opt</w:t>
      </w:r>
      <w:proofErr w:type="spellEnd"/>
      <w:r w:rsidRPr="00A14EE6">
        <w:rPr>
          <w:color w:val="000000" w:themeColor="text1"/>
        </w:rPr>
        <w:t xml:space="preserve">, </w:t>
      </w:r>
      <w:proofErr w:type="spellStart"/>
      <w:r w:rsidRPr="00A14EE6">
        <w:rPr>
          <w:color w:val="000000" w:themeColor="text1"/>
        </w:rPr>
        <w:t>T_max</w:t>
      </w:r>
      <w:proofErr w:type="spellEnd"/>
      <w:r w:rsidRPr="00A14EE6">
        <w:rPr>
          <w:color w:val="000000" w:themeColor="text1"/>
        </w:rPr>
        <w:t>), specific attenuation coefficient (</w:t>
      </w:r>
      <w:proofErr w:type="spellStart"/>
      <w:r w:rsidRPr="00A14EE6">
        <w:rPr>
          <w:color w:val="000000" w:themeColor="text1"/>
        </w:rPr>
        <w:t>KePHY</w:t>
      </w:r>
      <w:proofErr w:type="spellEnd"/>
      <w:r w:rsidRPr="00A14EE6">
        <w:rPr>
          <w:color w:val="000000" w:themeColor="text1"/>
        </w:rPr>
        <w:t>), half-saturation constant for light limitation of growth (I_K), respiration/metabolic loss rate (</w:t>
      </w:r>
      <w:proofErr w:type="spellStart"/>
      <w:r w:rsidRPr="00A14EE6">
        <w:rPr>
          <w:color w:val="000000" w:themeColor="text1"/>
        </w:rPr>
        <w:t>R_resp</w:t>
      </w:r>
      <w:proofErr w:type="spellEnd"/>
      <w:r w:rsidRPr="00A14EE6">
        <w:rPr>
          <w:color w:val="000000" w:themeColor="text1"/>
        </w:rPr>
        <w:t>), Arrhenius temperature multiplier for phytoplankton respiration (</w:t>
      </w:r>
      <w:proofErr w:type="spellStart"/>
      <w:r w:rsidRPr="00A14EE6">
        <w:rPr>
          <w:color w:val="000000" w:themeColor="text1"/>
        </w:rPr>
        <w:t>theta_resp</w:t>
      </w:r>
      <w:proofErr w:type="spellEnd"/>
      <w:r w:rsidRPr="00A14EE6">
        <w:rPr>
          <w:color w:val="000000" w:themeColor="text1"/>
        </w:rPr>
        <w:t>), fraction of primary production lost to exudation (</w:t>
      </w:r>
      <w:proofErr w:type="spellStart"/>
      <w:r w:rsidRPr="00A14EE6">
        <w:rPr>
          <w:color w:val="000000" w:themeColor="text1"/>
        </w:rPr>
        <w:t>f_pr</w:t>
      </w:r>
      <w:proofErr w:type="spellEnd"/>
      <w:r w:rsidRPr="00A14EE6">
        <w:rPr>
          <w:color w:val="000000" w:themeColor="text1"/>
        </w:rPr>
        <w:t>), fraction of metabolic loss that is true respiration and dissolved organic matter (</w:t>
      </w:r>
      <w:proofErr w:type="spellStart"/>
      <w:r w:rsidRPr="00A14EE6">
        <w:rPr>
          <w:color w:val="000000" w:themeColor="text1"/>
        </w:rPr>
        <w:t>k_fres</w:t>
      </w:r>
      <w:proofErr w:type="spellEnd"/>
      <w:r w:rsidRPr="00A14EE6">
        <w:rPr>
          <w:color w:val="000000" w:themeColor="text1"/>
        </w:rPr>
        <w:t xml:space="preserve"> and </w:t>
      </w:r>
      <w:proofErr w:type="spellStart"/>
      <w:r w:rsidRPr="00A14EE6">
        <w:rPr>
          <w:color w:val="000000" w:themeColor="text1"/>
        </w:rPr>
        <w:t>k_fdom</w:t>
      </w:r>
      <w:proofErr w:type="spellEnd"/>
      <w:r w:rsidRPr="00A14EE6">
        <w:rPr>
          <w:color w:val="000000" w:themeColor="text1"/>
        </w:rPr>
        <w:t>). We used a general set of parameters to represent nitrate, ammonium, and silicate because they were not the focus of this analysis.</w:t>
      </w:r>
    </w:p>
    <w:p w14:paraId="2B2CADFD" w14:textId="465E4A5D" w:rsidR="001A2CB1" w:rsidRPr="00A14EE6" w:rsidRDefault="00CC499D" w:rsidP="001A2CB1">
      <w:pPr>
        <w:pStyle w:val="NormalWeb"/>
        <w:spacing w:before="0" w:beforeAutospacing="0" w:after="240" w:afterAutospacing="0" w:line="360" w:lineRule="auto"/>
        <w:ind w:firstLine="640"/>
        <w:jc w:val="both"/>
        <w:rPr>
          <w:color w:val="000000" w:themeColor="text1"/>
        </w:rPr>
      </w:pPr>
      <w:r w:rsidRPr="00A14EE6">
        <w:rPr>
          <w:color w:val="000000" w:themeColor="text1"/>
        </w:rPr>
        <w:t>A</w:t>
      </w:r>
      <w:r w:rsidR="001A2CB1" w:rsidRPr="00A14EE6">
        <w:rPr>
          <w:color w:val="000000" w:themeColor="text1"/>
        </w:rPr>
        <w:t xml:space="preserve"> combination of manual and automatic calibration techniques</w:t>
      </w:r>
      <w:r w:rsidRPr="00A14EE6">
        <w:rPr>
          <w:color w:val="000000" w:themeColor="text1"/>
        </w:rPr>
        <w:t xml:space="preserve"> was applied to improve the reproducibility</w:t>
      </w:r>
      <w:r w:rsidR="001A2CB1" w:rsidRPr="00A14EE6">
        <w:rPr>
          <w:color w:val="000000" w:themeColor="text1"/>
        </w:rPr>
        <w:t xml:space="preserve"> of the magnitude, seasonal patterns, and peak timing for the selected variables. First, parameter values were manually changed to improve overall dynamics and behavior and to limit the parameter space range; then, in a second calibration step, the optimization algorithm CMA-ES (covariance matrix adaptation evolution strategy</w:t>
      </w:r>
      <w:sdt>
        <w:sdtPr>
          <w:rPr>
            <w:color w:val="000000"/>
            <w:vertAlign w:val="superscript"/>
          </w:rPr>
          <w:tag w:val="MENDELEY_CITATION_v3_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"/>
          <w:id w:val="-2009213108"/>
          <w:placeholder>
            <w:docPart w:val="469D2F21765DCD42B3B243194152F928"/>
          </w:placeholder>
        </w:sdtPr>
        <w:sdtContent>
          <w:r w:rsidR="008E32A9" w:rsidRPr="008E32A9">
            <w:rPr>
              <w:color w:val="000000"/>
              <w:vertAlign w:val="superscript"/>
            </w:rPr>
            <w:t>12</w:t>
          </w:r>
        </w:sdtContent>
      </w:sdt>
      <w:r w:rsidR="001A2CB1" w:rsidRPr="00A14EE6">
        <w:rPr>
          <w:color w:val="000000" w:themeColor="text1"/>
        </w:rPr>
        <w:t xml:space="preserve">) was used to minimize the fit criteria RMSE (root mean square error) between observed and simulated data. In face of the integrative </w:t>
      </w:r>
      <w:r w:rsidR="001A2CB1" w:rsidRPr="00A14EE6">
        <w:rPr>
          <w:color w:val="000000" w:themeColor="text1"/>
        </w:rPr>
        <w:lastRenderedPageBreak/>
        <w:t xml:space="preserve">aspect of the present study, model outputs of DO, </w:t>
      </w:r>
      <w:proofErr w:type="spellStart"/>
      <w:r w:rsidR="001A2CB1" w:rsidRPr="00A14EE6">
        <w:rPr>
          <w:color w:val="000000" w:themeColor="text1"/>
        </w:rPr>
        <w:t>chl</w:t>
      </w:r>
      <w:proofErr w:type="spellEnd"/>
      <w:r w:rsidR="001A2CB1" w:rsidRPr="00A14EE6">
        <w:rPr>
          <w:color w:val="000000" w:themeColor="text1"/>
        </w:rPr>
        <w:t>-a, and TOC were compared to field measurements for integrated layers of epilimnion (0–30 m) and deep hypolimnion (270–300 m) instead of discrete depths. The model parameters were calibrated iteratively and fixed for the next calibration step in the following order: dissolved oxygen, total organic carbon, and chlorophyll-a. Calibration was run for 300 iterations for each variable. This calibration approach was done in accordance with other aquatic ecosystem modelling studies</w:t>
      </w:r>
      <w:sdt>
        <w:sdtPr>
          <w:rPr>
            <w:color w:val="000000"/>
            <w:vertAlign w:val="superscript"/>
          </w:rPr>
          <w:tag w:val="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"/>
          <w:id w:val="249013107"/>
          <w:placeholder>
            <w:docPart w:val="08795D32191760448B703C00C9CB9617"/>
          </w:placeholder>
        </w:sdtPr>
        <w:sdtContent>
          <w:r w:rsidR="008E32A9" w:rsidRPr="008E32A9">
            <w:rPr>
              <w:color w:val="000000"/>
              <w:vertAlign w:val="superscript"/>
            </w:rPr>
            <w:t>13–15</w:t>
          </w:r>
        </w:sdtContent>
      </w:sdt>
      <w:r w:rsidR="001A2CB1" w:rsidRPr="00A14EE6">
        <w:rPr>
          <w:color w:val="000000" w:themeColor="text1"/>
        </w:rPr>
        <w:t>.</w:t>
      </w:r>
    </w:p>
    <w:p w14:paraId="7911A08C" w14:textId="6E9FE712" w:rsidR="00F84704" w:rsidRPr="00A14EE6" w:rsidRDefault="001A2CB1" w:rsidP="00F84704">
      <w:pPr>
        <w:pStyle w:val="NormalWeb"/>
        <w:spacing w:before="0" w:beforeAutospacing="0" w:after="240" w:afterAutospacing="0" w:line="360" w:lineRule="auto"/>
        <w:ind w:firstLine="640"/>
        <w:jc w:val="both"/>
        <w:rPr>
          <w:color w:val="000000" w:themeColor="text1"/>
        </w:rPr>
        <w:sectPr w:rsidR="00F84704" w:rsidRPr="00A14EE6">
          <w:pgSz w:w="12240" w:h="15840"/>
          <w:pgMar w:top="1440" w:right="1440" w:bottom="1440" w:left="1440" w:header="720" w:footer="720" w:gutter="0"/>
          <w:cols w:space="720"/>
          <w:docGrid w:linePitch="360"/>
        </w:sectPr>
      </w:pPr>
      <w:r w:rsidRPr="00A14EE6">
        <w:rPr>
          <w:color w:val="000000" w:themeColor="text1"/>
        </w:rPr>
        <w:t xml:space="preserve">The calibrated parameters were validated against the remaining field data for 1957–1991 and 2002–2020 periods. We used time periods prior and after to the calibration period for validation to stress test the model by applying it at periods with different ecological characteristics. </w:t>
      </w:r>
    </w:p>
    <w:p w14:paraId="6775340A" w14:textId="4DFA9807" w:rsidR="00F84704" w:rsidRPr="00A14EE6" w:rsidRDefault="001A2CB1" w:rsidP="001A2CB1">
      <w:pPr>
        <w:jc w:val="both"/>
        <w:rPr>
          <w:rFonts w:ascii="Times New Roman" w:hAnsi="Times New Roman" w:cs="Times New Roman"/>
          <w:b/>
          <w:bCs/>
          <w:color w:val="000000" w:themeColor="text1"/>
        </w:rPr>
      </w:pPr>
      <w:r w:rsidRPr="00A14EE6">
        <w:rPr>
          <w:rFonts w:ascii="Times New Roman" w:hAnsi="Times New Roman" w:cs="Times New Roman"/>
          <w:b/>
          <w:bCs/>
          <w:color w:val="000000" w:themeColor="text1"/>
        </w:rPr>
        <w:lastRenderedPageBreak/>
        <w:t>Table S</w:t>
      </w:r>
      <w:r w:rsidR="00C6405E" w:rsidRPr="00A14EE6">
        <w:rPr>
          <w:rFonts w:ascii="Times New Roman" w:hAnsi="Times New Roman" w:cs="Times New Roman"/>
          <w:b/>
          <w:bCs/>
          <w:color w:val="000000" w:themeColor="text1"/>
        </w:rPr>
        <w:t>2</w:t>
      </w:r>
      <w:r w:rsidRPr="00A14EE6">
        <w:rPr>
          <w:rFonts w:ascii="Times New Roman" w:hAnsi="Times New Roman" w:cs="Times New Roman"/>
          <w:b/>
          <w:bCs/>
          <w:color w:val="000000" w:themeColor="text1"/>
        </w:rPr>
        <w:t>. The selected AED parameters, their initial value, typical range, and calibrated value.</w:t>
      </w:r>
    </w:p>
    <w:tbl>
      <w:tblPr>
        <w:tblStyle w:val="TableGrid"/>
        <w:tblpPr w:leftFromText="180" w:rightFromText="180" w:vertAnchor="text" w:horzAnchor="margin" w:tblpXSpec="center" w:tblpY="66"/>
        <w:tblW w:w="9854"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70"/>
        <w:gridCol w:w="5924"/>
        <w:gridCol w:w="736"/>
        <w:gridCol w:w="1208"/>
        <w:gridCol w:w="816"/>
      </w:tblGrid>
      <w:tr w:rsidR="00F84704" w:rsidRPr="00F84704" w14:paraId="261302AA" w14:textId="77777777" w:rsidTr="00F84704">
        <w:tc>
          <w:tcPr>
            <w:tcW w:w="1170" w:type="dxa"/>
            <w:tcBorders>
              <w:top w:val="single" w:sz="4" w:space="0" w:color="auto"/>
              <w:bottom w:val="single" w:sz="4" w:space="0" w:color="auto"/>
            </w:tcBorders>
          </w:tcPr>
          <w:p w14:paraId="7440FF50" w14:textId="77777777" w:rsidR="001A2CB1" w:rsidRPr="00F84704" w:rsidRDefault="001A2CB1" w:rsidP="00A55182">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Symbol</w:t>
            </w:r>
          </w:p>
        </w:tc>
        <w:tc>
          <w:tcPr>
            <w:tcW w:w="5924" w:type="dxa"/>
            <w:tcBorders>
              <w:top w:val="single" w:sz="4" w:space="0" w:color="auto"/>
              <w:bottom w:val="single" w:sz="4" w:space="0" w:color="auto"/>
            </w:tcBorders>
          </w:tcPr>
          <w:p w14:paraId="7C8FA62E" w14:textId="77777777" w:rsidR="001A2CB1" w:rsidRPr="00F84704" w:rsidRDefault="001A2CB1" w:rsidP="00A55182">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Description</w:t>
            </w:r>
          </w:p>
        </w:tc>
        <w:tc>
          <w:tcPr>
            <w:tcW w:w="736" w:type="dxa"/>
            <w:tcBorders>
              <w:top w:val="single" w:sz="4" w:space="0" w:color="auto"/>
              <w:bottom w:val="single" w:sz="4" w:space="0" w:color="auto"/>
            </w:tcBorders>
          </w:tcPr>
          <w:p w14:paraId="2DE7384F" w14:textId="77777777" w:rsidR="001A2CB1" w:rsidRPr="00F84704" w:rsidRDefault="001A2CB1" w:rsidP="00A14EE6">
            <w:pPr>
              <w:jc w:val="both"/>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Initial value</w:t>
            </w:r>
          </w:p>
        </w:tc>
        <w:tc>
          <w:tcPr>
            <w:tcW w:w="1208" w:type="dxa"/>
            <w:tcBorders>
              <w:top w:val="single" w:sz="4" w:space="0" w:color="auto"/>
              <w:bottom w:val="single" w:sz="4" w:space="0" w:color="auto"/>
            </w:tcBorders>
          </w:tcPr>
          <w:p w14:paraId="1A680372" w14:textId="77777777" w:rsidR="001A2CB1" w:rsidRPr="00F84704" w:rsidRDefault="001A2CB1" w:rsidP="00A14EE6">
            <w:pPr>
              <w:jc w:val="both"/>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Range</w:t>
            </w:r>
          </w:p>
        </w:tc>
        <w:tc>
          <w:tcPr>
            <w:tcW w:w="816" w:type="dxa"/>
            <w:tcBorders>
              <w:top w:val="single" w:sz="4" w:space="0" w:color="auto"/>
              <w:bottom w:val="single" w:sz="4" w:space="0" w:color="auto"/>
            </w:tcBorders>
          </w:tcPr>
          <w:p w14:paraId="2358F09A" w14:textId="77777777" w:rsidR="001A2CB1" w:rsidRPr="00F84704" w:rsidRDefault="001A2CB1" w:rsidP="00A14EE6">
            <w:pPr>
              <w:jc w:val="both"/>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Assigned value</w:t>
            </w:r>
          </w:p>
        </w:tc>
      </w:tr>
      <w:tr w:rsidR="00F84704" w:rsidRPr="00F84704" w14:paraId="05F988F7" w14:textId="77777777" w:rsidTr="00F84704">
        <w:tc>
          <w:tcPr>
            <w:tcW w:w="1170" w:type="dxa"/>
            <w:tcBorders>
              <w:top w:val="nil"/>
              <w:bottom w:val="nil"/>
            </w:tcBorders>
            <w:shd w:val="clear" w:color="auto" w:fill="DEEAF6" w:themeFill="accent5" w:themeFillTint="33"/>
          </w:tcPr>
          <w:p w14:paraId="4259E882" w14:textId="77777777" w:rsidR="001A2CB1" w:rsidRPr="00F84704" w:rsidRDefault="001A2CB1" w:rsidP="00A55182">
            <w:pPr>
              <w:rPr>
                <w:rFonts w:ascii="Times New Roman" w:hAnsi="Times New Roman" w:cs="Times New Roman"/>
                <w:i/>
                <w:iCs/>
                <w:color w:val="000000" w:themeColor="text1"/>
                <w:sz w:val="16"/>
                <w:szCs w:val="16"/>
              </w:rPr>
            </w:pPr>
            <w:r w:rsidRPr="00F84704">
              <w:rPr>
                <w:rFonts w:ascii="Times New Roman" w:hAnsi="Times New Roman" w:cs="Times New Roman"/>
                <w:i/>
                <w:iCs/>
                <w:color w:val="000000" w:themeColor="text1"/>
                <w:sz w:val="16"/>
                <w:szCs w:val="16"/>
              </w:rPr>
              <w:t>Oxygen</w:t>
            </w:r>
          </w:p>
        </w:tc>
        <w:tc>
          <w:tcPr>
            <w:tcW w:w="5924" w:type="dxa"/>
            <w:tcBorders>
              <w:top w:val="nil"/>
              <w:bottom w:val="nil"/>
            </w:tcBorders>
            <w:shd w:val="clear" w:color="auto" w:fill="DEEAF6" w:themeFill="accent5" w:themeFillTint="33"/>
          </w:tcPr>
          <w:p w14:paraId="0E399846" w14:textId="77777777" w:rsidR="001A2CB1" w:rsidRPr="00F84704" w:rsidRDefault="001A2CB1" w:rsidP="00A55182">
            <w:pPr>
              <w:rPr>
                <w:rFonts w:ascii="Times New Roman" w:hAnsi="Times New Roman" w:cs="Times New Roman"/>
                <w:color w:val="000000" w:themeColor="text1"/>
                <w:sz w:val="16"/>
                <w:szCs w:val="16"/>
              </w:rPr>
            </w:pPr>
          </w:p>
        </w:tc>
        <w:tc>
          <w:tcPr>
            <w:tcW w:w="736" w:type="dxa"/>
            <w:tcBorders>
              <w:top w:val="nil"/>
              <w:bottom w:val="nil"/>
            </w:tcBorders>
            <w:shd w:val="clear" w:color="auto" w:fill="DEEAF6" w:themeFill="accent5" w:themeFillTint="33"/>
          </w:tcPr>
          <w:p w14:paraId="52936F20" w14:textId="77777777" w:rsidR="001A2CB1" w:rsidRPr="00F84704" w:rsidRDefault="001A2CB1" w:rsidP="00A55182">
            <w:pPr>
              <w:rPr>
                <w:rFonts w:ascii="Times New Roman" w:hAnsi="Times New Roman" w:cs="Times New Roman"/>
                <w:color w:val="000000" w:themeColor="text1"/>
                <w:sz w:val="16"/>
                <w:szCs w:val="16"/>
              </w:rPr>
            </w:pPr>
          </w:p>
        </w:tc>
        <w:tc>
          <w:tcPr>
            <w:tcW w:w="1208" w:type="dxa"/>
            <w:tcBorders>
              <w:top w:val="nil"/>
              <w:bottom w:val="nil"/>
            </w:tcBorders>
            <w:shd w:val="clear" w:color="auto" w:fill="DEEAF6" w:themeFill="accent5" w:themeFillTint="33"/>
          </w:tcPr>
          <w:p w14:paraId="7D1AF337" w14:textId="77777777" w:rsidR="001A2CB1" w:rsidRPr="00F84704" w:rsidRDefault="001A2CB1" w:rsidP="00A55182">
            <w:pPr>
              <w:rPr>
                <w:rFonts w:ascii="Times New Roman" w:hAnsi="Times New Roman" w:cs="Times New Roman"/>
                <w:color w:val="000000" w:themeColor="text1"/>
                <w:sz w:val="16"/>
                <w:szCs w:val="16"/>
              </w:rPr>
            </w:pPr>
          </w:p>
        </w:tc>
        <w:tc>
          <w:tcPr>
            <w:tcW w:w="816" w:type="dxa"/>
            <w:tcBorders>
              <w:top w:val="nil"/>
              <w:bottom w:val="nil"/>
            </w:tcBorders>
            <w:shd w:val="clear" w:color="auto" w:fill="DEEAF6" w:themeFill="accent5" w:themeFillTint="33"/>
          </w:tcPr>
          <w:p w14:paraId="0DF187F5" w14:textId="77777777" w:rsidR="001A2CB1" w:rsidRPr="00F84704" w:rsidRDefault="001A2CB1" w:rsidP="00A55182">
            <w:pPr>
              <w:rPr>
                <w:rFonts w:ascii="Times New Roman" w:hAnsi="Times New Roman" w:cs="Times New Roman"/>
                <w:color w:val="000000" w:themeColor="text1"/>
                <w:sz w:val="16"/>
                <w:szCs w:val="16"/>
              </w:rPr>
            </w:pPr>
          </w:p>
        </w:tc>
      </w:tr>
      <w:tr w:rsidR="00F84704" w:rsidRPr="00F84704" w14:paraId="7E9D996A" w14:textId="77777777" w:rsidTr="00F84704">
        <w:tc>
          <w:tcPr>
            <w:tcW w:w="1170" w:type="dxa"/>
            <w:tcBorders>
              <w:top w:val="nil"/>
              <w:bottom w:val="nil"/>
            </w:tcBorders>
          </w:tcPr>
          <w:p w14:paraId="51081FBB" w14:textId="77777777" w:rsidR="001A2CB1" w:rsidRPr="00F84704" w:rsidRDefault="001A2CB1" w:rsidP="00A55182">
            <w:pPr>
              <w:rPr>
                <w:rFonts w:ascii="Times New Roman" w:hAnsi="Times New Roman" w:cs="Times New Roman"/>
                <w:color w:val="000000" w:themeColor="text1"/>
                <w:sz w:val="16"/>
                <w:szCs w:val="16"/>
              </w:rPr>
            </w:pPr>
            <w:proofErr w:type="spellStart"/>
            <w:r w:rsidRPr="00F84704">
              <w:rPr>
                <w:rFonts w:ascii="Times New Roman" w:hAnsi="Times New Roman" w:cs="Times New Roman"/>
                <w:color w:val="000000" w:themeColor="text1"/>
                <w:sz w:val="16"/>
                <w:szCs w:val="16"/>
                <w:shd w:val="clear" w:color="auto" w:fill="FAF9F8"/>
              </w:rPr>
              <w:t>Fsed_oxy</w:t>
            </w:r>
            <w:proofErr w:type="spellEnd"/>
            <w:r w:rsidRPr="00F84704">
              <w:rPr>
                <w:rFonts w:ascii="Times New Roman" w:hAnsi="Times New Roman" w:cs="Times New Roman"/>
                <w:color w:val="000000" w:themeColor="text1"/>
                <w:sz w:val="16"/>
                <w:szCs w:val="16"/>
                <w:shd w:val="clear" w:color="auto" w:fill="FAF9F8"/>
              </w:rPr>
              <w:t xml:space="preserve"> </w:t>
            </w:r>
          </w:p>
        </w:tc>
        <w:tc>
          <w:tcPr>
            <w:tcW w:w="5924" w:type="dxa"/>
            <w:tcBorders>
              <w:top w:val="nil"/>
              <w:bottom w:val="nil"/>
            </w:tcBorders>
          </w:tcPr>
          <w:p w14:paraId="3FB62505" w14:textId="77777777" w:rsidR="001A2CB1" w:rsidRPr="00F84704" w:rsidRDefault="001A2CB1" w:rsidP="00A55182">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 xml:space="preserve">Sedimentation flux for dissolved oxygen at 20 </w:t>
            </w:r>
            <w:r w:rsidRPr="00F84704">
              <w:rPr>
                <w:rFonts w:ascii="Times New Roman" w:hAnsi="Times New Roman" w:cs="Times New Roman"/>
                <w:color w:val="000000" w:themeColor="text1"/>
                <w:sz w:val="16"/>
                <w:szCs w:val="16"/>
              </w:rPr>
              <w:sym w:font="Symbol" w:char="F0B0"/>
            </w:r>
            <w:r w:rsidRPr="00F84704">
              <w:rPr>
                <w:rFonts w:ascii="Times New Roman" w:hAnsi="Times New Roman" w:cs="Times New Roman"/>
                <w:color w:val="000000" w:themeColor="text1"/>
                <w:sz w:val="16"/>
                <w:szCs w:val="16"/>
              </w:rPr>
              <w:t>C (mmol m</w:t>
            </w:r>
            <w:r w:rsidRPr="00F84704">
              <w:rPr>
                <w:rFonts w:ascii="Times New Roman" w:hAnsi="Times New Roman" w:cs="Times New Roman"/>
                <w:color w:val="000000" w:themeColor="text1"/>
                <w:sz w:val="16"/>
                <w:szCs w:val="16"/>
                <w:vertAlign w:val="superscript"/>
              </w:rPr>
              <w:sym w:font="Symbol" w:char="F02D"/>
            </w:r>
            <w:r w:rsidRPr="00F84704">
              <w:rPr>
                <w:rFonts w:ascii="Times New Roman" w:hAnsi="Times New Roman" w:cs="Times New Roman"/>
                <w:color w:val="000000" w:themeColor="text1"/>
                <w:sz w:val="16"/>
                <w:szCs w:val="16"/>
                <w:vertAlign w:val="superscript"/>
              </w:rPr>
              <w:t xml:space="preserve">2 </w:t>
            </w:r>
            <w:r w:rsidRPr="00F84704">
              <w:rPr>
                <w:rFonts w:ascii="Times New Roman" w:hAnsi="Times New Roman" w:cs="Times New Roman"/>
                <w:color w:val="000000" w:themeColor="text1"/>
                <w:sz w:val="16"/>
                <w:szCs w:val="16"/>
              </w:rPr>
              <w:t>d</w:t>
            </w:r>
            <w:r w:rsidRPr="00F84704">
              <w:rPr>
                <w:rFonts w:ascii="Times New Roman" w:hAnsi="Times New Roman" w:cs="Times New Roman"/>
                <w:color w:val="000000" w:themeColor="text1"/>
                <w:sz w:val="16"/>
                <w:szCs w:val="16"/>
                <w:vertAlign w:val="superscript"/>
              </w:rPr>
              <w:sym w:font="Symbol" w:char="F02D"/>
            </w:r>
            <w:r w:rsidRPr="00F84704">
              <w:rPr>
                <w:rFonts w:ascii="Times New Roman" w:hAnsi="Times New Roman" w:cs="Times New Roman"/>
                <w:color w:val="000000" w:themeColor="text1"/>
                <w:sz w:val="16"/>
                <w:szCs w:val="16"/>
                <w:vertAlign w:val="superscript"/>
              </w:rPr>
              <w:t>1</w:t>
            </w:r>
            <w:r w:rsidRPr="00F84704">
              <w:rPr>
                <w:rFonts w:ascii="Times New Roman" w:hAnsi="Times New Roman" w:cs="Times New Roman"/>
                <w:color w:val="000000" w:themeColor="text1"/>
                <w:sz w:val="16"/>
                <w:szCs w:val="16"/>
              </w:rPr>
              <w:t>)</w:t>
            </w:r>
          </w:p>
        </w:tc>
        <w:tc>
          <w:tcPr>
            <w:tcW w:w="736" w:type="dxa"/>
            <w:tcBorders>
              <w:top w:val="nil"/>
              <w:bottom w:val="nil"/>
            </w:tcBorders>
          </w:tcPr>
          <w:p w14:paraId="49B713B9"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sym w:font="Symbol" w:char="F02D"/>
            </w:r>
            <w:r w:rsidRPr="00F84704">
              <w:rPr>
                <w:rFonts w:ascii="Times New Roman" w:hAnsi="Times New Roman" w:cs="Times New Roman"/>
                <w:color w:val="000000" w:themeColor="text1"/>
                <w:sz w:val="16"/>
                <w:szCs w:val="16"/>
              </w:rPr>
              <w:t>6</w:t>
            </w:r>
          </w:p>
        </w:tc>
        <w:tc>
          <w:tcPr>
            <w:tcW w:w="1208" w:type="dxa"/>
            <w:tcBorders>
              <w:top w:val="nil"/>
              <w:bottom w:val="nil"/>
            </w:tcBorders>
          </w:tcPr>
          <w:p w14:paraId="0F7C710F"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sym w:font="Symbol" w:char="F02D"/>
            </w:r>
            <w:r w:rsidRPr="00F84704">
              <w:rPr>
                <w:rFonts w:ascii="Times New Roman" w:hAnsi="Times New Roman" w:cs="Times New Roman"/>
                <w:color w:val="000000" w:themeColor="text1"/>
                <w:sz w:val="16"/>
                <w:szCs w:val="16"/>
              </w:rPr>
              <w:t>300 – 300</w:t>
            </w:r>
          </w:p>
        </w:tc>
        <w:tc>
          <w:tcPr>
            <w:tcW w:w="816" w:type="dxa"/>
            <w:tcBorders>
              <w:top w:val="nil"/>
              <w:bottom w:val="nil"/>
            </w:tcBorders>
          </w:tcPr>
          <w:p w14:paraId="3409FF8D"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sym w:font="Symbol" w:char="F02D"/>
            </w:r>
            <w:r w:rsidRPr="00F84704">
              <w:rPr>
                <w:rFonts w:ascii="Times New Roman" w:hAnsi="Times New Roman" w:cs="Times New Roman"/>
                <w:color w:val="000000" w:themeColor="text1"/>
                <w:sz w:val="16"/>
                <w:szCs w:val="16"/>
              </w:rPr>
              <w:t>40.0</w:t>
            </w:r>
          </w:p>
        </w:tc>
      </w:tr>
      <w:tr w:rsidR="00F84704" w:rsidRPr="00F84704" w14:paraId="2C3A3E70" w14:textId="77777777" w:rsidTr="00F84704">
        <w:tc>
          <w:tcPr>
            <w:tcW w:w="1170" w:type="dxa"/>
            <w:tcBorders>
              <w:top w:val="nil"/>
              <w:bottom w:val="nil"/>
            </w:tcBorders>
          </w:tcPr>
          <w:p w14:paraId="7F136580" w14:textId="77777777" w:rsidR="001A2CB1" w:rsidRPr="00F84704" w:rsidRDefault="001A2CB1" w:rsidP="00A55182">
            <w:pPr>
              <w:rPr>
                <w:rFonts w:ascii="Times New Roman" w:hAnsi="Times New Roman" w:cs="Times New Roman"/>
                <w:color w:val="000000" w:themeColor="text1"/>
                <w:sz w:val="16"/>
                <w:szCs w:val="16"/>
                <w:shd w:val="clear" w:color="auto" w:fill="FAF9F8"/>
              </w:rPr>
            </w:pPr>
            <w:proofErr w:type="spellStart"/>
            <w:r w:rsidRPr="00F84704">
              <w:rPr>
                <w:rFonts w:ascii="Times New Roman" w:hAnsi="Times New Roman" w:cs="Times New Roman"/>
                <w:color w:val="000000" w:themeColor="text1"/>
                <w:sz w:val="16"/>
                <w:szCs w:val="16"/>
                <w:shd w:val="clear" w:color="auto" w:fill="FAF9F8"/>
              </w:rPr>
              <w:t>Ksed_oxy</w:t>
            </w:r>
            <w:proofErr w:type="spellEnd"/>
          </w:p>
        </w:tc>
        <w:tc>
          <w:tcPr>
            <w:tcW w:w="5924" w:type="dxa"/>
            <w:tcBorders>
              <w:top w:val="nil"/>
              <w:bottom w:val="nil"/>
            </w:tcBorders>
          </w:tcPr>
          <w:p w14:paraId="2629D238" w14:textId="77777777" w:rsidR="001A2CB1" w:rsidRPr="00F84704" w:rsidRDefault="001A2CB1" w:rsidP="00A55182">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Half-saturation oxygen concentration controlling oxygen flux (mmol m</w:t>
            </w:r>
            <w:r w:rsidRPr="00F84704">
              <w:rPr>
                <w:rFonts w:ascii="Times New Roman" w:hAnsi="Times New Roman" w:cs="Times New Roman"/>
                <w:color w:val="000000" w:themeColor="text1"/>
                <w:sz w:val="16"/>
                <w:szCs w:val="16"/>
                <w:vertAlign w:val="superscript"/>
              </w:rPr>
              <w:sym w:font="Symbol" w:char="F02D"/>
            </w:r>
            <w:r w:rsidRPr="00F84704">
              <w:rPr>
                <w:rFonts w:ascii="Times New Roman" w:hAnsi="Times New Roman" w:cs="Times New Roman"/>
                <w:color w:val="000000" w:themeColor="text1"/>
                <w:sz w:val="16"/>
                <w:szCs w:val="16"/>
                <w:vertAlign w:val="superscript"/>
              </w:rPr>
              <w:t>3</w:t>
            </w:r>
            <w:r w:rsidRPr="00F84704">
              <w:rPr>
                <w:rFonts w:ascii="Times New Roman" w:hAnsi="Times New Roman" w:cs="Times New Roman"/>
                <w:color w:val="000000" w:themeColor="text1"/>
                <w:sz w:val="16"/>
                <w:szCs w:val="16"/>
              </w:rPr>
              <w:t>)</w:t>
            </w:r>
          </w:p>
        </w:tc>
        <w:tc>
          <w:tcPr>
            <w:tcW w:w="736" w:type="dxa"/>
            <w:tcBorders>
              <w:top w:val="nil"/>
              <w:bottom w:val="nil"/>
            </w:tcBorders>
          </w:tcPr>
          <w:p w14:paraId="2D72656B"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20</w:t>
            </w:r>
          </w:p>
        </w:tc>
        <w:tc>
          <w:tcPr>
            <w:tcW w:w="1208" w:type="dxa"/>
            <w:tcBorders>
              <w:top w:val="nil"/>
              <w:bottom w:val="nil"/>
            </w:tcBorders>
          </w:tcPr>
          <w:p w14:paraId="18A980C2"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20 – 100</w:t>
            </w:r>
          </w:p>
        </w:tc>
        <w:tc>
          <w:tcPr>
            <w:tcW w:w="816" w:type="dxa"/>
            <w:tcBorders>
              <w:top w:val="nil"/>
              <w:bottom w:val="nil"/>
            </w:tcBorders>
          </w:tcPr>
          <w:p w14:paraId="39BD3F82"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100</w:t>
            </w:r>
          </w:p>
        </w:tc>
      </w:tr>
      <w:tr w:rsidR="00F84704" w:rsidRPr="00F84704" w14:paraId="55C91F1C" w14:textId="77777777" w:rsidTr="00F84704">
        <w:tc>
          <w:tcPr>
            <w:tcW w:w="1170" w:type="dxa"/>
            <w:tcBorders>
              <w:top w:val="nil"/>
              <w:bottom w:val="nil"/>
            </w:tcBorders>
            <w:shd w:val="clear" w:color="auto" w:fill="DEEAF6" w:themeFill="accent5" w:themeFillTint="33"/>
          </w:tcPr>
          <w:p w14:paraId="517A0ADB" w14:textId="77777777" w:rsidR="001A2CB1" w:rsidRPr="00F84704" w:rsidRDefault="001A2CB1" w:rsidP="00A55182">
            <w:pPr>
              <w:rPr>
                <w:rFonts w:ascii="Times New Roman" w:hAnsi="Times New Roman" w:cs="Times New Roman"/>
                <w:i/>
                <w:iCs/>
                <w:color w:val="000000" w:themeColor="text1"/>
                <w:sz w:val="16"/>
                <w:szCs w:val="16"/>
              </w:rPr>
            </w:pPr>
            <w:r w:rsidRPr="00F84704">
              <w:rPr>
                <w:rFonts w:ascii="Times New Roman" w:hAnsi="Times New Roman" w:cs="Times New Roman"/>
                <w:i/>
                <w:iCs/>
                <w:color w:val="000000" w:themeColor="text1"/>
                <w:sz w:val="16"/>
                <w:szCs w:val="16"/>
              </w:rPr>
              <w:t>Phosphorus</w:t>
            </w:r>
          </w:p>
        </w:tc>
        <w:tc>
          <w:tcPr>
            <w:tcW w:w="5924" w:type="dxa"/>
            <w:tcBorders>
              <w:top w:val="nil"/>
              <w:bottom w:val="nil"/>
            </w:tcBorders>
            <w:shd w:val="clear" w:color="auto" w:fill="DEEAF6" w:themeFill="accent5" w:themeFillTint="33"/>
          </w:tcPr>
          <w:p w14:paraId="51FF47ED" w14:textId="77777777" w:rsidR="001A2CB1" w:rsidRPr="00F84704" w:rsidRDefault="001A2CB1" w:rsidP="00A55182">
            <w:pPr>
              <w:rPr>
                <w:rFonts w:ascii="Times New Roman" w:hAnsi="Times New Roman" w:cs="Times New Roman"/>
                <w:i/>
                <w:iCs/>
                <w:color w:val="000000" w:themeColor="text1"/>
                <w:sz w:val="16"/>
                <w:szCs w:val="16"/>
              </w:rPr>
            </w:pPr>
          </w:p>
        </w:tc>
        <w:tc>
          <w:tcPr>
            <w:tcW w:w="736" w:type="dxa"/>
            <w:tcBorders>
              <w:top w:val="nil"/>
              <w:bottom w:val="nil"/>
            </w:tcBorders>
            <w:shd w:val="clear" w:color="auto" w:fill="DEEAF6" w:themeFill="accent5" w:themeFillTint="33"/>
          </w:tcPr>
          <w:p w14:paraId="49773D2B" w14:textId="77777777" w:rsidR="001A2CB1" w:rsidRPr="00F84704" w:rsidRDefault="001A2CB1" w:rsidP="00F84704">
            <w:pPr>
              <w:rPr>
                <w:rFonts w:ascii="Times New Roman" w:hAnsi="Times New Roman" w:cs="Times New Roman"/>
                <w:i/>
                <w:iCs/>
                <w:color w:val="000000" w:themeColor="text1"/>
                <w:sz w:val="16"/>
                <w:szCs w:val="16"/>
              </w:rPr>
            </w:pPr>
          </w:p>
        </w:tc>
        <w:tc>
          <w:tcPr>
            <w:tcW w:w="1208" w:type="dxa"/>
            <w:tcBorders>
              <w:top w:val="nil"/>
              <w:bottom w:val="nil"/>
            </w:tcBorders>
            <w:shd w:val="clear" w:color="auto" w:fill="DEEAF6" w:themeFill="accent5" w:themeFillTint="33"/>
          </w:tcPr>
          <w:p w14:paraId="7E726DF0" w14:textId="77777777" w:rsidR="001A2CB1" w:rsidRPr="00F84704" w:rsidRDefault="001A2CB1" w:rsidP="00F84704">
            <w:pPr>
              <w:rPr>
                <w:rFonts w:ascii="Times New Roman" w:hAnsi="Times New Roman" w:cs="Times New Roman"/>
                <w:i/>
                <w:iCs/>
                <w:color w:val="000000" w:themeColor="text1"/>
                <w:sz w:val="16"/>
                <w:szCs w:val="16"/>
              </w:rPr>
            </w:pPr>
          </w:p>
        </w:tc>
        <w:tc>
          <w:tcPr>
            <w:tcW w:w="816" w:type="dxa"/>
            <w:tcBorders>
              <w:top w:val="nil"/>
              <w:bottom w:val="nil"/>
            </w:tcBorders>
            <w:shd w:val="clear" w:color="auto" w:fill="DEEAF6" w:themeFill="accent5" w:themeFillTint="33"/>
          </w:tcPr>
          <w:p w14:paraId="06F08FCB" w14:textId="77777777" w:rsidR="001A2CB1" w:rsidRPr="00F84704" w:rsidRDefault="001A2CB1" w:rsidP="00F84704">
            <w:pPr>
              <w:rPr>
                <w:rFonts w:ascii="Times New Roman" w:hAnsi="Times New Roman" w:cs="Times New Roman"/>
                <w:i/>
                <w:iCs/>
                <w:color w:val="000000" w:themeColor="text1"/>
                <w:sz w:val="16"/>
                <w:szCs w:val="16"/>
              </w:rPr>
            </w:pPr>
          </w:p>
        </w:tc>
      </w:tr>
      <w:tr w:rsidR="00F84704" w:rsidRPr="00F84704" w14:paraId="00D245D9" w14:textId="77777777" w:rsidTr="00F84704">
        <w:tc>
          <w:tcPr>
            <w:tcW w:w="1170" w:type="dxa"/>
            <w:tcBorders>
              <w:top w:val="nil"/>
              <w:bottom w:val="nil"/>
            </w:tcBorders>
          </w:tcPr>
          <w:p w14:paraId="1FBB5023" w14:textId="77777777" w:rsidR="001A2CB1" w:rsidRPr="00F84704" w:rsidRDefault="001A2CB1" w:rsidP="00A55182">
            <w:pPr>
              <w:rPr>
                <w:rFonts w:ascii="Times New Roman" w:hAnsi="Times New Roman" w:cs="Times New Roman"/>
                <w:color w:val="000000" w:themeColor="text1"/>
                <w:sz w:val="16"/>
                <w:szCs w:val="16"/>
              </w:rPr>
            </w:pPr>
            <w:proofErr w:type="spellStart"/>
            <w:r w:rsidRPr="00F84704">
              <w:rPr>
                <w:rFonts w:ascii="Times New Roman" w:hAnsi="Times New Roman" w:cs="Times New Roman"/>
                <w:color w:val="000000" w:themeColor="text1"/>
                <w:sz w:val="16"/>
                <w:szCs w:val="16"/>
                <w:shd w:val="clear" w:color="auto" w:fill="FAF9F8"/>
              </w:rPr>
              <w:t>Fsed_frp</w:t>
            </w:r>
            <w:proofErr w:type="spellEnd"/>
            <w:r w:rsidRPr="00F84704">
              <w:rPr>
                <w:rFonts w:ascii="Times New Roman" w:hAnsi="Times New Roman" w:cs="Times New Roman"/>
                <w:color w:val="000000" w:themeColor="text1"/>
                <w:sz w:val="16"/>
                <w:szCs w:val="16"/>
                <w:shd w:val="clear" w:color="auto" w:fill="FAF9F8"/>
              </w:rPr>
              <w:t xml:space="preserve"> </w:t>
            </w:r>
          </w:p>
        </w:tc>
        <w:tc>
          <w:tcPr>
            <w:tcW w:w="5924" w:type="dxa"/>
            <w:tcBorders>
              <w:top w:val="nil"/>
              <w:bottom w:val="nil"/>
            </w:tcBorders>
          </w:tcPr>
          <w:p w14:paraId="6FFE15D2" w14:textId="77777777" w:rsidR="001A2CB1" w:rsidRPr="00F84704" w:rsidRDefault="001A2CB1" w:rsidP="00A55182">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 xml:space="preserve">Sedimentation flux for filterable reactive phosphorus at 20 </w:t>
            </w:r>
            <w:r w:rsidRPr="00F84704">
              <w:rPr>
                <w:rFonts w:ascii="Times New Roman" w:hAnsi="Times New Roman" w:cs="Times New Roman"/>
                <w:color w:val="000000" w:themeColor="text1"/>
                <w:sz w:val="16"/>
                <w:szCs w:val="16"/>
              </w:rPr>
              <w:sym w:font="Symbol" w:char="F0B0"/>
            </w:r>
            <w:r w:rsidRPr="00F84704">
              <w:rPr>
                <w:rFonts w:ascii="Times New Roman" w:hAnsi="Times New Roman" w:cs="Times New Roman"/>
                <w:color w:val="000000" w:themeColor="text1"/>
                <w:sz w:val="16"/>
                <w:szCs w:val="16"/>
              </w:rPr>
              <w:t>C (mmol m</w:t>
            </w:r>
            <w:r w:rsidRPr="00F84704">
              <w:rPr>
                <w:rFonts w:ascii="Times New Roman" w:hAnsi="Times New Roman" w:cs="Times New Roman"/>
                <w:color w:val="000000" w:themeColor="text1"/>
                <w:sz w:val="16"/>
                <w:szCs w:val="16"/>
                <w:vertAlign w:val="superscript"/>
              </w:rPr>
              <w:sym w:font="Symbol" w:char="F02D"/>
            </w:r>
            <w:r w:rsidRPr="00F84704">
              <w:rPr>
                <w:rFonts w:ascii="Times New Roman" w:hAnsi="Times New Roman" w:cs="Times New Roman"/>
                <w:color w:val="000000" w:themeColor="text1"/>
                <w:sz w:val="16"/>
                <w:szCs w:val="16"/>
                <w:vertAlign w:val="superscript"/>
              </w:rPr>
              <w:t xml:space="preserve">2 </w:t>
            </w:r>
            <w:r w:rsidRPr="00F84704">
              <w:rPr>
                <w:rFonts w:ascii="Times New Roman" w:hAnsi="Times New Roman" w:cs="Times New Roman"/>
                <w:color w:val="000000" w:themeColor="text1"/>
                <w:sz w:val="16"/>
                <w:szCs w:val="16"/>
              </w:rPr>
              <w:t>d</w:t>
            </w:r>
            <w:r w:rsidRPr="00F84704">
              <w:rPr>
                <w:rFonts w:ascii="Times New Roman" w:hAnsi="Times New Roman" w:cs="Times New Roman"/>
                <w:color w:val="000000" w:themeColor="text1"/>
                <w:sz w:val="16"/>
                <w:szCs w:val="16"/>
                <w:vertAlign w:val="superscript"/>
              </w:rPr>
              <w:sym w:font="Symbol" w:char="F02D"/>
            </w:r>
            <w:r w:rsidRPr="00F84704">
              <w:rPr>
                <w:rFonts w:ascii="Times New Roman" w:hAnsi="Times New Roman" w:cs="Times New Roman"/>
                <w:color w:val="000000" w:themeColor="text1"/>
                <w:sz w:val="16"/>
                <w:szCs w:val="16"/>
                <w:vertAlign w:val="superscript"/>
              </w:rPr>
              <w:t>1</w:t>
            </w:r>
            <w:r w:rsidRPr="00F84704">
              <w:rPr>
                <w:rFonts w:ascii="Times New Roman" w:hAnsi="Times New Roman" w:cs="Times New Roman"/>
                <w:color w:val="000000" w:themeColor="text1"/>
                <w:sz w:val="16"/>
                <w:szCs w:val="16"/>
              </w:rPr>
              <w:t>)</w:t>
            </w:r>
          </w:p>
        </w:tc>
        <w:tc>
          <w:tcPr>
            <w:tcW w:w="736" w:type="dxa"/>
            <w:tcBorders>
              <w:top w:val="nil"/>
              <w:bottom w:val="nil"/>
            </w:tcBorders>
          </w:tcPr>
          <w:p w14:paraId="01980198"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0.125</w:t>
            </w:r>
          </w:p>
        </w:tc>
        <w:tc>
          <w:tcPr>
            <w:tcW w:w="1208" w:type="dxa"/>
            <w:tcBorders>
              <w:top w:val="nil"/>
              <w:bottom w:val="nil"/>
            </w:tcBorders>
          </w:tcPr>
          <w:p w14:paraId="3F81D1B3"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sym w:font="Symbol" w:char="F02D"/>
            </w:r>
            <w:r w:rsidRPr="00F84704">
              <w:rPr>
                <w:rFonts w:ascii="Times New Roman" w:hAnsi="Times New Roman" w:cs="Times New Roman"/>
                <w:color w:val="000000" w:themeColor="text1"/>
                <w:sz w:val="16"/>
                <w:szCs w:val="16"/>
              </w:rPr>
              <w:t>30 – 30</w:t>
            </w:r>
          </w:p>
        </w:tc>
        <w:tc>
          <w:tcPr>
            <w:tcW w:w="816" w:type="dxa"/>
            <w:tcBorders>
              <w:top w:val="nil"/>
              <w:bottom w:val="nil"/>
            </w:tcBorders>
          </w:tcPr>
          <w:p w14:paraId="7256A3AE"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0.001</w:t>
            </w:r>
          </w:p>
        </w:tc>
      </w:tr>
      <w:tr w:rsidR="00F84704" w:rsidRPr="00F84704" w14:paraId="35014027" w14:textId="77777777" w:rsidTr="00F84704">
        <w:tc>
          <w:tcPr>
            <w:tcW w:w="1170" w:type="dxa"/>
            <w:tcBorders>
              <w:top w:val="nil"/>
              <w:bottom w:val="nil"/>
            </w:tcBorders>
          </w:tcPr>
          <w:p w14:paraId="1DCE3E39" w14:textId="77777777" w:rsidR="001A2CB1" w:rsidRPr="00F84704" w:rsidRDefault="001A2CB1" w:rsidP="00A55182">
            <w:pPr>
              <w:rPr>
                <w:rFonts w:ascii="Times New Roman" w:hAnsi="Times New Roman" w:cs="Times New Roman"/>
                <w:color w:val="000000" w:themeColor="text1"/>
                <w:sz w:val="16"/>
                <w:szCs w:val="16"/>
                <w:shd w:val="clear" w:color="auto" w:fill="FAF9F8"/>
              </w:rPr>
            </w:pPr>
            <w:proofErr w:type="spellStart"/>
            <w:r w:rsidRPr="00F84704">
              <w:rPr>
                <w:rFonts w:ascii="Times New Roman" w:hAnsi="Times New Roman" w:cs="Times New Roman"/>
                <w:color w:val="000000" w:themeColor="text1"/>
                <w:sz w:val="16"/>
                <w:szCs w:val="16"/>
                <w:shd w:val="clear" w:color="auto" w:fill="FAF9F8"/>
              </w:rPr>
              <w:t>Ksed_frp</w:t>
            </w:r>
            <w:proofErr w:type="spellEnd"/>
          </w:p>
        </w:tc>
        <w:tc>
          <w:tcPr>
            <w:tcW w:w="5924" w:type="dxa"/>
            <w:tcBorders>
              <w:top w:val="nil"/>
              <w:bottom w:val="nil"/>
            </w:tcBorders>
          </w:tcPr>
          <w:p w14:paraId="0C35C084" w14:textId="77777777" w:rsidR="001A2CB1" w:rsidRPr="00F84704" w:rsidRDefault="001A2CB1" w:rsidP="00A55182">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Half-saturation concentration controlling filterable reactive phosphorus flux (mmol m</w:t>
            </w:r>
            <w:r w:rsidRPr="00F84704">
              <w:rPr>
                <w:rFonts w:ascii="Times New Roman" w:hAnsi="Times New Roman" w:cs="Times New Roman"/>
                <w:color w:val="000000" w:themeColor="text1"/>
                <w:sz w:val="16"/>
                <w:szCs w:val="16"/>
                <w:vertAlign w:val="superscript"/>
              </w:rPr>
              <w:sym w:font="Symbol" w:char="F02D"/>
            </w:r>
            <w:r w:rsidRPr="00F84704">
              <w:rPr>
                <w:rFonts w:ascii="Times New Roman" w:hAnsi="Times New Roman" w:cs="Times New Roman"/>
                <w:color w:val="000000" w:themeColor="text1"/>
                <w:sz w:val="16"/>
                <w:szCs w:val="16"/>
                <w:vertAlign w:val="superscript"/>
              </w:rPr>
              <w:t>3</w:t>
            </w:r>
            <w:r w:rsidRPr="00F84704">
              <w:rPr>
                <w:rFonts w:ascii="Times New Roman" w:hAnsi="Times New Roman" w:cs="Times New Roman"/>
                <w:color w:val="000000" w:themeColor="text1"/>
                <w:sz w:val="16"/>
                <w:szCs w:val="16"/>
              </w:rPr>
              <w:t>)</w:t>
            </w:r>
          </w:p>
        </w:tc>
        <w:tc>
          <w:tcPr>
            <w:tcW w:w="736" w:type="dxa"/>
            <w:tcBorders>
              <w:top w:val="nil"/>
              <w:bottom w:val="nil"/>
            </w:tcBorders>
          </w:tcPr>
          <w:p w14:paraId="05274297"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20</w:t>
            </w:r>
          </w:p>
        </w:tc>
        <w:tc>
          <w:tcPr>
            <w:tcW w:w="1208" w:type="dxa"/>
            <w:tcBorders>
              <w:top w:val="nil"/>
              <w:bottom w:val="nil"/>
            </w:tcBorders>
          </w:tcPr>
          <w:p w14:paraId="4E324048"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20 – 100</w:t>
            </w:r>
          </w:p>
        </w:tc>
        <w:tc>
          <w:tcPr>
            <w:tcW w:w="816" w:type="dxa"/>
            <w:tcBorders>
              <w:top w:val="nil"/>
              <w:bottom w:val="nil"/>
            </w:tcBorders>
          </w:tcPr>
          <w:p w14:paraId="78D8ECCC"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20</w:t>
            </w:r>
          </w:p>
        </w:tc>
      </w:tr>
      <w:tr w:rsidR="00F84704" w:rsidRPr="00F84704" w14:paraId="78E5C091" w14:textId="77777777" w:rsidTr="00F84704">
        <w:tc>
          <w:tcPr>
            <w:tcW w:w="1170" w:type="dxa"/>
            <w:tcBorders>
              <w:top w:val="nil"/>
              <w:bottom w:val="nil"/>
            </w:tcBorders>
          </w:tcPr>
          <w:p w14:paraId="0C06DD55" w14:textId="77777777" w:rsidR="001A2CB1" w:rsidRPr="00F84704" w:rsidRDefault="001A2CB1" w:rsidP="00A55182">
            <w:pPr>
              <w:rPr>
                <w:rFonts w:ascii="Times New Roman" w:hAnsi="Times New Roman" w:cs="Times New Roman"/>
                <w:color w:val="000000" w:themeColor="text1"/>
                <w:sz w:val="16"/>
                <w:szCs w:val="16"/>
              </w:rPr>
            </w:pPr>
            <w:proofErr w:type="spellStart"/>
            <w:r w:rsidRPr="00F84704">
              <w:rPr>
                <w:rFonts w:ascii="Times New Roman" w:hAnsi="Times New Roman" w:cs="Times New Roman"/>
                <w:color w:val="000000" w:themeColor="text1"/>
                <w:sz w:val="16"/>
                <w:szCs w:val="16"/>
                <w:shd w:val="clear" w:color="auto" w:fill="FAF9F8"/>
              </w:rPr>
              <w:t>theta_sed_frp</w:t>
            </w:r>
            <w:proofErr w:type="spellEnd"/>
            <w:r w:rsidRPr="00F84704">
              <w:rPr>
                <w:rFonts w:ascii="Times New Roman" w:hAnsi="Times New Roman" w:cs="Times New Roman"/>
                <w:color w:val="000000" w:themeColor="text1"/>
                <w:sz w:val="16"/>
                <w:szCs w:val="16"/>
                <w:shd w:val="clear" w:color="auto" w:fill="FAF9F8"/>
              </w:rPr>
              <w:t xml:space="preserve"> </w:t>
            </w:r>
          </w:p>
        </w:tc>
        <w:tc>
          <w:tcPr>
            <w:tcW w:w="5924" w:type="dxa"/>
            <w:tcBorders>
              <w:top w:val="nil"/>
              <w:bottom w:val="nil"/>
            </w:tcBorders>
          </w:tcPr>
          <w:p w14:paraId="7E65AC17" w14:textId="77777777" w:rsidR="001A2CB1" w:rsidRPr="00F84704" w:rsidRDefault="001A2CB1" w:rsidP="00A55182">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Arrhenius temperature multiplier for sediment filterable reactive phosphorus flux</w:t>
            </w:r>
          </w:p>
        </w:tc>
        <w:tc>
          <w:tcPr>
            <w:tcW w:w="736" w:type="dxa"/>
            <w:tcBorders>
              <w:top w:val="nil"/>
              <w:bottom w:val="nil"/>
            </w:tcBorders>
          </w:tcPr>
          <w:p w14:paraId="1D87E0A0"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1.08</w:t>
            </w:r>
          </w:p>
        </w:tc>
        <w:tc>
          <w:tcPr>
            <w:tcW w:w="1208" w:type="dxa"/>
            <w:tcBorders>
              <w:top w:val="nil"/>
              <w:bottom w:val="nil"/>
            </w:tcBorders>
          </w:tcPr>
          <w:p w14:paraId="00C10DC1"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1.0 – 1.2</w:t>
            </w:r>
          </w:p>
        </w:tc>
        <w:tc>
          <w:tcPr>
            <w:tcW w:w="816" w:type="dxa"/>
            <w:tcBorders>
              <w:top w:val="nil"/>
              <w:bottom w:val="nil"/>
            </w:tcBorders>
          </w:tcPr>
          <w:p w14:paraId="09395E5D"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1.001458</w:t>
            </w:r>
          </w:p>
        </w:tc>
      </w:tr>
      <w:tr w:rsidR="00F84704" w:rsidRPr="00F84704" w14:paraId="452F7621" w14:textId="77777777" w:rsidTr="00F84704">
        <w:tc>
          <w:tcPr>
            <w:tcW w:w="7094" w:type="dxa"/>
            <w:gridSpan w:val="2"/>
            <w:tcBorders>
              <w:top w:val="nil"/>
              <w:bottom w:val="nil"/>
            </w:tcBorders>
            <w:shd w:val="clear" w:color="auto" w:fill="DEEAF6" w:themeFill="accent5" w:themeFillTint="33"/>
          </w:tcPr>
          <w:p w14:paraId="21197B84" w14:textId="77777777" w:rsidR="001A2CB1" w:rsidRPr="00F84704" w:rsidRDefault="001A2CB1" w:rsidP="00A55182">
            <w:pPr>
              <w:rPr>
                <w:rFonts w:ascii="Times New Roman" w:hAnsi="Times New Roman" w:cs="Times New Roman"/>
                <w:color w:val="000000" w:themeColor="text1"/>
                <w:sz w:val="16"/>
                <w:szCs w:val="16"/>
              </w:rPr>
            </w:pPr>
            <w:r w:rsidRPr="00F84704">
              <w:rPr>
                <w:rFonts w:ascii="Times New Roman" w:hAnsi="Times New Roman" w:cs="Times New Roman"/>
                <w:i/>
                <w:iCs/>
                <w:color w:val="000000" w:themeColor="text1"/>
                <w:sz w:val="16"/>
                <w:szCs w:val="16"/>
              </w:rPr>
              <w:t>Organic matter</w:t>
            </w:r>
          </w:p>
        </w:tc>
        <w:tc>
          <w:tcPr>
            <w:tcW w:w="736" w:type="dxa"/>
            <w:tcBorders>
              <w:top w:val="nil"/>
              <w:bottom w:val="nil"/>
            </w:tcBorders>
            <w:shd w:val="clear" w:color="auto" w:fill="DEEAF6" w:themeFill="accent5" w:themeFillTint="33"/>
          </w:tcPr>
          <w:p w14:paraId="69A44A59" w14:textId="77777777" w:rsidR="001A2CB1" w:rsidRPr="00F84704" w:rsidRDefault="001A2CB1" w:rsidP="00F84704">
            <w:pPr>
              <w:rPr>
                <w:rFonts w:ascii="Times New Roman" w:hAnsi="Times New Roman" w:cs="Times New Roman"/>
                <w:color w:val="000000" w:themeColor="text1"/>
                <w:sz w:val="16"/>
                <w:szCs w:val="16"/>
              </w:rPr>
            </w:pPr>
          </w:p>
        </w:tc>
        <w:tc>
          <w:tcPr>
            <w:tcW w:w="1208" w:type="dxa"/>
            <w:tcBorders>
              <w:top w:val="nil"/>
              <w:bottom w:val="nil"/>
            </w:tcBorders>
            <w:shd w:val="clear" w:color="auto" w:fill="DEEAF6" w:themeFill="accent5" w:themeFillTint="33"/>
          </w:tcPr>
          <w:p w14:paraId="5EC5188A" w14:textId="77777777" w:rsidR="001A2CB1" w:rsidRPr="00F84704" w:rsidRDefault="001A2CB1" w:rsidP="00F84704">
            <w:pPr>
              <w:rPr>
                <w:rFonts w:ascii="Times New Roman" w:hAnsi="Times New Roman" w:cs="Times New Roman"/>
                <w:color w:val="000000" w:themeColor="text1"/>
                <w:sz w:val="16"/>
                <w:szCs w:val="16"/>
              </w:rPr>
            </w:pPr>
          </w:p>
        </w:tc>
        <w:tc>
          <w:tcPr>
            <w:tcW w:w="816" w:type="dxa"/>
            <w:tcBorders>
              <w:top w:val="nil"/>
              <w:bottom w:val="nil"/>
            </w:tcBorders>
            <w:shd w:val="clear" w:color="auto" w:fill="DEEAF6" w:themeFill="accent5" w:themeFillTint="33"/>
          </w:tcPr>
          <w:p w14:paraId="4A4B48AA" w14:textId="77777777" w:rsidR="001A2CB1" w:rsidRPr="00F84704" w:rsidRDefault="001A2CB1" w:rsidP="00F84704">
            <w:pPr>
              <w:rPr>
                <w:rFonts w:ascii="Times New Roman" w:hAnsi="Times New Roman" w:cs="Times New Roman"/>
                <w:color w:val="000000" w:themeColor="text1"/>
                <w:sz w:val="16"/>
                <w:szCs w:val="16"/>
              </w:rPr>
            </w:pPr>
          </w:p>
        </w:tc>
      </w:tr>
      <w:tr w:rsidR="00F84704" w:rsidRPr="00F84704" w14:paraId="79BB08CD" w14:textId="77777777" w:rsidTr="00F84704">
        <w:tc>
          <w:tcPr>
            <w:tcW w:w="1170" w:type="dxa"/>
            <w:tcBorders>
              <w:top w:val="nil"/>
              <w:bottom w:val="nil"/>
            </w:tcBorders>
          </w:tcPr>
          <w:p w14:paraId="48D397B2" w14:textId="77777777" w:rsidR="001A2CB1" w:rsidRPr="00F84704" w:rsidRDefault="001A2CB1" w:rsidP="00A55182">
            <w:pPr>
              <w:rPr>
                <w:rFonts w:ascii="Times New Roman" w:hAnsi="Times New Roman" w:cs="Times New Roman"/>
                <w:color w:val="000000" w:themeColor="text1"/>
                <w:sz w:val="16"/>
                <w:szCs w:val="16"/>
                <w:shd w:val="clear" w:color="auto" w:fill="FAF9F8"/>
              </w:rPr>
            </w:pPr>
            <w:proofErr w:type="spellStart"/>
            <w:r w:rsidRPr="00F84704">
              <w:rPr>
                <w:rFonts w:ascii="Times New Roman" w:hAnsi="Times New Roman" w:cs="Times New Roman"/>
                <w:color w:val="000000" w:themeColor="text1"/>
                <w:sz w:val="16"/>
                <w:szCs w:val="16"/>
                <w:shd w:val="clear" w:color="auto" w:fill="FAF9F8"/>
              </w:rPr>
              <w:t>Rdom_minerl</w:t>
            </w:r>
            <w:proofErr w:type="spellEnd"/>
          </w:p>
        </w:tc>
        <w:tc>
          <w:tcPr>
            <w:tcW w:w="5924" w:type="dxa"/>
            <w:tcBorders>
              <w:top w:val="nil"/>
              <w:bottom w:val="nil"/>
            </w:tcBorders>
          </w:tcPr>
          <w:p w14:paraId="786F5AFB" w14:textId="77777777" w:rsidR="001A2CB1" w:rsidRPr="00F84704" w:rsidRDefault="001A2CB1" w:rsidP="00A55182">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 xml:space="preserve">Mineralization rate of dissolved organic matter at 20 </w:t>
            </w:r>
            <w:r w:rsidRPr="00F84704">
              <w:rPr>
                <w:rFonts w:ascii="Times New Roman" w:hAnsi="Times New Roman" w:cs="Times New Roman"/>
                <w:color w:val="000000" w:themeColor="text1"/>
                <w:sz w:val="16"/>
                <w:szCs w:val="16"/>
              </w:rPr>
              <w:sym w:font="Symbol" w:char="F0B0"/>
            </w:r>
            <w:r w:rsidRPr="00F84704">
              <w:rPr>
                <w:rFonts w:ascii="Times New Roman" w:hAnsi="Times New Roman" w:cs="Times New Roman"/>
                <w:color w:val="000000" w:themeColor="text1"/>
                <w:sz w:val="16"/>
                <w:szCs w:val="16"/>
              </w:rPr>
              <w:t>C (d</w:t>
            </w:r>
            <w:r w:rsidRPr="00F84704">
              <w:rPr>
                <w:rFonts w:ascii="Times New Roman" w:hAnsi="Times New Roman" w:cs="Times New Roman"/>
                <w:color w:val="000000" w:themeColor="text1"/>
                <w:sz w:val="16"/>
                <w:szCs w:val="16"/>
                <w:vertAlign w:val="superscript"/>
              </w:rPr>
              <w:sym w:font="Symbol" w:char="F02D"/>
            </w:r>
            <w:r w:rsidRPr="00F84704">
              <w:rPr>
                <w:rFonts w:ascii="Times New Roman" w:hAnsi="Times New Roman" w:cs="Times New Roman"/>
                <w:color w:val="000000" w:themeColor="text1"/>
                <w:sz w:val="16"/>
                <w:szCs w:val="16"/>
                <w:vertAlign w:val="superscript"/>
              </w:rPr>
              <w:t>1</w:t>
            </w:r>
            <w:r w:rsidRPr="00F84704">
              <w:rPr>
                <w:rFonts w:ascii="Times New Roman" w:hAnsi="Times New Roman" w:cs="Times New Roman"/>
                <w:color w:val="000000" w:themeColor="text1"/>
                <w:sz w:val="16"/>
                <w:szCs w:val="16"/>
              </w:rPr>
              <w:t>)</w:t>
            </w:r>
          </w:p>
        </w:tc>
        <w:tc>
          <w:tcPr>
            <w:tcW w:w="736" w:type="dxa"/>
            <w:tcBorders>
              <w:top w:val="nil"/>
              <w:bottom w:val="nil"/>
            </w:tcBorders>
          </w:tcPr>
          <w:p w14:paraId="63024EC9"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0.01</w:t>
            </w:r>
          </w:p>
        </w:tc>
        <w:tc>
          <w:tcPr>
            <w:tcW w:w="1208" w:type="dxa"/>
            <w:tcBorders>
              <w:top w:val="nil"/>
              <w:bottom w:val="nil"/>
            </w:tcBorders>
          </w:tcPr>
          <w:p w14:paraId="6A955BBE"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0.0001 – 0.5</w:t>
            </w:r>
          </w:p>
        </w:tc>
        <w:tc>
          <w:tcPr>
            <w:tcW w:w="816" w:type="dxa"/>
            <w:tcBorders>
              <w:top w:val="nil"/>
              <w:bottom w:val="nil"/>
            </w:tcBorders>
          </w:tcPr>
          <w:p w14:paraId="7EED8959"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0.002</w:t>
            </w:r>
          </w:p>
        </w:tc>
      </w:tr>
      <w:tr w:rsidR="00F84704" w:rsidRPr="00F84704" w14:paraId="2C687C4A" w14:textId="77777777" w:rsidTr="00F84704">
        <w:tc>
          <w:tcPr>
            <w:tcW w:w="1170" w:type="dxa"/>
            <w:tcBorders>
              <w:top w:val="nil"/>
              <w:bottom w:val="nil"/>
            </w:tcBorders>
          </w:tcPr>
          <w:p w14:paraId="174D88DA" w14:textId="77777777" w:rsidR="001A2CB1" w:rsidRPr="00F84704" w:rsidRDefault="001A2CB1" w:rsidP="00A55182">
            <w:pPr>
              <w:rPr>
                <w:rFonts w:ascii="Times New Roman" w:hAnsi="Times New Roman" w:cs="Times New Roman"/>
                <w:color w:val="000000" w:themeColor="text1"/>
                <w:sz w:val="16"/>
                <w:szCs w:val="16"/>
                <w:shd w:val="clear" w:color="auto" w:fill="FAF9F8"/>
              </w:rPr>
            </w:pPr>
            <w:proofErr w:type="spellStart"/>
            <w:r w:rsidRPr="00F84704">
              <w:rPr>
                <w:rFonts w:ascii="Times New Roman" w:hAnsi="Times New Roman" w:cs="Times New Roman"/>
                <w:color w:val="000000" w:themeColor="text1"/>
                <w:sz w:val="16"/>
                <w:szCs w:val="16"/>
                <w:shd w:val="clear" w:color="auto" w:fill="FAF9F8"/>
              </w:rPr>
              <w:t>Rpoc_hydol</w:t>
            </w:r>
            <w:proofErr w:type="spellEnd"/>
          </w:p>
        </w:tc>
        <w:tc>
          <w:tcPr>
            <w:tcW w:w="5924" w:type="dxa"/>
            <w:tcBorders>
              <w:top w:val="nil"/>
              <w:bottom w:val="nil"/>
            </w:tcBorders>
          </w:tcPr>
          <w:p w14:paraId="1487C7B9" w14:textId="77777777" w:rsidR="001A2CB1" w:rsidRPr="00F84704" w:rsidRDefault="001A2CB1" w:rsidP="00A55182">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 xml:space="preserve">Hydrolysis rate of particulate organic carbon at 20 </w:t>
            </w:r>
            <w:r w:rsidRPr="00F84704">
              <w:rPr>
                <w:rFonts w:ascii="Times New Roman" w:hAnsi="Times New Roman" w:cs="Times New Roman"/>
                <w:color w:val="000000" w:themeColor="text1"/>
                <w:sz w:val="16"/>
                <w:szCs w:val="16"/>
              </w:rPr>
              <w:sym w:font="Symbol" w:char="F0B0"/>
            </w:r>
            <w:r w:rsidRPr="00F84704">
              <w:rPr>
                <w:rFonts w:ascii="Times New Roman" w:hAnsi="Times New Roman" w:cs="Times New Roman"/>
                <w:color w:val="000000" w:themeColor="text1"/>
                <w:sz w:val="16"/>
                <w:szCs w:val="16"/>
              </w:rPr>
              <w:t>C (d</w:t>
            </w:r>
            <w:r w:rsidRPr="00F84704">
              <w:rPr>
                <w:rFonts w:ascii="Times New Roman" w:hAnsi="Times New Roman" w:cs="Times New Roman"/>
                <w:color w:val="000000" w:themeColor="text1"/>
                <w:sz w:val="16"/>
                <w:szCs w:val="16"/>
                <w:vertAlign w:val="superscript"/>
              </w:rPr>
              <w:sym w:font="Symbol" w:char="F02D"/>
            </w:r>
            <w:r w:rsidRPr="00F84704">
              <w:rPr>
                <w:rFonts w:ascii="Times New Roman" w:hAnsi="Times New Roman" w:cs="Times New Roman"/>
                <w:color w:val="000000" w:themeColor="text1"/>
                <w:sz w:val="16"/>
                <w:szCs w:val="16"/>
                <w:vertAlign w:val="superscript"/>
              </w:rPr>
              <w:t>1</w:t>
            </w:r>
            <w:r w:rsidRPr="00F84704">
              <w:rPr>
                <w:rFonts w:ascii="Times New Roman" w:hAnsi="Times New Roman" w:cs="Times New Roman"/>
                <w:color w:val="000000" w:themeColor="text1"/>
                <w:sz w:val="16"/>
                <w:szCs w:val="16"/>
              </w:rPr>
              <w:t>)</w:t>
            </w:r>
          </w:p>
        </w:tc>
        <w:tc>
          <w:tcPr>
            <w:tcW w:w="736" w:type="dxa"/>
            <w:tcBorders>
              <w:top w:val="nil"/>
              <w:bottom w:val="nil"/>
            </w:tcBorders>
          </w:tcPr>
          <w:p w14:paraId="3805C459"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0.01</w:t>
            </w:r>
          </w:p>
        </w:tc>
        <w:tc>
          <w:tcPr>
            <w:tcW w:w="1208" w:type="dxa"/>
            <w:tcBorders>
              <w:top w:val="nil"/>
              <w:bottom w:val="nil"/>
            </w:tcBorders>
          </w:tcPr>
          <w:p w14:paraId="504A5064"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0.0001 – 0.5</w:t>
            </w:r>
          </w:p>
        </w:tc>
        <w:tc>
          <w:tcPr>
            <w:tcW w:w="816" w:type="dxa"/>
            <w:tcBorders>
              <w:top w:val="nil"/>
              <w:bottom w:val="nil"/>
            </w:tcBorders>
          </w:tcPr>
          <w:p w14:paraId="4DFADFCC"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0.03</w:t>
            </w:r>
          </w:p>
        </w:tc>
      </w:tr>
      <w:tr w:rsidR="00F84704" w:rsidRPr="00F84704" w14:paraId="3A95756D" w14:textId="77777777" w:rsidTr="00F84704">
        <w:tc>
          <w:tcPr>
            <w:tcW w:w="1170" w:type="dxa"/>
            <w:tcBorders>
              <w:top w:val="nil"/>
              <w:bottom w:val="nil"/>
            </w:tcBorders>
          </w:tcPr>
          <w:p w14:paraId="3F74DAEE" w14:textId="77777777" w:rsidR="001A2CB1" w:rsidRPr="00F84704" w:rsidRDefault="001A2CB1" w:rsidP="00A55182">
            <w:pPr>
              <w:rPr>
                <w:rFonts w:ascii="Times New Roman" w:hAnsi="Times New Roman" w:cs="Times New Roman"/>
                <w:color w:val="000000" w:themeColor="text1"/>
                <w:sz w:val="16"/>
                <w:szCs w:val="16"/>
                <w:shd w:val="clear" w:color="auto" w:fill="FAF9F8"/>
              </w:rPr>
            </w:pPr>
            <w:proofErr w:type="spellStart"/>
            <w:r w:rsidRPr="00F84704">
              <w:rPr>
                <w:rFonts w:ascii="Times New Roman" w:hAnsi="Times New Roman" w:cs="Times New Roman"/>
                <w:color w:val="000000" w:themeColor="text1"/>
                <w:sz w:val="16"/>
                <w:szCs w:val="16"/>
                <w:shd w:val="clear" w:color="auto" w:fill="FAF9F8"/>
              </w:rPr>
              <w:t>Rpon_hydol</w:t>
            </w:r>
            <w:proofErr w:type="spellEnd"/>
          </w:p>
        </w:tc>
        <w:tc>
          <w:tcPr>
            <w:tcW w:w="5924" w:type="dxa"/>
            <w:tcBorders>
              <w:top w:val="nil"/>
              <w:bottom w:val="nil"/>
            </w:tcBorders>
          </w:tcPr>
          <w:p w14:paraId="00FFB136" w14:textId="77777777" w:rsidR="001A2CB1" w:rsidRPr="00F84704" w:rsidRDefault="001A2CB1" w:rsidP="00A55182">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 xml:space="preserve">Hydrolysis rate of particulate organic nitrogen at 20 </w:t>
            </w:r>
            <w:r w:rsidRPr="00F84704">
              <w:rPr>
                <w:rFonts w:ascii="Times New Roman" w:hAnsi="Times New Roman" w:cs="Times New Roman"/>
                <w:color w:val="000000" w:themeColor="text1"/>
                <w:sz w:val="16"/>
                <w:szCs w:val="16"/>
              </w:rPr>
              <w:sym w:font="Symbol" w:char="F0B0"/>
            </w:r>
            <w:r w:rsidRPr="00F84704">
              <w:rPr>
                <w:rFonts w:ascii="Times New Roman" w:hAnsi="Times New Roman" w:cs="Times New Roman"/>
                <w:color w:val="000000" w:themeColor="text1"/>
                <w:sz w:val="16"/>
                <w:szCs w:val="16"/>
              </w:rPr>
              <w:t>C (d</w:t>
            </w:r>
            <w:r w:rsidRPr="00F84704">
              <w:rPr>
                <w:rFonts w:ascii="Times New Roman" w:hAnsi="Times New Roman" w:cs="Times New Roman"/>
                <w:color w:val="000000" w:themeColor="text1"/>
                <w:sz w:val="16"/>
                <w:szCs w:val="16"/>
                <w:vertAlign w:val="superscript"/>
              </w:rPr>
              <w:sym w:font="Symbol" w:char="F02D"/>
            </w:r>
            <w:r w:rsidRPr="00F84704">
              <w:rPr>
                <w:rFonts w:ascii="Times New Roman" w:hAnsi="Times New Roman" w:cs="Times New Roman"/>
                <w:color w:val="000000" w:themeColor="text1"/>
                <w:sz w:val="16"/>
                <w:szCs w:val="16"/>
                <w:vertAlign w:val="superscript"/>
              </w:rPr>
              <w:t>1</w:t>
            </w:r>
            <w:r w:rsidRPr="00F84704">
              <w:rPr>
                <w:rFonts w:ascii="Times New Roman" w:hAnsi="Times New Roman" w:cs="Times New Roman"/>
                <w:color w:val="000000" w:themeColor="text1"/>
                <w:sz w:val="16"/>
                <w:szCs w:val="16"/>
              </w:rPr>
              <w:t>)</w:t>
            </w:r>
          </w:p>
        </w:tc>
        <w:tc>
          <w:tcPr>
            <w:tcW w:w="736" w:type="dxa"/>
            <w:tcBorders>
              <w:top w:val="nil"/>
              <w:bottom w:val="nil"/>
            </w:tcBorders>
          </w:tcPr>
          <w:p w14:paraId="6C3E0270"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0.01</w:t>
            </w:r>
          </w:p>
        </w:tc>
        <w:tc>
          <w:tcPr>
            <w:tcW w:w="1208" w:type="dxa"/>
            <w:tcBorders>
              <w:top w:val="nil"/>
              <w:bottom w:val="nil"/>
            </w:tcBorders>
          </w:tcPr>
          <w:p w14:paraId="21F067C5"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0.0001 – 0.5</w:t>
            </w:r>
          </w:p>
        </w:tc>
        <w:tc>
          <w:tcPr>
            <w:tcW w:w="816" w:type="dxa"/>
            <w:tcBorders>
              <w:top w:val="nil"/>
              <w:bottom w:val="nil"/>
            </w:tcBorders>
          </w:tcPr>
          <w:p w14:paraId="1EC9B0EF"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0.008</w:t>
            </w:r>
          </w:p>
        </w:tc>
      </w:tr>
      <w:tr w:rsidR="00F84704" w:rsidRPr="00F84704" w14:paraId="51223615" w14:textId="77777777" w:rsidTr="00F84704">
        <w:tc>
          <w:tcPr>
            <w:tcW w:w="1170" w:type="dxa"/>
            <w:tcBorders>
              <w:top w:val="nil"/>
              <w:bottom w:val="nil"/>
            </w:tcBorders>
          </w:tcPr>
          <w:p w14:paraId="12C69DB5" w14:textId="77777777" w:rsidR="001A2CB1" w:rsidRPr="00F84704" w:rsidRDefault="001A2CB1" w:rsidP="00A55182">
            <w:pPr>
              <w:rPr>
                <w:rFonts w:ascii="Times New Roman" w:hAnsi="Times New Roman" w:cs="Times New Roman"/>
                <w:color w:val="000000" w:themeColor="text1"/>
                <w:sz w:val="16"/>
                <w:szCs w:val="16"/>
                <w:shd w:val="clear" w:color="auto" w:fill="FAF9F8"/>
              </w:rPr>
            </w:pPr>
            <w:proofErr w:type="spellStart"/>
            <w:r w:rsidRPr="00F84704">
              <w:rPr>
                <w:rFonts w:ascii="Times New Roman" w:hAnsi="Times New Roman" w:cs="Times New Roman"/>
                <w:color w:val="000000" w:themeColor="text1"/>
                <w:sz w:val="16"/>
                <w:szCs w:val="16"/>
                <w:shd w:val="clear" w:color="auto" w:fill="FAF9F8"/>
              </w:rPr>
              <w:t>Rpop_hydol</w:t>
            </w:r>
            <w:proofErr w:type="spellEnd"/>
          </w:p>
        </w:tc>
        <w:tc>
          <w:tcPr>
            <w:tcW w:w="5924" w:type="dxa"/>
            <w:tcBorders>
              <w:top w:val="nil"/>
              <w:bottom w:val="nil"/>
            </w:tcBorders>
          </w:tcPr>
          <w:p w14:paraId="689CEAB0" w14:textId="77777777" w:rsidR="001A2CB1" w:rsidRPr="00F84704" w:rsidRDefault="001A2CB1" w:rsidP="00A55182">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 xml:space="preserve">Hydrolysis rate of particulate organic phosphorus at 20 </w:t>
            </w:r>
            <w:r w:rsidRPr="00F84704">
              <w:rPr>
                <w:rFonts w:ascii="Times New Roman" w:hAnsi="Times New Roman" w:cs="Times New Roman"/>
                <w:color w:val="000000" w:themeColor="text1"/>
                <w:sz w:val="16"/>
                <w:szCs w:val="16"/>
              </w:rPr>
              <w:sym w:font="Symbol" w:char="F0B0"/>
            </w:r>
            <w:r w:rsidRPr="00F84704">
              <w:rPr>
                <w:rFonts w:ascii="Times New Roman" w:hAnsi="Times New Roman" w:cs="Times New Roman"/>
                <w:color w:val="000000" w:themeColor="text1"/>
                <w:sz w:val="16"/>
                <w:szCs w:val="16"/>
              </w:rPr>
              <w:t>C (d</w:t>
            </w:r>
            <w:r w:rsidRPr="00F84704">
              <w:rPr>
                <w:rFonts w:ascii="Times New Roman" w:hAnsi="Times New Roman" w:cs="Times New Roman"/>
                <w:color w:val="000000" w:themeColor="text1"/>
                <w:sz w:val="16"/>
                <w:szCs w:val="16"/>
                <w:vertAlign w:val="superscript"/>
              </w:rPr>
              <w:sym w:font="Symbol" w:char="F02D"/>
            </w:r>
            <w:r w:rsidRPr="00F84704">
              <w:rPr>
                <w:rFonts w:ascii="Times New Roman" w:hAnsi="Times New Roman" w:cs="Times New Roman"/>
                <w:color w:val="000000" w:themeColor="text1"/>
                <w:sz w:val="16"/>
                <w:szCs w:val="16"/>
                <w:vertAlign w:val="superscript"/>
              </w:rPr>
              <w:t>1</w:t>
            </w:r>
            <w:r w:rsidRPr="00F84704">
              <w:rPr>
                <w:rFonts w:ascii="Times New Roman" w:hAnsi="Times New Roman" w:cs="Times New Roman"/>
                <w:color w:val="000000" w:themeColor="text1"/>
                <w:sz w:val="16"/>
                <w:szCs w:val="16"/>
              </w:rPr>
              <w:t>)</w:t>
            </w:r>
          </w:p>
        </w:tc>
        <w:tc>
          <w:tcPr>
            <w:tcW w:w="736" w:type="dxa"/>
            <w:tcBorders>
              <w:top w:val="nil"/>
              <w:bottom w:val="nil"/>
            </w:tcBorders>
          </w:tcPr>
          <w:p w14:paraId="66E45C25"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0.01</w:t>
            </w:r>
          </w:p>
        </w:tc>
        <w:tc>
          <w:tcPr>
            <w:tcW w:w="1208" w:type="dxa"/>
            <w:tcBorders>
              <w:top w:val="nil"/>
              <w:bottom w:val="nil"/>
            </w:tcBorders>
          </w:tcPr>
          <w:p w14:paraId="61AFDB18"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0.0001 – 0.5</w:t>
            </w:r>
          </w:p>
        </w:tc>
        <w:tc>
          <w:tcPr>
            <w:tcW w:w="816" w:type="dxa"/>
            <w:tcBorders>
              <w:top w:val="nil"/>
              <w:bottom w:val="nil"/>
            </w:tcBorders>
          </w:tcPr>
          <w:p w14:paraId="327517E3"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0.0009</w:t>
            </w:r>
          </w:p>
        </w:tc>
      </w:tr>
      <w:tr w:rsidR="00F84704" w:rsidRPr="00F84704" w14:paraId="27C3BA39" w14:textId="77777777" w:rsidTr="00F84704">
        <w:tc>
          <w:tcPr>
            <w:tcW w:w="1170" w:type="dxa"/>
            <w:tcBorders>
              <w:top w:val="nil"/>
              <w:bottom w:val="nil"/>
            </w:tcBorders>
          </w:tcPr>
          <w:p w14:paraId="28819C92" w14:textId="77777777" w:rsidR="001A2CB1" w:rsidRPr="00F84704" w:rsidRDefault="001A2CB1" w:rsidP="00A55182">
            <w:pPr>
              <w:rPr>
                <w:rFonts w:ascii="Times New Roman" w:hAnsi="Times New Roman" w:cs="Times New Roman"/>
                <w:color w:val="000000" w:themeColor="text1"/>
                <w:sz w:val="16"/>
                <w:szCs w:val="16"/>
                <w:shd w:val="clear" w:color="auto" w:fill="FAF9F8"/>
              </w:rPr>
            </w:pPr>
            <w:proofErr w:type="spellStart"/>
            <w:r w:rsidRPr="00F84704">
              <w:rPr>
                <w:rFonts w:ascii="Times New Roman" w:hAnsi="Times New Roman" w:cs="Times New Roman"/>
                <w:color w:val="000000" w:themeColor="text1"/>
                <w:sz w:val="16"/>
                <w:szCs w:val="16"/>
                <w:shd w:val="clear" w:color="auto" w:fill="FAF9F8"/>
              </w:rPr>
              <w:t>theta_minerl</w:t>
            </w:r>
            <w:proofErr w:type="spellEnd"/>
          </w:p>
        </w:tc>
        <w:tc>
          <w:tcPr>
            <w:tcW w:w="5924" w:type="dxa"/>
            <w:tcBorders>
              <w:top w:val="nil"/>
              <w:bottom w:val="nil"/>
            </w:tcBorders>
          </w:tcPr>
          <w:p w14:paraId="0F6057D2" w14:textId="77777777" w:rsidR="001A2CB1" w:rsidRPr="00F84704" w:rsidRDefault="001A2CB1" w:rsidP="00A55182">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Arrhenius temperature multiplier for mineralization</w:t>
            </w:r>
          </w:p>
        </w:tc>
        <w:tc>
          <w:tcPr>
            <w:tcW w:w="736" w:type="dxa"/>
            <w:tcBorders>
              <w:top w:val="nil"/>
              <w:bottom w:val="nil"/>
            </w:tcBorders>
          </w:tcPr>
          <w:p w14:paraId="7E15D167"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1.08</w:t>
            </w:r>
          </w:p>
        </w:tc>
        <w:tc>
          <w:tcPr>
            <w:tcW w:w="1208" w:type="dxa"/>
            <w:tcBorders>
              <w:top w:val="nil"/>
              <w:bottom w:val="nil"/>
            </w:tcBorders>
          </w:tcPr>
          <w:p w14:paraId="260F4C83"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1.0 – 1.2</w:t>
            </w:r>
          </w:p>
        </w:tc>
        <w:tc>
          <w:tcPr>
            <w:tcW w:w="816" w:type="dxa"/>
            <w:tcBorders>
              <w:top w:val="nil"/>
              <w:bottom w:val="nil"/>
            </w:tcBorders>
          </w:tcPr>
          <w:p w14:paraId="33F70D3D"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1.012966</w:t>
            </w:r>
          </w:p>
        </w:tc>
      </w:tr>
      <w:tr w:rsidR="00F84704" w:rsidRPr="00F84704" w14:paraId="521C2DE3" w14:textId="77777777" w:rsidTr="00F84704">
        <w:tc>
          <w:tcPr>
            <w:tcW w:w="1170" w:type="dxa"/>
            <w:tcBorders>
              <w:top w:val="nil"/>
              <w:bottom w:val="nil"/>
            </w:tcBorders>
            <w:shd w:val="clear" w:color="auto" w:fill="DEEAF6" w:themeFill="accent5" w:themeFillTint="33"/>
          </w:tcPr>
          <w:p w14:paraId="1ACBE71D" w14:textId="77777777" w:rsidR="001A2CB1" w:rsidRPr="00F84704" w:rsidRDefault="001A2CB1" w:rsidP="00A55182">
            <w:pPr>
              <w:rPr>
                <w:rFonts w:ascii="Times New Roman" w:hAnsi="Times New Roman" w:cs="Times New Roman"/>
                <w:i/>
                <w:iCs/>
                <w:color w:val="000000" w:themeColor="text1"/>
                <w:sz w:val="16"/>
                <w:szCs w:val="16"/>
              </w:rPr>
            </w:pPr>
            <w:r w:rsidRPr="00F84704">
              <w:rPr>
                <w:rFonts w:ascii="Times New Roman" w:hAnsi="Times New Roman" w:cs="Times New Roman"/>
                <w:i/>
                <w:iCs/>
                <w:color w:val="000000" w:themeColor="text1"/>
                <w:sz w:val="16"/>
                <w:szCs w:val="16"/>
              </w:rPr>
              <w:t>Phytoplankton</w:t>
            </w:r>
          </w:p>
        </w:tc>
        <w:tc>
          <w:tcPr>
            <w:tcW w:w="5924" w:type="dxa"/>
            <w:tcBorders>
              <w:top w:val="nil"/>
              <w:bottom w:val="nil"/>
            </w:tcBorders>
            <w:shd w:val="clear" w:color="auto" w:fill="DEEAF6" w:themeFill="accent5" w:themeFillTint="33"/>
          </w:tcPr>
          <w:p w14:paraId="1B6E052D" w14:textId="77777777" w:rsidR="001A2CB1" w:rsidRPr="00F84704" w:rsidRDefault="001A2CB1" w:rsidP="00A55182">
            <w:pPr>
              <w:rPr>
                <w:rFonts w:ascii="Times New Roman" w:hAnsi="Times New Roman" w:cs="Times New Roman"/>
                <w:i/>
                <w:iCs/>
                <w:color w:val="000000" w:themeColor="text1"/>
                <w:sz w:val="16"/>
                <w:szCs w:val="16"/>
              </w:rPr>
            </w:pPr>
          </w:p>
        </w:tc>
        <w:tc>
          <w:tcPr>
            <w:tcW w:w="736" w:type="dxa"/>
            <w:tcBorders>
              <w:top w:val="nil"/>
              <w:bottom w:val="nil"/>
            </w:tcBorders>
            <w:shd w:val="clear" w:color="auto" w:fill="DEEAF6" w:themeFill="accent5" w:themeFillTint="33"/>
          </w:tcPr>
          <w:p w14:paraId="66C94751" w14:textId="77777777" w:rsidR="001A2CB1" w:rsidRPr="00F84704" w:rsidRDefault="001A2CB1" w:rsidP="00F84704">
            <w:pPr>
              <w:rPr>
                <w:rFonts w:ascii="Times New Roman" w:hAnsi="Times New Roman" w:cs="Times New Roman"/>
                <w:i/>
                <w:iCs/>
                <w:color w:val="000000" w:themeColor="text1"/>
                <w:sz w:val="16"/>
                <w:szCs w:val="16"/>
              </w:rPr>
            </w:pPr>
          </w:p>
        </w:tc>
        <w:tc>
          <w:tcPr>
            <w:tcW w:w="1208" w:type="dxa"/>
            <w:tcBorders>
              <w:top w:val="nil"/>
              <w:bottom w:val="nil"/>
            </w:tcBorders>
            <w:shd w:val="clear" w:color="auto" w:fill="DEEAF6" w:themeFill="accent5" w:themeFillTint="33"/>
          </w:tcPr>
          <w:p w14:paraId="52C1E290" w14:textId="77777777" w:rsidR="001A2CB1" w:rsidRPr="00F84704" w:rsidRDefault="001A2CB1" w:rsidP="00F84704">
            <w:pPr>
              <w:rPr>
                <w:rFonts w:ascii="Times New Roman" w:hAnsi="Times New Roman" w:cs="Times New Roman"/>
                <w:i/>
                <w:iCs/>
                <w:color w:val="000000" w:themeColor="text1"/>
                <w:sz w:val="16"/>
                <w:szCs w:val="16"/>
              </w:rPr>
            </w:pPr>
          </w:p>
        </w:tc>
        <w:tc>
          <w:tcPr>
            <w:tcW w:w="816" w:type="dxa"/>
            <w:tcBorders>
              <w:top w:val="nil"/>
              <w:bottom w:val="nil"/>
            </w:tcBorders>
            <w:shd w:val="clear" w:color="auto" w:fill="DEEAF6" w:themeFill="accent5" w:themeFillTint="33"/>
          </w:tcPr>
          <w:p w14:paraId="731D9CFB" w14:textId="77777777" w:rsidR="001A2CB1" w:rsidRPr="00F84704" w:rsidRDefault="001A2CB1" w:rsidP="00F84704">
            <w:pPr>
              <w:rPr>
                <w:rFonts w:ascii="Times New Roman" w:hAnsi="Times New Roman" w:cs="Times New Roman"/>
                <w:i/>
                <w:iCs/>
                <w:color w:val="000000" w:themeColor="text1"/>
                <w:sz w:val="16"/>
                <w:szCs w:val="16"/>
              </w:rPr>
            </w:pPr>
          </w:p>
        </w:tc>
      </w:tr>
      <w:tr w:rsidR="00F84704" w:rsidRPr="00F84704" w14:paraId="3DE62A3A" w14:textId="77777777" w:rsidTr="00F84704">
        <w:tc>
          <w:tcPr>
            <w:tcW w:w="1170" w:type="dxa"/>
            <w:tcBorders>
              <w:top w:val="nil"/>
              <w:bottom w:val="nil"/>
            </w:tcBorders>
          </w:tcPr>
          <w:p w14:paraId="1E193C1A" w14:textId="77777777" w:rsidR="001A2CB1" w:rsidRPr="00F84704" w:rsidRDefault="001A2CB1" w:rsidP="00A55182">
            <w:pPr>
              <w:rPr>
                <w:rFonts w:ascii="Times New Roman" w:hAnsi="Times New Roman" w:cs="Times New Roman"/>
                <w:color w:val="000000" w:themeColor="text1"/>
                <w:sz w:val="16"/>
                <w:szCs w:val="16"/>
              </w:rPr>
            </w:pPr>
            <w:proofErr w:type="spellStart"/>
            <w:r w:rsidRPr="00F84704">
              <w:rPr>
                <w:rFonts w:ascii="Times New Roman" w:hAnsi="Times New Roman" w:cs="Times New Roman"/>
                <w:color w:val="000000" w:themeColor="text1"/>
                <w:sz w:val="16"/>
                <w:szCs w:val="16"/>
                <w:shd w:val="clear" w:color="auto" w:fill="FAF9F8"/>
              </w:rPr>
              <w:t>R_growth</w:t>
            </w:r>
            <w:proofErr w:type="spellEnd"/>
          </w:p>
        </w:tc>
        <w:tc>
          <w:tcPr>
            <w:tcW w:w="5924" w:type="dxa"/>
            <w:tcBorders>
              <w:top w:val="nil"/>
              <w:bottom w:val="nil"/>
            </w:tcBorders>
          </w:tcPr>
          <w:p w14:paraId="492374BB" w14:textId="77777777" w:rsidR="001A2CB1" w:rsidRPr="00F84704" w:rsidRDefault="001A2CB1" w:rsidP="00A55182">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 xml:space="preserve">Phytoplankton maximum growth rate at 20 </w:t>
            </w:r>
            <w:r w:rsidRPr="00F84704">
              <w:rPr>
                <w:rFonts w:ascii="Times New Roman" w:hAnsi="Times New Roman" w:cs="Times New Roman"/>
                <w:color w:val="000000" w:themeColor="text1"/>
                <w:sz w:val="16"/>
                <w:szCs w:val="16"/>
              </w:rPr>
              <w:sym w:font="Symbol" w:char="F0B0"/>
            </w:r>
            <w:r w:rsidRPr="00F84704">
              <w:rPr>
                <w:rFonts w:ascii="Times New Roman" w:hAnsi="Times New Roman" w:cs="Times New Roman"/>
                <w:color w:val="000000" w:themeColor="text1"/>
                <w:sz w:val="16"/>
                <w:szCs w:val="16"/>
              </w:rPr>
              <w:t>C (d</w:t>
            </w:r>
            <w:r w:rsidRPr="00F84704">
              <w:rPr>
                <w:rFonts w:ascii="Times New Roman" w:hAnsi="Times New Roman" w:cs="Times New Roman"/>
                <w:color w:val="000000" w:themeColor="text1"/>
                <w:sz w:val="16"/>
                <w:szCs w:val="16"/>
                <w:vertAlign w:val="superscript"/>
              </w:rPr>
              <w:sym w:font="Symbol" w:char="F02D"/>
            </w:r>
            <w:r w:rsidRPr="00F84704">
              <w:rPr>
                <w:rFonts w:ascii="Times New Roman" w:hAnsi="Times New Roman" w:cs="Times New Roman"/>
                <w:color w:val="000000" w:themeColor="text1"/>
                <w:sz w:val="16"/>
                <w:szCs w:val="16"/>
                <w:vertAlign w:val="superscript"/>
              </w:rPr>
              <w:t>1</w:t>
            </w:r>
            <w:r w:rsidRPr="00F84704">
              <w:rPr>
                <w:rFonts w:ascii="Times New Roman" w:hAnsi="Times New Roman" w:cs="Times New Roman"/>
                <w:color w:val="000000" w:themeColor="text1"/>
                <w:sz w:val="16"/>
                <w:szCs w:val="16"/>
              </w:rPr>
              <w:t>)</w:t>
            </w:r>
          </w:p>
        </w:tc>
        <w:tc>
          <w:tcPr>
            <w:tcW w:w="736" w:type="dxa"/>
            <w:tcBorders>
              <w:top w:val="nil"/>
              <w:bottom w:val="nil"/>
            </w:tcBorders>
          </w:tcPr>
          <w:p w14:paraId="7042081E"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3.1</w:t>
            </w:r>
          </w:p>
        </w:tc>
        <w:tc>
          <w:tcPr>
            <w:tcW w:w="1208" w:type="dxa"/>
            <w:tcBorders>
              <w:top w:val="nil"/>
              <w:bottom w:val="nil"/>
            </w:tcBorders>
          </w:tcPr>
          <w:p w14:paraId="303E4D1A"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0.6 – 4.0</w:t>
            </w:r>
          </w:p>
        </w:tc>
        <w:tc>
          <w:tcPr>
            <w:tcW w:w="816" w:type="dxa"/>
            <w:tcBorders>
              <w:top w:val="nil"/>
              <w:bottom w:val="nil"/>
            </w:tcBorders>
          </w:tcPr>
          <w:p w14:paraId="6120AEFE"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1.9</w:t>
            </w:r>
          </w:p>
        </w:tc>
      </w:tr>
      <w:tr w:rsidR="00F84704" w:rsidRPr="00F84704" w14:paraId="67D88839" w14:textId="77777777" w:rsidTr="00F84704">
        <w:tc>
          <w:tcPr>
            <w:tcW w:w="1170" w:type="dxa"/>
            <w:tcBorders>
              <w:top w:val="nil"/>
              <w:bottom w:val="nil"/>
            </w:tcBorders>
          </w:tcPr>
          <w:p w14:paraId="41EED8C0" w14:textId="77777777" w:rsidR="001A2CB1" w:rsidRPr="00F84704" w:rsidRDefault="001A2CB1" w:rsidP="00A55182">
            <w:pPr>
              <w:rPr>
                <w:rFonts w:ascii="Times New Roman" w:hAnsi="Times New Roman" w:cs="Times New Roman"/>
                <w:color w:val="000000" w:themeColor="text1"/>
                <w:sz w:val="16"/>
                <w:szCs w:val="16"/>
                <w:shd w:val="clear" w:color="auto" w:fill="FAF9F8"/>
              </w:rPr>
            </w:pPr>
            <w:proofErr w:type="spellStart"/>
            <w:r w:rsidRPr="00F84704">
              <w:rPr>
                <w:rFonts w:ascii="Times New Roman" w:hAnsi="Times New Roman" w:cs="Times New Roman"/>
                <w:color w:val="000000" w:themeColor="text1"/>
                <w:sz w:val="16"/>
                <w:szCs w:val="16"/>
                <w:shd w:val="clear" w:color="auto" w:fill="FAF9F8"/>
              </w:rPr>
              <w:t>theta_std</w:t>
            </w:r>
            <w:proofErr w:type="spellEnd"/>
          </w:p>
        </w:tc>
        <w:tc>
          <w:tcPr>
            <w:tcW w:w="5924" w:type="dxa"/>
            <w:tcBorders>
              <w:top w:val="nil"/>
              <w:bottom w:val="nil"/>
            </w:tcBorders>
          </w:tcPr>
          <w:p w14:paraId="02FE03E3" w14:textId="77777777" w:rsidR="001A2CB1" w:rsidRPr="00F84704" w:rsidRDefault="001A2CB1" w:rsidP="00A55182">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Standard temperature (</w:t>
            </w:r>
            <w:r w:rsidRPr="00F84704">
              <w:rPr>
                <w:rFonts w:ascii="Times New Roman" w:hAnsi="Times New Roman" w:cs="Times New Roman"/>
                <w:color w:val="000000" w:themeColor="text1"/>
                <w:sz w:val="16"/>
                <w:szCs w:val="16"/>
              </w:rPr>
              <w:sym w:font="Symbol" w:char="F0B0"/>
            </w:r>
            <w:r w:rsidRPr="00F84704">
              <w:rPr>
                <w:rFonts w:ascii="Times New Roman" w:hAnsi="Times New Roman" w:cs="Times New Roman"/>
                <w:color w:val="000000" w:themeColor="text1"/>
                <w:sz w:val="16"/>
                <w:szCs w:val="16"/>
              </w:rPr>
              <w:t>C)</w:t>
            </w:r>
          </w:p>
        </w:tc>
        <w:tc>
          <w:tcPr>
            <w:tcW w:w="736" w:type="dxa"/>
            <w:tcBorders>
              <w:top w:val="nil"/>
              <w:bottom w:val="nil"/>
            </w:tcBorders>
          </w:tcPr>
          <w:p w14:paraId="65E7CF8A"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18.0</w:t>
            </w:r>
          </w:p>
        </w:tc>
        <w:tc>
          <w:tcPr>
            <w:tcW w:w="1208" w:type="dxa"/>
            <w:tcBorders>
              <w:top w:val="nil"/>
              <w:bottom w:val="nil"/>
            </w:tcBorders>
          </w:tcPr>
          <w:p w14:paraId="0911C432"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15.0 – 24.0</w:t>
            </w:r>
          </w:p>
        </w:tc>
        <w:tc>
          <w:tcPr>
            <w:tcW w:w="816" w:type="dxa"/>
            <w:tcBorders>
              <w:top w:val="nil"/>
              <w:bottom w:val="nil"/>
            </w:tcBorders>
          </w:tcPr>
          <w:p w14:paraId="09A05B3A"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18.0</w:t>
            </w:r>
          </w:p>
        </w:tc>
      </w:tr>
      <w:tr w:rsidR="00F84704" w:rsidRPr="00F84704" w14:paraId="7CF757F6" w14:textId="77777777" w:rsidTr="00F84704">
        <w:tc>
          <w:tcPr>
            <w:tcW w:w="1170" w:type="dxa"/>
            <w:tcBorders>
              <w:top w:val="nil"/>
              <w:bottom w:val="nil"/>
            </w:tcBorders>
          </w:tcPr>
          <w:p w14:paraId="78EEEFD6" w14:textId="77777777" w:rsidR="001A2CB1" w:rsidRPr="00F84704" w:rsidRDefault="001A2CB1" w:rsidP="00A55182">
            <w:pPr>
              <w:rPr>
                <w:rFonts w:ascii="Times New Roman" w:hAnsi="Times New Roman" w:cs="Times New Roman"/>
                <w:color w:val="000000" w:themeColor="text1"/>
                <w:sz w:val="16"/>
                <w:szCs w:val="16"/>
                <w:shd w:val="clear" w:color="auto" w:fill="FAF9F8"/>
              </w:rPr>
            </w:pPr>
            <w:proofErr w:type="spellStart"/>
            <w:r w:rsidRPr="00F84704">
              <w:rPr>
                <w:rFonts w:ascii="Times New Roman" w:hAnsi="Times New Roman" w:cs="Times New Roman"/>
                <w:color w:val="000000" w:themeColor="text1"/>
                <w:sz w:val="16"/>
                <w:szCs w:val="16"/>
                <w:shd w:val="clear" w:color="auto" w:fill="FAF9F8"/>
              </w:rPr>
              <w:t>theta_opt</w:t>
            </w:r>
            <w:proofErr w:type="spellEnd"/>
          </w:p>
        </w:tc>
        <w:tc>
          <w:tcPr>
            <w:tcW w:w="5924" w:type="dxa"/>
            <w:tcBorders>
              <w:top w:val="nil"/>
              <w:bottom w:val="nil"/>
            </w:tcBorders>
          </w:tcPr>
          <w:p w14:paraId="0173CB9F" w14:textId="77777777" w:rsidR="001A2CB1" w:rsidRPr="00F84704" w:rsidRDefault="001A2CB1" w:rsidP="00A55182">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Optimum temperature (</w:t>
            </w:r>
            <w:r w:rsidRPr="00F84704">
              <w:rPr>
                <w:rFonts w:ascii="Times New Roman" w:hAnsi="Times New Roman" w:cs="Times New Roman"/>
                <w:color w:val="000000" w:themeColor="text1"/>
                <w:sz w:val="16"/>
                <w:szCs w:val="16"/>
              </w:rPr>
              <w:sym w:font="Symbol" w:char="F0B0"/>
            </w:r>
            <w:r w:rsidRPr="00F84704">
              <w:rPr>
                <w:rFonts w:ascii="Times New Roman" w:hAnsi="Times New Roman" w:cs="Times New Roman"/>
                <w:color w:val="000000" w:themeColor="text1"/>
                <w:sz w:val="16"/>
                <w:szCs w:val="16"/>
              </w:rPr>
              <w:t>C)</w:t>
            </w:r>
          </w:p>
        </w:tc>
        <w:tc>
          <w:tcPr>
            <w:tcW w:w="736" w:type="dxa"/>
            <w:tcBorders>
              <w:top w:val="nil"/>
              <w:bottom w:val="nil"/>
            </w:tcBorders>
          </w:tcPr>
          <w:p w14:paraId="5257555F"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28.0</w:t>
            </w:r>
          </w:p>
        </w:tc>
        <w:tc>
          <w:tcPr>
            <w:tcW w:w="1208" w:type="dxa"/>
            <w:tcBorders>
              <w:top w:val="nil"/>
              <w:bottom w:val="nil"/>
            </w:tcBorders>
          </w:tcPr>
          <w:p w14:paraId="7B7309B5"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9.0 – 30.0</w:t>
            </w:r>
          </w:p>
        </w:tc>
        <w:tc>
          <w:tcPr>
            <w:tcW w:w="816" w:type="dxa"/>
            <w:tcBorders>
              <w:top w:val="nil"/>
              <w:bottom w:val="nil"/>
            </w:tcBorders>
          </w:tcPr>
          <w:p w14:paraId="07485526"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21.0</w:t>
            </w:r>
          </w:p>
        </w:tc>
      </w:tr>
      <w:tr w:rsidR="00F84704" w:rsidRPr="00F84704" w14:paraId="30DE3878" w14:textId="77777777" w:rsidTr="00F84704">
        <w:tc>
          <w:tcPr>
            <w:tcW w:w="1170" w:type="dxa"/>
            <w:tcBorders>
              <w:top w:val="nil"/>
              <w:bottom w:val="nil"/>
            </w:tcBorders>
          </w:tcPr>
          <w:p w14:paraId="37F66B4F" w14:textId="77777777" w:rsidR="001A2CB1" w:rsidRPr="00F84704" w:rsidRDefault="001A2CB1" w:rsidP="00A55182">
            <w:pPr>
              <w:rPr>
                <w:rFonts w:ascii="Times New Roman" w:hAnsi="Times New Roman" w:cs="Times New Roman"/>
                <w:color w:val="000000" w:themeColor="text1"/>
                <w:sz w:val="16"/>
                <w:szCs w:val="16"/>
                <w:shd w:val="clear" w:color="auto" w:fill="FAF9F8"/>
              </w:rPr>
            </w:pPr>
            <w:proofErr w:type="spellStart"/>
            <w:r w:rsidRPr="00F84704">
              <w:rPr>
                <w:rFonts w:ascii="Times New Roman" w:hAnsi="Times New Roman" w:cs="Times New Roman"/>
                <w:color w:val="000000" w:themeColor="text1"/>
                <w:sz w:val="16"/>
                <w:szCs w:val="16"/>
                <w:shd w:val="clear" w:color="auto" w:fill="FAF9F8"/>
              </w:rPr>
              <w:t>theta_max</w:t>
            </w:r>
            <w:proofErr w:type="spellEnd"/>
            <w:r w:rsidRPr="00F84704">
              <w:rPr>
                <w:rFonts w:ascii="Times New Roman" w:hAnsi="Times New Roman" w:cs="Times New Roman"/>
                <w:color w:val="000000" w:themeColor="text1"/>
                <w:sz w:val="16"/>
                <w:szCs w:val="16"/>
                <w:shd w:val="clear" w:color="auto" w:fill="FAF9F8"/>
              </w:rPr>
              <w:t xml:space="preserve"> </w:t>
            </w:r>
          </w:p>
        </w:tc>
        <w:tc>
          <w:tcPr>
            <w:tcW w:w="5924" w:type="dxa"/>
            <w:tcBorders>
              <w:top w:val="nil"/>
              <w:bottom w:val="nil"/>
            </w:tcBorders>
          </w:tcPr>
          <w:p w14:paraId="037F81C1" w14:textId="77777777" w:rsidR="001A2CB1" w:rsidRPr="00F84704" w:rsidRDefault="001A2CB1" w:rsidP="00A55182">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Maximum temperature (</w:t>
            </w:r>
            <w:r w:rsidRPr="00F84704">
              <w:rPr>
                <w:rFonts w:ascii="Times New Roman" w:hAnsi="Times New Roman" w:cs="Times New Roman"/>
                <w:color w:val="000000" w:themeColor="text1"/>
                <w:sz w:val="16"/>
                <w:szCs w:val="16"/>
              </w:rPr>
              <w:sym w:font="Symbol" w:char="F0B0"/>
            </w:r>
            <w:r w:rsidRPr="00F84704">
              <w:rPr>
                <w:rFonts w:ascii="Times New Roman" w:hAnsi="Times New Roman" w:cs="Times New Roman"/>
                <w:color w:val="000000" w:themeColor="text1"/>
                <w:sz w:val="16"/>
                <w:szCs w:val="16"/>
              </w:rPr>
              <w:t>C)</w:t>
            </w:r>
          </w:p>
        </w:tc>
        <w:tc>
          <w:tcPr>
            <w:tcW w:w="736" w:type="dxa"/>
            <w:tcBorders>
              <w:top w:val="nil"/>
              <w:bottom w:val="nil"/>
            </w:tcBorders>
          </w:tcPr>
          <w:p w14:paraId="4DA18A9A"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39.0</w:t>
            </w:r>
          </w:p>
        </w:tc>
        <w:tc>
          <w:tcPr>
            <w:tcW w:w="1208" w:type="dxa"/>
            <w:tcBorders>
              <w:top w:val="nil"/>
              <w:bottom w:val="nil"/>
            </w:tcBorders>
          </w:tcPr>
          <w:p w14:paraId="494F0658"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18.0 – 40.0</w:t>
            </w:r>
          </w:p>
        </w:tc>
        <w:tc>
          <w:tcPr>
            <w:tcW w:w="816" w:type="dxa"/>
            <w:tcBorders>
              <w:top w:val="nil"/>
              <w:bottom w:val="nil"/>
            </w:tcBorders>
          </w:tcPr>
          <w:p w14:paraId="77B333FC"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32.0</w:t>
            </w:r>
          </w:p>
        </w:tc>
      </w:tr>
      <w:tr w:rsidR="00F84704" w:rsidRPr="00F84704" w14:paraId="5CA37237" w14:textId="77777777" w:rsidTr="00F84704">
        <w:tc>
          <w:tcPr>
            <w:tcW w:w="1170" w:type="dxa"/>
            <w:tcBorders>
              <w:top w:val="nil"/>
              <w:bottom w:val="nil"/>
            </w:tcBorders>
          </w:tcPr>
          <w:p w14:paraId="5829190D" w14:textId="77777777" w:rsidR="001A2CB1" w:rsidRPr="00F84704" w:rsidRDefault="001A2CB1" w:rsidP="00A55182">
            <w:pPr>
              <w:rPr>
                <w:rFonts w:ascii="Times New Roman" w:hAnsi="Times New Roman" w:cs="Times New Roman"/>
                <w:color w:val="000000" w:themeColor="text1"/>
                <w:sz w:val="16"/>
                <w:szCs w:val="16"/>
                <w:shd w:val="clear" w:color="auto" w:fill="FAF9F8"/>
              </w:rPr>
            </w:pPr>
            <w:proofErr w:type="spellStart"/>
            <w:r w:rsidRPr="00F84704">
              <w:rPr>
                <w:rFonts w:ascii="Times New Roman" w:hAnsi="Times New Roman" w:cs="Times New Roman"/>
                <w:color w:val="000000" w:themeColor="text1"/>
                <w:sz w:val="16"/>
                <w:szCs w:val="16"/>
                <w:shd w:val="clear" w:color="auto" w:fill="FAF9F8"/>
              </w:rPr>
              <w:t>KePHY</w:t>
            </w:r>
            <w:proofErr w:type="spellEnd"/>
          </w:p>
        </w:tc>
        <w:tc>
          <w:tcPr>
            <w:tcW w:w="5924" w:type="dxa"/>
            <w:tcBorders>
              <w:top w:val="nil"/>
              <w:bottom w:val="nil"/>
            </w:tcBorders>
          </w:tcPr>
          <w:p w14:paraId="3BB2F02C" w14:textId="77777777" w:rsidR="001A2CB1" w:rsidRPr="00F84704" w:rsidRDefault="001A2CB1" w:rsidP="00A55182">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Specific attenuation coefficient (mmol m</w:t>
            </w:r>
            <w:r w:rsidRPr="00F84704">
              <w:rPr>
                <w:rFonts w:ascii="Times New Roman" w:hAnsi="Times New Roman" w:cs="Times New Roman"/>
                <w:color w:val="000000" w:themeColor="text1"/>
                <w:sz w:val="16"/>
                <w:szCs w:val="16"/>
                <w:vertAlign w:val="superscript"/>
              </w:rPr>
              <w:sym w:font="Symbol" w:char="F02D"/>
            </w:r>
            <w:r w:rsidRPr="00F84704">
              <w:rPr>
                <w:rFonts w:ascii="Times New Roman" w:hAnsi="Times New Roman" w:cs="Times New Roman"/>
                <w:color w:val="000000" w:themeColor="text1"/>
                <w:sz w:val="16"/>
                <w:szCs w:val="16"/>
                <w:vertAlign w:val="superscript"/>
              </w:rPr>
              <w:t xml:space="preserve">3 </w:t>
            </w:r>
            <w:r w:rsidRPr="00F84704">
              <w:rPr>
                <w:rFonts w:ascii="Times New Roman" w:hAnsi="Times New Roman" w:cs="Times New Roman"/>
                <w:color w:val="000000" w:themeColor="text1"/>
                <w:sz w:val="16"/>
                <w:szCs w:val="16"/>
              </w:rPr>
              <w:t>m</w:t>
            </w:r>
            <w:r w:rsidRPr="00F84704">
              <w:rPr>
                <w:rFonts w:ascii="Times New Roman" w:hAnsi="Times New Roman" w:cs="Times New Roman"/>
                <w:color w:val="000000" w:themeColor="text1"/>
                <w:sz w:val="16"/>
                <w:szCs w:val="16"/>
                <w:vertAlign w:val="superscript"/>
              </w:rPr>
              <w:sym w:font="Symbol" w:char="F02D"/>
            </w:r>
            <w:r w:rsidRPr="00F84704">
              <w:rPr>
                <w:rFonts w:ascii="Times New Roman" w:hAnsi="Times New Roman" w:cs="Times New Roman"/>
                <w:color w:val="000000" w:themeColor="text1"/>
                <w:sz w:val="16"/>
                <w:szCs w:val="16"/>
                <w:vertAlign w:val="superscript"/>
              </w:rPr>
              <w:t>1</w:t>
            </w:r>
            <w:r w:rsidRPr="00F84704">
              <w:rPr>
                <w:rFonts w:ascii="Times New Roman" w:hAnsi="Times New Roman" w:cs="Times New Roman"/>
                <w:color w:val="000000" w:themeColor="text1"/>
                <w:sz w:val="16"/>
                <w:szCs w:val="16"/>
              </w:rPr>
              <w:t>)</w:t>
            </w:r>
          </w:p>
        </w:tc>
        <w:tc>
          <w:tcPr>
            <w:tcW w:w="736" w:type="dxa"/>
            <w:tcBorders>
              <w:top w:val="nil"/>
              <w:bottom w:val="nil"/>
            </w:tcBorders>
          </w:tcPr>
          <w:p w14:paraId="5AB4A9C4"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0.00408</w:t>
            </w:r>
          </w:p>
        </w:tc>
        <w:tc>
          <w:tcPr>
            <w:tcW w:w="1208" w:type="dxa"/>
            <w:tcBorders>
              <w:top w:val="nil"/>
              <w:bottom w:val="nil"/>
            </w:tcBorders>
          </w:tcPr>
          <w:p w14:paraId="5FE19F9D"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0.0001 – 0.005</w:t>
            </w:r>
          </w:p>
        </w:tc>
        <w:tc>
          <w:tcPr>
            <w:tcW w:w="816" w:type="dxa"/>
            <w:tcBorders>
              <w:top w:val="nil"/>
              <w:bottom w:val="nil"/>
            </w:tcBorders>
          </w:tcPr>
          <w:p w14:paraId="6DB53AF3"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0.00408</w:t>
            </w:r>
          </w:p>
        </w:tc>
      </w:tr>
      <w:tr w:rsidR="00F84704" w:rsidRPr="00F84704" w14:paraId="6F86D0E8" w14:textId="77777777" w:rsidTr="00F84704">
        <w:tc>
          <w:tcPr>
            <w:tcW w:w="1170" w:type="dxa"/>
            <w:tcBorders>
              <w:top w:val="nil"/>
              <w:bottom w:val="nil"/>
            </w:tcBorders>
          </w:tcPr>
          <w:p w14:paraId="05617E3A" w14:textId="77777777" w:rsidR="001A2CB1" w:rsidRPr="00F84704" w:rsidRDefault="001A2CB1" w:rsidP="00A55182">
            <w:pPr>
              <w:rPr>
                <w:rFonts w:ascii="Times New Roman" w:hAnsi="Times New Roman" w:cs="Times New Roman"/>
                <w:color w:val="000000" w:themeColor="text1"/>
                <w:sz w:val="16"/>
                <w:szCs w:val="16"/>
                <w:shd w:val="clear" w:color="auto" w:fill="FAF9F8"/>
              </w:rPr>
            </w:pPr>
            <w:r w:rsidRPr="00F84704">
              <w:rPr>
                <w:rFonts w:ascii="Times New Roman" w:hAnsi="Times New Roman" w:cs="Times New Roman"/>
                <w:color w:val="000000" w:themeColor="text1"/>
                <w:sz w:val="16"/>
                <w:szCs w:val="16"/>
                <w:shd w:val="clear" w:color="auto" w:fill="FAF9F8"/>
              </w:rPr>
              <w:t>I_K</w:t>
            </w:r>
          </w:p>
        </w:tc>
        <w:tc>
          <w:tcPr>
            <w:tcW w:w="5924" w:type="dxa"/>
            <w:tcBorders>
              <w:top w:val="nil"/>
              <w:bottom w:val="nil"/>
            </w:tcBorders>
          </w:tcPr>
          <w:p w14:paraId="08342D2C" w14:textId="77777777" w:rsidR="001A2CB1" w:rsidRPr="00F84704" w:rsidRDefault="001A2CB1" w:rsidP="00A55182">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Half-saturation constant for light limitation of growth (W m</w:t>
            </w:r>
            <w:r w:rsidRPr="00F84704">
              <w:rPr>
                <w:rFonts w:ascii="Times New Roman" w:hAnsi="Times New Roman" w:cs="Times New Roman"/>
                <w:color w:val="000000" w:themeColor="text1"/>
                <w:sz w:val="16"/>
                <w:szCs w:val="16"/>
                <w:vertAlign w:val="superscript"/>
              </w:rPr>
              <w:sym w:font="Symbol" w:char="F02D"/>
            </w:r>
            <w:r w:rsidRPr="00F84704">
              <w:rPr>
                <w:rFonts w:ascii="Times New Roman" w:hAnsi="Times New Roman" w:cs="Times New Roman"/>
                <w:color w:val="000000" w:themeColor="text1"/>
                <w:sz w:val="16"/>
                <w:szCs w:val="16"/>
                <w:vertAlign w:val="superscript"/>
              </w:rPr>
              <w:t>2</w:t>
            </w:r>
            <w:r w:rsidRPr="00F84704">
              <w:rPr>
                <w:rFonts w:ascii="Times New Roman" w:hAnsi="Times New Roman" w:cs="Times New Roman"/>
                <w:color w:val="000000" w:themeColor="text1"/>
                <w:sz w:val="16"/>
                <w:szCs w:val="16"/>
              </w:rPr>
              <w:t>)</w:t>
            </w:r>
          </w:p>
        </w:tc>
        <w:tc>
          <w:tcPr>
            <w:tcW w:w="736" w:type="dxa"/>
            <w:tcBorders>
              <w:top w:val="nil"/>
              <w:bottom w:val="nil"/>
            </w:tcBorders>
          </w:tcPr>
          <w:p w14:paraId="54B5AA01"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100</w:t>
            </w:r>
          </w:p>
        </w:tc>
        <w:tc>
          <w:tcPr>
            <w:tcW w:w="1208" w:type="dxa"/>
            <w:tcBorders>
              <w:top w:val="nil"/>
              <w:bottom w:val="nil"/>
            </w:tcBorders>
          </w:tcPr>
          <w:p w14:paraId="5847CAF8"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10 – 100</w:t>
            </w:r>
          </w:p>
        </w:tc>
        <w:tc>
          <w:tcPr>
            <w:tcW w:w="816" w:type="dxa"/>
            <w:tcBorders>
              <w:top w:val="nil"/>
              <w:bottom w:val="nil"/>
            </w:tcBorders>
          </w:tcPr>
          <w:p w14:paraId="5542676E"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100</w:t>
            </w:r>
          </w:p>
        </w:tc>
      </w:tr>
      <w:tr w:rsidR="00F84704" w:rsidRPr="00F84704" w14:paraId="7831A4D7" w14:textId="77777777" w:rsidTr="00F84704">
        <w:tc>
          <w:tcPr>
            <w:tcW w:w="1170" w:type="dxa"/>
            <w:tcBorders>
              <w:top w:val="nil"/>
              <w:bottom w:val="nil"/>
            </w:tcBorders>
          </w:tcPr>
          <w:p w14:paraId="22094E57" w14:textId="77777777" w:rsidR="001A2CB1" w:rsidRPr="00F84704" w:rsidRDefault="001A2CB1" w:rsidP="00A55182">
            <w:pPr>
              <w:rPr>
                <w:rFonts w:ascii="Times New Roman" w:hAnsi="Times New Roman" w:cs="Times New Roman"/>
                <w:color w:val="000000" w:themeColor="text1"/>
                <w:sz w:val="16"/>
                <w:szCs w:val="16"/>
              </w:rPr>
            </w:pPr>
            <w:proofErr w:type="spellStart"/>
            <w:r w:rsidRPr="00F84704">
              <w:rPr>
                <w:rFonts w:ascii="Times New Roman" w:hAnsi="Times New Roman" w:cs="Times New Roman"/>
                <w:color w:val="000000" w:themeColor="text1"/>
                <w:sz w:val="16"/>
                <w:szCs w:val="16"/>
                <w:shd w:val="clear" w:color="auto" w:fill="FAF9F8"/>
              </w:rPr>
              <w:t>R_resp</w:t>
            </w:r>
            <w:proofErr w:type="spellEnd"/>
            <w:r w:rsidRPr="00F84704">
              <w:rPr>
                <w:rFonts w:ascii="Times New Roman" w:hAnsi="Times New Roman" w:cs="Times New Roman"/>
                <w:color w:val="000000" w:themeColor="text1"/>
                <w:sz w:val="16"/>
                <w:szCs w:val="16"/>
                <w:shd w:val="clear" w:color="auto" w:fill="FAF9F8"/>
              </w:rPr>
              <w:t xml:space="preserve"> </w:t>
            </w:r>
          </w:p>
        </w:tc>
        <w:tc>
          <w:tcPr>
            <w:tcW w:w="5924" w:type="dxa"/>
            <w:tcBorders>
              <w:top w:val="nil"/>
              <w:bottom w:val="nil"/>
            </w:tcBorders>
          </w:tcPr>
          <w:p w14:paraId="5A0F3566" w14:textId="77777777" w:rsidR="001A2CB1" w:rsidRPr="00F84704" w:rsidRDefault="001A2CB1" w:rsidP="00A55182">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 xml:space="preserve">Phytoplankton maximum respiration rate at 20 </w:t>
            </w:r>
            <w:r w:rsidRPr="00F84704">
              <w:rPr>
                <w:rFonts w:ascii="Times New Roman" w:hAnsi="Times New Roman" w:cs="Times New Roman"/>
                <w:color w:val="000000" w:themeColor="text1"/>
                <w:sz w:val="16"/>
                <w:szCs w:val="16"/>
              </w:rPr>
              <w:sym w:font="Symbol" w:char="F0B0"/>
            </w:r>
            <w:r w:rsidRPr="00F84704">
              <w:rPr>
                <w:rFonts w:ascii="Times New Roman" w:hAnsi="Times New Roman" w:cs="Times New Roman"/>
                <w:color w:val="000000" w:themeColor="text1"/>
                <w:sz w:val="16"/>
                <w:szCs w:val="16"/>
              </w:rPr>
              <w:t>C (d</w:t>
            </w:r>
            <w:r w:rsidRPr="00F84704">
              <w:rPr>
                <w:rFonts w:ascii="Times New Roman" w:hAnsi="Times New Roman" w:cs="Times New Roman"/>
                <w:color w:val="000000" w:themeColor="text1"/>
                <w:sz w:val="16"/>
                <w:szCs w:val="16"/>
                <w:vertAlign w:val="superscript"/>
              </w:rPr>
              <w:sym w:font="Symbol" w:char="F02D"/>
            </w:r>
            <w:r w:rsidRPr="00F84704">
              <w:rPr>
                <w:rFonts w:ascii="Times New Roman" w:hAnsi="Times New Roman" w:cs="Times New Roman"/>
                <w:color w:val="000000" w:themeColor="text1"/>
                <w:sz w:val="16"/>
                <w:szCs w:val="16"/>
                <w:vertAlign w:val="superscript"/>
              </w:rPr>
              <w:t>1</w:t>
            </w:r>
            <w:r w:rsidRPr="00F84704">
              <w:rPr>
                <w:rFonts w:ascii="Times New Roman" w:hAnsi="Times New Roman" w:cs="Times New Roman"/>
                <w:color w:val="000000" w:themeColor="text1"/>
                <w:sz w:val="16"/>
                <w:szCs w:val="16"/>
              </w:rPr>
              <w:t>)</w:t>
            </w:r>
          </w:p>
        </w:tc>
        <w:tc>
          <w:tcPr>
            <w:tcW w:w="736" w:type="dxa"/>
            <w:tcBorders>
              <w:top w:val="nil"/>
              <w:bottom w:val="nil"/>
            </w:tcBorders>
          </w:tcPr>
          <w:p w14:paraId="14806313"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0.02</w:t>
            </w:r>
          </w:p>
        </w:tc>
        <w:tc>
          <w:tcPr>
            <w:tcW w:w="1208" w:type="dxa"/>
            <w:tcBorders>
              <w:top w:val="nil"/>
              <w:bottom w:val="nil"/>
            </w:tcBorders>
          </w:tcPr>
          <w:p w14:paraId="1C657B4A"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0.01 – 0.20</w:t>
            </w:r>
          </w:p>
        </w:tc>
        <w:tc>
          <w:tcPr>
            <w:tcW w:w="816" w:type="dxa"/>
            <w:tcBorders>
              <w:top w:val="nil"/>
              <w:bottom w:val="nil"/>
            </w:tcBorders>
          </w:tcPr>
          <w:p w14:paraId="7C377FE0"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0.075</w:t>
            </w:r>
          </w:p>
        </w:tc>
      </w:tr>
      <w:tr w:rsidR="00F84704" w:rsidRPr="00F84704" w14:paraId="644B64B0" w14:textId="77777777" w:rsidTr="00F84704">
        <w:tc>
          <w:tcPr>
            <w:tcW w:w="1170" w:type="dxa"/>
            <w:tcBorders>
              <w:top w:val="nil"/>
              <w:bottom w:val="nil"/>
            </w:tcBorders>
          </w:tcPr>
          <w:p w14:paraId="238DBEAC" w14:textId="77777777" w:rsidR="001A2CB1" w:rsidRPr="00F84704" w:rsidRDefault="001A2CB1" w:rsidP="00A55182">
            <w:pPr>
              <w:rPr>
                <w:rFonts w:ascii="Times New Roman" w:hAnsi="Times New Roman" w:cs="Times New Roman"/>
                <w:color w:val="000000" w:themeColor="text1"/>
                <w:sz w:val="16"/>
                <w:szCs w:val="16"/>
                <w:shd w:val="clear" w:color="auto" w:fill="FAF9F8"/>
              </w:rPr>
            </w:pPr>
            <w:proofErr w:type="spellStart"/>
            <w:r w:rsidRPr="00F84704">
              <w:rPr>
                <w:rFonts w:ascii="Times New Roman" w:hAnsi="Times New Roman" w:cs="Times New Roman"/>
                <w:color w:val="000000" w:themeColor="text1"/>
                <w:sz w:val="16"/>
                <w:szCs w:val="16"/>
                <w:shd w:val="clear" w:color="auto" w:fill="FAF9F8"/>
              </w:rPr>
              <w:t>theta_resp</w:t>
            </w:r>
            <w:proofErr w:type="spellEnd"/>
          </w:p>
        </w:tc>
        <w:tc>
          <w:tcPr>
            <w:tcW w:w="5924" w:type="dxa"/>
            <w:tcBorders>
              <w:top w:val="nil"/>
              <w:bottom w:val="nil"/>
            </w:tcBorders>
          </w:tcPr>
          <w:p w14:paraId="0FD89BFD" w14:textId="77777777" w:rsidR="001A2CB1" w:rsidRPr="00F84704" w:rsidRDefault="001A2CB1" w:rsidP="00A55182">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Arrhenius temperature multiplier for respiration</w:t>
            </w:r>
          </w:p>
        </w:tc>
        <w:tc>
          <w:tcPr>
            <w:tcW w:w="736" w:type="dxa"/>
            <w:tcBorders>
              <w:top w:val="nil"/>
              <w:bottom w:val="nil"/>
            </w:tcBorders>
          </w:tcPr>
          <w:p w14:paraId="03E4E1AD"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1.08</w:t>
            </w:r>
          </w:p>
        </w:tc>
        <w:tc>
          <w:tcPr>
            <w:tcW w:w="1208" w:type="dxa"/>
            <w:tcBorders>
              <w:top w:val="nil"/>
              <w:bottom w:val="nil"/>
            </w:tcBorders>
          </w:tcPr>
          <w:p w14:paraId="7EB25620"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1.0 – 1.2</w:t>
            </w:r>
          </w:p>
        </w:tc>
        <w:tc>
          <w:tcPr>
            <w:tcW w:w="816" w:type="dxa"/>
            <w:tcBorders>
              <w:top w:val="nil"/>
              <w:bottom w:val="nil"/>
            </w:tcBorders>
          </w:tcPr>
          <w:p w14:paraId="1A9F173E"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1.2</w:t>
            </w:r>
          </w:p>
        </w:tc>
      </w:tr>
      <w:tr w:rsidR="00F84704" w:rsidRPr="00F84704" w14:paraId="6D23D17D" w14:textId="77777777" w:rsidTr="00F84704">
        <w:tc>
          <w:tcPr>
            <w:tcW w:w="1170" w:type="dxa"/>
            <w:tcBorders>
              <w:top w:val="nil"/>
              <w:bottom w:val="nil"/>
            </w:tcBorders>
          </w:tcPr>
          <w:p w14:paraId="3B62927F" w14:textId="77777777" w:rsidR="001A2CB1" w:rsidRPr="00F84704" w:rsidRDefault="001A2CB1" w:rsidP="00A55182">
            <w:pPr>
              <w:rPr>
                <w:rFonts w:ascii="Times New Roman" w:hAnsi="Times New Roman" w:cs="Times New Roman"/>
                <w:color w:val="000000" w:themeColor="text1"/>
                <w:sz w:val="16"/>
                <w:szCs w:val="16"/>
                <w:shd w:val="clear" w:color="auto" w:fill="FAF9F8"/>
              </w:rPr>
            </w:pPr>
            <w:proofErr w:type="spellStart"/>
            <w:r w:rsidRPr="00F84704">
              <w:rPr>
                <w:rFonts w:ascii="Times New Roman" w:hAnsi="Times New Roman" w:cs="Times New Roman"/>
                <w:color w:val="000000" w:themeColor="text1"/>
                <w:sz w:val="16"/>
                <w:szCs w:val="16"/>
                <w:shd w:val="clear" w:color="auto" w:fill="FAF9F8"/>
              </w:rPr>
              <w:t>f_pr</w:t>
            </w:r>
            <w:proofErr w:type="spellEnd"/>
          </w:p>
        </w:tc>
        <w:tc>
          <w:tcPr>
            <w:tcW w:w="5924" w:type="dxa"/>
            <w:tcBorders>
              <w:top w:val="nil"/>
              <w:bottom w:val="nil"/>
            </w:tcBorders>
          </w:tcPr>
          <w:p w14:paraId="4F9AF4D1" w14:textId="77777777" w:rsidR="001A2CB1" w:rsidRPr="00F84704" w:rsidRDefault="001A2CB1" w:rsidP="00A55182">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Fraction of primary production lost to exudation</w:t>
            </w:r>
          </w:p>
        </w:tc>
        <w:tc>
          <w:tcPr>
            <w:tcW w:w="736" w:type="dxa"/>
            <w:tcBorders>
              <w:top w:val="nil"/>
              <w:bottom w:val="nil"/>
            </w:tcBorders>
          </w:tcPr>
          <w:p w14:paraId="06AED83C"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0.025</w:t>
            </w:r>
          </w:p>
        </w:tc>
        <w:tc>
          <w:tcPr>
            <w:tcW w:w="1208" w:type="dxa"/>
            <w:tcBorders>
              <w:top w:val="nil"/>
              <w:bottom w:val="nil"/>
            </w:tcBorders>
          </w:tcPr>
          <w:p w14:paraId="7CAA3542"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0.002 – 0.1</w:t>
            </w:r>
          </w:p>
        </w:tc>
        <w:tc>
          <w:tcPr>
            <w:tcW w:w="816" w:type="dxa"/>
            <w:tcBorders>
              <w:top w:val="nil"/>
              <w:bottom w:val="nil"/>
            </w:tcBorders>
          </w:tcPr>
          <w:p w14:paraId="28CA1F69"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0.075</w:t>
            </w:r>
          </w:p>
        </w:tc>
      </w:tr>
      <w:tr w:rsidR="00F84704" w:rsidRPr="00F84704" w14:paraId="78B29825" w14:textId="77777777" w:rsidTr="00F84704">
        <w:tc>
          <w:tcPr>
            <w:tcW w:w="1170" w:type="dxa"/>
            <w:tcBorders>
              <w:top w:val="nil"/>
              <w:bottom w:val="nil"/>
            </w:tcBorders>
          </w:tcPr>
          <w:p w14:paraId="12289A28" w14:textId="77777777" w:rsidR="001A2CB1" w:rsidRPr="00F84704" w:rsidRDefault="001A2CB1" w:rsidP="00A55182">
            <w:pPr>
              <w:rPr>
                <w:rFonts w:ascii="Times New Roman" w:hAnsi="Times New Roman" w:cs="Times New Roman"/>
                <w:color w:val="000000" w:themeColor="text1"/>
                <w:sz w:val="16"/>
                <w:szCs w:val="16"/>
                <w:shd w:val="clear" w:color="auto" w:fill="FAF9F8"/>
              </w:rPr>
            </w:pPr>
            <w:proofErr w:type="spellStart"/>
            <w:r w:rsidRPr="00F84704">
              <w:rPr>
                <w:rFonts w:ascii="Times New Roman" w:hAnsi="Times New Roman" w:cs="Times New Roman"/>
                <w:color w:val="000000" w:themeColor="text1"/>
                <w:sz w:val="16"/>
                <w:szCs w:val="16"/>
                <w:shd w:val="clear" w:color="auto" w:fill="FAF9F8"/>
              </w:rPr>
              <w:t>k_fres</w:t>
            </w:r>
            <w:proofErr w:type="spellEnd"/>
          </w:p>
        </w:tc>
        <w:tc>
          <w:tcPr>
            <w:tcW w:w="5924" w:type="dxa"/>
            <w:tcBorders>
              <w:top w:val="nil"/>
              <w:bottom w:val="nil"/>
            </w:tcBorders>
          </w:tcPr>
          <w:p w14:paraId="3AAE99D1" w14:textId="77777777" w:rsidR="001A2CB1" w:rsidRPr="00F84704" w:rsidRDefault="001A2CB1" w:rsidP="00A55182">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Fraction of metabolic loss that is true respiration</w:t>
            </w:r>
          </w:p>
        </w:tc>
        <w:tc>
          <w:tcPr>
            <w:tcW w:w="736" w:type="dxa"/>
            <w:tcBorders>
              <w:top w:val="nil"/>
              <w:bottom w:val="nil"/>
            </w:tcBorders>
          </w:tcPr>
          <w:p w14:paraId="574FC3FC"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0.1</w:t>
            </w:r>
          </w:p>
        </w:tc>
        <w:tc>
          <w:tcPr>
            <w:tcW w:w="1208" w:type="dxa"/>
            <w:tcBorders>
              <w:top w:val="nil"/>
              <w:bottom w:val="nil"/>
            </w:tcBorders>
          </w:tcPr>
          <w:p w14:paraId="2A1E8B51"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0.1 – 0.6</w:t>
            </w:r>
          </w:p>
        </w:tc>
        <w:tc>
          <w:tcPr>
            <w:tcW w:w="816" w:type="dxa"/>
            <w:tcBorders>
              <w:top w:val="nil"/>
              <w:bottom w:val="nil"/>
            </w:tcBorders>
          </w:tcPr>
          <w:p w14:paraId="70D3640F"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0.6</w:t>
            </w:r>
          </w:p>
        </w:tc>
      </w:tr>
      <w:tr w:rsidR="00F84704" w:rsidRPr="00F84704" w14:paraId="0234571F" w14:textId="77777777" w:rsidTr="00F84704">
        <w:tc>
          <w:tcPr>
            <w:tcW w:w="1170" w:type="dxa"/>
            <w:tcBorders>
              <w:top w:val="nil"/>
              <w:bottom w:val="single" w:sz="4" w:space="0" w:color="auto"/>
            </w:tcBorders>
          </w:tcPr>
          <w:p w14:paraId="7683B7A7" w14:textId="77777777" w:rsidR="001A2CB1" w:rsidRPr="00F84704" w:rsidRDefault="001A2CB1" w:rsidP="00A55182">
            <w:pPr>
              <w:rPr>
                <w:rFonts w:ascii="Times New Roman" w:hAnsi="Times New Roman" w:cs="Times New Roman"/>
                <w:color w:val="000000" w:themeColor="text1"/>
                <w:sz w:val="16"/>
                <w:szCs w:val="16"/>
                <w:shd w:val="clear" w:color="auto" w:fill="FAF9F8"/>
              </w:rPr>
            </w:pPr>
            <w:proofErr w:type="spellStart"/>
            <w:r w:rsidRPr="00F84704">
              <w:rPr>
                <w:rFonts w:ascii="Times New Roman" w:hAnsi="Times New Roman" w:cs="Times New Roman"/>
                <w:color w:val="000000" w:themeColor="text1"/>
                <w:sz w:val="16"/>
                <w:szCs w:val="16"/>
                <w:shd w:val="clear" w:color="auto" w:fill="FAF9F8"/>
              </w:rPr>
              <w:t>k_fdom</w:t>
            </w:r>
            <w:proofErr w:type="spellEnd"/>
          </w:p>
        </w:tc>
        <w:tc>
          <w:tcPr>
            <w:tcW w:w="5924" w:type="dxa"/>
            <w:tcBorders>
              <w:top w:val="nil"/>
              <w:bottom w:val="single" w:sz="4" w:space="0" w:color="auto"/>
            </w:tcBorders>
          </w:tcPr>
          <w:p w14:paraId="36297762" w14:textId="77777777" w:rsidR="001A2CB1" w:rsidRPr="00F84704" w:rsidRDefault="001A2CB1" w:rsidP="00A55182">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Fraction of metabolic loss that is dissolved organic matter</w:t>
            </w:r>
          </w:p>
        </w:tc>
        <w:tc>
          <w:tcPr>
            <w:tcW w:w="736" w:type="dxa"/>
            <w:tcBorders>
              <w:top w:val="nil"/>
              <w:bottom w:val="single" w:sz="4" w:space="0" w:color="auto"/>
            </w:tcBorders>
          </w:tcPr>
          <w:p w14:paraId="6FD5ABDD"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0.3</w:t>
            </w:r>
          </w:p>
        </w:tc>
        <w:tc>
          <w:tcPr>
            <w:tcW w:w="1208" w:type="dxa"/>
            <w:tcBorders>
              <w:top w:val="nil"/>
              <w:bottom w:val="single" w:sz="4" w:space="0" w:color="auto"/>
            </w:tcBorders>
          </w:tcPr>
          <w:p w14:paraId="732F1F24"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0.05 – 0.3</w:t>
            </w:r>
          </w:p>
        </w:tc>
        <w:tc>
          <w:tcPr>
            <w:tcW w:w="816" w:type="dxa"/>
            <w:tcBorders>
              <w:top w:val="nil"/>
              <w:bottom w:val="single" w:sz="4" w:space="0" w:color="auto"/>
            </w:tcBorders>
          </w:tcPr>
          <w:p w14:paraId="71CA8A9B" w14:textId="77777777" w:rsidR="001A2CB1" w:rsidRPr="00F84704" w:rsidRDefault="001A2CB1" w:rsidP="00F84704">
            <w:pPr>
              <w:rPr>
                <w:rFonts w:ascii="Times New Roman" w:hAnsi="Times New Roman" w:cs="Times New Roman"/>
                <w:color w:val="000000" w:themeColor="text1"/>
                <w:sz w:val="16"/>
                <w:szCs w:val="16"/>
              </w:rPr>
            </w:pPr>
            <w:r w:rsidRPr="00F84704">
              <w:rPr>
                <w:rFonts w:ascii="Times New Roman" w:hAnsi="Times New Roman" w:cs="Times New Roman"/>
                <w:color w:val="000000" w:themeColor="text1"/>
                <w:sz w:val="16"/>
                <w:szCs w:val="16"/>
              </w:rPr>
              <w:t>0.3</w:t>
            </w:r>
          </w:p>
        </w:tc>
      </w:tr>
    </w:tbl>
    <w:p w14:paraId="2CFEE8A6" w14:textId="77777777" w:rsidR="001A2CB1" w:rsidRPr="00A14EE6" w:rsidRDefault="001A2CB1" w:rsidP="001A2CB1">
      <w:pPr>
        <w:rPr>
          <w:color w:val="000000" w:themeColor="text1"/>
        </w:rPr>
      </w:pPr>
    </w:p>
    <w:p w14:paraId="4A2FFE79" w14:textId="77777777" w:rsidR="001A2CB1" w:rsidRPr="00A14EE6" w:rsidRDefault="001A2CB1" w:rsidP="001A2CB1">
      <w:pPr>
        <w:rPr>
          <w:color w:val="000000" w:themeColor="text1"/>
        </w:rPr>
      </w:pPr>
    </w:p>
    <w:p w14:paraId="2E425474" w14:textId="77777777" w:rsidR="001A2CB1" w:rsidRPr="00A14EE6" w:rsidRDefault="001A2CB1" w:rsidP="001A2CB1">
      <w:pPr>
        <w:pStyle w:val="NormalWeb"/>
        <w:spacing w:before="0" w:beforeAutospacing="0" w:after="240" w:afterAutospacing="0" w:line="360" w:lineRule="auto"/>
        <w:ind w:firstLine="640"/>
        <w:jc w:val="both"/>
        <w:rPr>
          <w:color w:val="000000" w:themeColor="text1"/>
        </w:rPr>
      </w:pPr>
    </w:p>
    <w:p w14:paraId="41AEC094" w14:textId="77777777" w:rsidR="001A2CB1" w:rsidRPr="00A14EE6" w:rsidRDefault="001A2CB1" w:rsidP="001A2CB1">
      <w:pPr>
        <w:pStyle w:val="NormalWeb"/>
        <w:spacing w:before="0" w:beforeAutospacing="0" w:after="240" w:afterAutospacing="0" w:line="360" w:lineRule="auto"/>
        <w:ind w:firstLine="640"/>
        <w:jc w:val="both"/>
        <w:rPr>
          <w:color w:val="000000" w:themeColor="text1"/>
        </w:rPr>
        <w:sectPr w:rsidR="001A2CB1" w:rsidRPr="00A14EE6" w:rsidSect="00F84704">
          <w:pgSz w:w="12240" w:h="15840"/>
          <w:pgMar w:top="1440" w:right="1440" w:bottom="1440" w:left="1440" w:header="720" w:footer="720" w:gutter="0"/>
          <w:cols w:space="720"/>
          <w:docGrid w:linePitch="360"/>
        </w:sectPr>
      </w:pPr>
    </w:p>
    <w:p w14:paraId="681ED0D2" w14:textId="77777777" w:rsidR="001A2CB1" w:rsidRPr="00A14EE6" w:rsidRDefault="001A2CB1" w:rsidP="001A2CB1">
      <w:pPr>
        <w:pStyle w:val="NormalWeb"/>
        <w:spacing w:before="0" w:beforeAutospacing="0" w:after="240" w:afterAutospacing="0" w:line="360" w:lineRule="auto"/>
        <w:jc w:val="both"/>
        <w:rPr>
          <w:color w:val="000000" w:themeColor="text1"/>
        </w:rPr>
      </w:pPr>
      <w:r w:rsidRPr="00A14EE6">
        <w:rPr>
          <w:b/>
          <w:bCs/>
          <w:color w:val="000000" w:themeColor="text1"/>
        </w:rPr>
        <w:lastRenderedPageBreak/>
        <w:t>Model performance</w:t>
      </w:r>
    </w:p>
    <w:p w14:paraId="013DE714" w14:textId="77777777" w:rsidR="001A2CB1" w:rsidRPr="00A14EE6" w:rsidRDefault="001A2CB1" w:rsidP="001A2CB1">
      <w:pPr>
        <w:pStyle w:val="NormalWeb"/>
        <w:spacing w:before="0" w:beforeAutospacing="0" w:after="240" w:afterAutospacing="0" w:line="360" w:lineRule="auto"/>
        <w:ind w:firstLine="640"/>
        <w:jc w:val="both"/>
        <w:rPr>
          <w:color w:val="000000" w:themeColor="text1"/>
        </w:rPr>
      </w:pPr>
      <w:r w:rsidRPr="00A14EE6">
        <w:rPr>
          <w:color w:val="000000" w:themeColor="text1"/>
        </w:rPr>
        <w:t>Seven goodness-of-fit metrics were calculated as follows to quantify the difference between field measurements and modelling results: root mean square error (RMSE), relative root mean square error (RRMSE), mean absolute error (MAE), normalized mean absolute error (NMAE), coefficient of determination (R</w:t>
      </w:r>
      <w:r w:rsidRPr="00A14EE6">
        <w:rPr>
          <w:color w:val="000000" w:themeColor="text1"/>
          <w:vertAlign w:val="superscript"/>
        </w:rPr>
        <w:t>2</w:t>
      </w:r>
      <w:r w:rsidRPr="00A14EE6">
        <w:rPr>
          <w:color w:val="000000" w:themeColor="text1"/>
        </w:rPr>
        <w:t>), bias, and Nash-Sutcliffe efficiency (NSE).</w:t>
      </w:r>
    </w:p>
    <w:p w14:paraId="3ED69520" w14:textId="6020DF7E" w:rsidR="001A2CB1" w:rsidRPr="00A14EE6" w:rsidRDefault="001A2CB1" w:rsidP="001A2CB1">
      <w:pPr>
        <w:pStyle w:val="NormalWeb"/>
        <w:spacing w:before="0" w:beforeAutospacing="0" w:after="240" w:afterAutospacing="0" w:line="360" w:lineRule="auto"/>
        <w:jc w:val="both"/>
        <w:rPr>
          <w:color w:val="000000" w:themeColor="text1"/>
        </w:rPr>
      </w:pPr>
      <m:oMath>
        <m:r>
          <w:rPr>
            <w:rFonts w:ascii="Cambria Math" w:hAnsi="Cambria Math"/>
            <w:color w:val="000000" w:themeColor="text1"/>
          </w:rPr>
          <m:t xml:space="preserve">RMSE= </m:t>
        </m:r>
        <m:rad>
          <m:radPr>
            <m:degHide m:val="1"/>
            <m:ctrlPr>
              <w:rPr>
                <w:rFonts w:ascii="Cambria Math" w:hAnsi="Cambria Math"/>
                <w:i/>
                <w:color w:val="000000" w:themeColor="text1"/>
              </w:rPr>
            </m:ctrlPr>
          </m:radPr>
          <m:deg/>
          <m:e>
            <m:f>
              <m:fPr>
                <m:ctrlPr>
                  <w:rPr>
                    <w:rFonts w:ascii="Cambria Math" w:hAnsi="Cambria Math"/>
                    <w:i/>
                    <w:color w:val="000000" w:themeColor="text1"/>
                  </w:rPr>
                </m:ctrlPr>
              </m:fPr>
              <m:num>
                <m:r>
                  <w:rPr>
                    <w:rFonts w:ascii="Cambria Math" w:hAnsi="Cambria Math"/>
                    <w:color w:val="000000" w:themeColor="text1"/>
                  </w:rPr>
                  <m:t>1</m:t>
                </m:r>
              </m:num>
              <m:den>
                <m:r>
                  <w:rPr>
                    <w:rFonts w:ascii="Cambria Math" w:hAnsi="Cambria Math"/>
                    <w:color w:val="000000" w:themeColor="text1"/>
                  </w:rPr>
                  <m:t>n</m:t>
                </m:r>
              </m:den>
            </m:f>
            <m:nary>
              <m:naryPr>
                <m:chr m:val="∑"/>
                <m:limLoc m:val="undOvr"/>
                <m:ctrlPr>
                  <w:rPr>
                    <w:rFonts w:ascii="Cambria Math" w:hAnsi="Cambria Math"/>
                    <w:i/>
                    <w:color w:val="000000" w:themeColor="text1"/>
                  </w:rPr>
                </m:ctrlPr>
              </m:naryPr>
              <m:sub>
                <m:r>
                  <w:rPr>
                    <w:rFonts w:ascii="Cambria Math" w:hAnsi="Cambria Math"/>
                    <w:color w:val="000000" w:themeColor="text1"/>
                  </w:rPr>
                  <m:t>i=1</m:t>
                </m:r>
              </m:sub>
              <m:sup>
                <m:r>
                  <w:rPr>
                    <w:rFonts w:ascii="Cambria Math" w:hAnsi="Cambria Math"/>
                    <w:color w:val="000000" w:themeColor="text1"/>
                  </w:rPr>
                  <m:t>n</m:t>
                </m:r>
              </m:sup>
              <m:e>
                <m:sSup>
                  <m:sSupPr>
                    <m:ctrlPr>
                      <w:rPr>
                        <w:rFonts w:ascii="Cambria Math" w:hAnsi="Cambria Math"/>
                        <w:i/>
                        <w:color w:val="000000" w:themeColor="text1"/>
                      </w:rPr>
                    </m:ctrlPr>
                  </m:sSupPr>
                  <m:e>
                    <m:d>
                      <m:dPr>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S</m:t>
                            </m:r>
                          </m:e>
                          <m:sub>
                            <m:r>
                              <w:rPr>
                                <w:rFonts w:ascii="Cambria Math" w:hAnsi="Cambria Math"/>
                                <w:color w:val="000000" w:themeColor="text1"/>
                              </w:rPr>
                              <m:t>i</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O</m:t>
                            </m:r>
                          </m:e>
                          <m:sub>
                            <m:r>
                              <w:rPr>
                                <w:rFonts w:ascii="Cambria Math" w:hAnsi="Cambria Math"/>
                                <w:color w:val="000000" w:themeColor="text1"/>
                              </w:rPr>
                              <m:t>i</m:t>
                            </m:r>
                          </m:sub>
                        </m:sSub>
                      </m:e>
                    </m:d>
                  </m:e>
                  <m:sup>
                    <m:r>
                      <w:rPr>
                        <w:rFonts w:ascii="Cambria Math" w:hAnsi="Cambria Math"/>
                        <w:color w:val="000000" w:themeColor="text1"/>
                      </w:rPr>
                      <m:t>2</m:t>
                    </m:r>
                  </m:sup>
                </m:sSup>
              </m:e>
            </m:nary>
          </m:e>
        </m:rad>
      </m:oMath>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t>(</w:t>
      </w:r>
      <w:r w:rsidR="00D477FE" w:rsidRPr="00A14EE6">
        <w:rPr>
          <w:color w:val="000000" w:themeColor="text1"/>
        </w:rPr>
        <w:t>5</w:t>
      </w:r>
      <w:r w:rsidRPr="00A14EE6">
        <w:rPr>
          <w:color w:val="000000" w:themeColor="text1"/>
        </w:rPr>
        <w:t>)</w:t>
      </w:r>
    </w:p>
    <w:p w14:paraId="4923C292" w14:textId="4CA86A25" w:rsidR="001A2CB1" w:rsidRPr="00A14EE6" w:rsidRDefault="001A2CB1" w:rsidP="001A2CB1">
      <w:pPr>
        <w:pStyle w:val="NormalWeb"/>
        <w:spacing w:before="0" w:beforeAutospacing="0" w:after="240" w:afterAutospacing="0" w:line="360" w:lineRule="auto"/>
        <w:jc w:val="both"/>
        <w:rPr>
          <w:color w:val="000000" w:themeColor="text1"/>
        </w:rPr>
      </w:pPr>
      <m:oMath>
        <m:r>
          <w:rPr>
            <w:rFonts w:ascii="Cambria Math" w:hAnsi="Cambria Math"/>
            <w:color w:val="000000" w:themeColor="text1"/>
          </w:rPr>
          <m:t>RRMSE=</m:t>
        </m:r>
        <m:f>
          <m:fPr>
            <m:ctrlPr>
              <w:rPr>
                <w:rFonts w:ascii="Cambria Math" w:hAnsi="Cambria Math"/>
                <w:i/>
                <w:color w:val="000000" w:themeColor="text1"/>
              </w:rPr>
            </m:ctrlPr>
          </m:fPr>
          <m:num>
            <m:r>
              <w:rPr>
                <w:rFonts w:ascii="Cambria Math" w:hAnsi="Cambria Math"/>
                <w:color w:val="000000" w:themeColor="text1"/>
              </w:rPr>
              <m:t>RMSE</m:t>
            </m:r>
          </m:num>
          <m:den>
            <m:d>
              <m:dPr>
                <m:begChr m:val="|"/>
                <m:endChr m:val="|"/>
                <m:ctrlPr>
                  <w:rPr>
                    <w:rFonts w:ascii="Cambria Math" w:hAnsi="Cambria Math"/>
                    <w:color w:val="000000" w:themeColor="text1"/>
                  </w:rPr>
                </m:ctrlPr>
              </m:dPr>
              <m:e>
                <m:func>
                  <m:funcPr>
                    <m:ctrlPr>
                      <w:rPr>
                        <w:rFonts w:ascii="Cambria Math" w:hAnsi="Cambria Math"/>
                        <w:color w:val="000000" w:themeColor="text1"/>
                      </w:rPr>
                    </m:ctrlPr>
                  </m:funcPr>
                  <m:fName>
                    <m:r>
                      <m:rPr>
                        <m:sty m:val="p"/>
                      </m:rPr>
                      <w:rPr>
                        <w:rFonts w:ascii="Cambria Math" w:hAnsi="Cambria Math"/>
                        <w:color w:val="000000" w:themeColor="text1"/>
                      </w:rPr>
                      <m:t>max</m:t>
                    </m:r>
                  </m:fName>
                  <m:e>
                    <m:d>
                      <m:dPr>
                        <m:ctrlPr>
                          <w:rPr>
                            <w:rFonts w:ascii="Cambria Math" w:hAnsi="Cambria Math"/>
                            <w:i/>
                            <w:color w:val="000000" w:themeColor="text1"/>
                          </w:rPr>
                        </m:ctrlPr>
                      </m:dPr>
                      <m:e>
                        <m:r>
                          <w:rPr>
                            <w:rFonts w:ascii="Cambria Math" w:hAnsi="Cambria Math"/>
                            <w:color w:val="000000" w:themeColor="text1"/>
                          </w:rPr>
                          <m:t>O</m:t>
                        </m:r>
                      </m:e>
                    </m:d>
                  </m:e>
                </m:func>
                <m:r>
                  <w:rPr>
                    <w:rFonts w:ascii="Cambria Math" w:hAnsi="Cambria Math"/>
                    <w:color w:val="000000" w:themeColor="text1"/>
                  </w:rPr>
                  <m:t>-</m:t>
                </m:r>
                <m:r>
                  <m:rPr>
                    <m:sty m:val="p"/>
                  </m:rPr>
                  <w:rPr>
                    <w:rFonts w:ascii="Cambria Math" w:hAnsi="Cambria Math"/>
                    <w:color w:val="000000" w:themeColor="text1"/>
                  </w:rPr>
                  <m:t>min⁡</m:t>
                </m:r>
                <m:r>
                  <w:rPr>
                    <w:rFonts w:ascii="Cambria Math" w:hAnsi="Cambria Math"/>
                    <w:color w:val="000000" w:themeColor="text1"/>
                  </w:rPr>
                  <m:t>(O)</m:t>
                </m:r>
              </m:e>
            </m:d>
          </m:den>
        </m:f>
      </m:oMath>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t>(</w:t>
      </w:r>
      <w:r w:rsidR="00D477FE" w:rsidRPr="00A14EE6">
        <w:rPr>
          <w:color w:val="000000" w:themeColor="text1"/>
        </w:rPr>
        <w:t>6</w:t>
      </w:r>
      <w:r w:rsidRPr="00A14EE6">
        <w:rPr>
          <w:color w:val="000000" w:themeColor="text1"/>
        </w:rPr>
        <w:t>)</w:t>
      </w:r>
    </w:p>
    <w:p w14:paraId="7BEC2717" w14:textId="47BA6CE8" w:rsidR="001A2CB1" w:rsidRPr="00A14EE6" w:rsidRDefault="001A2CB1" w:rsidP="001A2CB1">
      <w:pPr>
        <w:pStyle w:val="NormalWeb"/>
        <w:spacing w:before="0" w:beforeAutospacing="0" w:after="240" w:afterAutospacing="0" w:line="360" w:lineRule="auto"/>
        <w:jc w:val="both"/>
        <w:rPr>
          <w:color w:val="000000" w:themeColor="text1"/>
        </w:rPr>
      </w:pPr>
      <m:oMath>
        <m:r>
          <w:rPr>
            <w:rFonts w:ascii="Cambria Math" w:hAnsi="Cambria Math"/>
            <w:color w:val="000000" w:themeColor="text1"/>
          </w:rPr>
          <m:t>MAE=</m:t>
        </m:r>
        <m:f>
          <m:fPr>
            <m:ctrlPr>
              <w:rPr>
                <w:rFonts w:ascii="Cambria Math" w:hAnsi="Cambria Math"/>
                <w:i/>
                <w:color w:val="000000" w:themeColor="text1"/>
              </w:rPr>
            </m:ctrlPr>
          </m:fPr>
          <m:num>
            <m:r>
              <w:rPr>
                <w:rFonts w:ascii="Cambria Math" w:hAnsi="Cambria Math"/>
                <w:color w:val="000000" w:themeColor="text1"/>
              </w:rPr>
              <m:t>1</m:t>
            </m:r>
          </m:num>
          <m:den>
            <m:r>
              <w:rPr>
                <w:rFonts w:ascii="Cambria Math" w:hAnsi="Cambria Math"/>
                <w:color w:val="000000" w:themeColor="text1"/>
              </w:rPr>
              <m:t>n</m:t>
            </m:r>
          </m:den>
        </m:f>
        <m:nary>
          <m:naryPr>
            <m:chr m:val="∑"/>
            <m:limLoc m:val="subSup"/>
            <m:ctrlPr>
              <w:rPr>
                <w:rFonts w:ascii="Cambria Math" w:hAnsi="Cambria Math"/>
                <w:i/>
                <w:color w:val="000000" w:themeColor="text1"/>
              </w:rPr>
            </m:ctrlPr>
          </m:naryPr>
          <m:sub>
            <m:r>
              <w:rPr>
                <w:rFonts w:ascii="Cambria Math" w:hAnsi="Cambria Math"/>
                <w:color w:val="000000" w:themeColor="text1"/>
              </w:rPr>
              <m:t>i=1</m:t>
            </m:r>
          </m:sub>
          <m:sup>
            <m:r>
              <w:rPr>
                <w:rFonts w:ascii="Cambria Math" w:hAnsi="Cambria Math"/>
                <w:color w:val="000000" w:themeColor="text1"/>
              </w:rPr>
              <m:t>n</m:t>
            </m:r>
          </m:sup>
          <m:e>
            <m:d>
              <m:dPr>
                <m:begChr m:val="|"/>
                <m:endChr m:val="|"/>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S</m:t>
                    </m:r>
                  </m:e>
                  <m:sub>
                    <m:r>
                      <w:rPr>
                        <w:rFonts w:ascii="Cambria Math" w:hAnsi="Cambria Math"/>
                        <w:color w:val="000000" w:themeColor="text1"/>
                      </w:rPr>
                      <m:t>i</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O</m:t>
                    </m:r>
                  </m:e>
                  <m:sub>
                    <m:r>
                      <w:rPr>
                        <w:rFonts w:ascii="Cambria Math" w:hAnsi="Cambria Math"/>
                        <w:color w:val="000000" w:themeColor="text1"/>
                      </w:rPr>
                      <m:t>i</m:t>
                    </m:r>
                  </m:sub>
                </m:sSub>
              </m:e>
            </m:d>
          </m:e>
        </m:nary>
      </m:oMath>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t>(</w:t>
      </w:r>
      <w:r w:rsidR="00D477FE" w:rsidRPr="00A14EE6">
        <w:rPr>
          <w:color w:val="000000" w:themeColor="text1"/>
        </w:rPr>
        <w:t>7</w:t>
      </w:r>
      <w:r w:rsidRPr="00A14EE6">
        <w:rPr>
          <w:color w:val="000000" w:themeColor="text1"/>
        </w:rPr>
        <w:t>)</w:t>
      </w:r>
    </w:p>
    <w:p w14:paraId="2DA48535" w14:textId="1426265A" w:rsidR="001A2CB1" w:rsidRPr="00A14EE6" w:rsidRDefault="001A2CB1" w:rsidP="001A2CB1">
      <w:pPr>
        <w:pStyle w:val="NormalWeb"/>
        <w:spacing w:before="0" w:beforeAutospacing="0" w:after="240" w:afterAutospacing="0" w:line="360" w:lineRule="auto"/>
        <w:jc w:val="both"/>
        <w:rPr>
          <w:color w:val="000000" w:themeColor="text1"/>
        </w:rPr>
      </w:pPr>
      <m:oMath>
        <m:r>
          <w:rPr>
            <w:rFonts w:ascii="Cambria Math" w:hAnsi="Cambria Math"/>
            <w:color w:val="000000" w:themeColor="text1"/>
          </w:rPr>
          <m:t>NMAE=</m:t>
        </m:r>
        <m:f>
          <m:fPr>
            <m:ctrlPr>
              <w:rPr>
                <w:rFonts w:ascii="Cambria Math" w:hAnsi="Cambria Math"/>
                <w:i/>
                <w:color w:val="000000" w:themeColor="text1"/>
              </w:rPr>
            </m:ctrlPr>
          </m:fPr>
          <m:num>
            <m:r>
              <w:rPr>
                <w:rFonts w:ascii="Cambria Math" w:hAnsi="Cambria Math"/>
                <w:color w:val="000000" w:themeColor="text1"/>
              </w:rPr>
              <m:t>1</m:t>
            </m:r>
          </m:num>
          <m:den>
            <m:r>
              <w:rPr>
                <w:rFonts w:ascii="Cambria Math" w:hAnsi="Cambria Math"/>
                <w:color w:val="000000" w:themeColor="text1"/>
              </w:rPr>
              <m:t>n</m:t>
            </m:r>
          </m:den>
        </m:f>
        <m:nary>
          <m:naryPr>
            <m:chr m:val="∑"/>
            <m:limLoc m:val="subSup"/>
            <m:ctrlPr>
              <w:rPr>
                <w:rFonts w:ascii="Cambria Math" w:hAnsi="Cambria Math"/>
                <w:i/>
                <w:color w:val="000000" w:themeColor="text1"/>
              </w:rPr>
            </m:ctrlPr>
          </m:naryPr>
          <m:sub>
            <m:r>
              <w:rPr>
                <w:rFonts w:ascii="Cambria Math" w:hAnsi="Cambria Math"/>
                <w:color w:val="000000" w:themeColor="text1"/>
              </w:rPr>
              <m:t>i=1</m:t>
            </m:r>
          </m:sub>
          <m:sup>
            <m:r>
              <w:rPr>
                <w:rFonts w:ascii="Cambria Math" w:hAnsi="Cambria Math"/>
                <w:color w:val="000000" w:themeColor="text1"/>
              </w:rPr>
              <m:t>n</m:t>
            </m:r>
          </m:sup>
          <m:e>
            <m:f>
              <m:fPr>
                <m:ctrlPr>
                  <w:rPr>
                    <w:rFonts w:ascii="Cambria Math" w:hAnsi="Cambria Math"/>
                    <w:i/>
                    <w:color w:val="000000" w:themeColor="text1"/>
                  </w:rPr>
                </m:ctrlPr>
              </m:fPr>
              <m:num>
                <m:d>
                  <m:dPr>
                    <m:begChr m:val="|"/>
                    <m:endChr m:val="|"/>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S</m:t>
                        </m:r>
                      </m:e>
                      <m:sub>
                        <m:r>
                          <w:rPr>
                            <w:rFonts w:ascii="Cambria Math" w:hAnsi="Cambria Math"/>
                            <w:color w:val="000000" w:themeColor="text1"/>
                          </w:rPr>
                          <m:t>i</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O</m:t>
                        </m:r>
                      </m:e>
                      <m:sub>
                        <m:r>
                          <w:rPr>
                            <w:rFonts w:ascii="Cambria Math" w:hAnsi="Cambria Math"/>
                            <w:color w:val="000000" w:themeColor="text1"/>
                          </w:rPr>
                          <m:t>i</m:t>
                        </m:r>
                      </m:sub>
                    </m:sSub>
                  </m:e>
                </m:d>
              </m:num>
              <m:den>
                <m:sSub>
                  <m:sSubPr>
                    <m:ctrlPr>
                      <w:rPr>
                        <w:rFonts w:ascii="Cambria Math" w:hAnsi="Cambria Math"/>
                        <w:i/>
                        <w:color w:val="000000" w:themeColor="text1"/>
                      </w:rPr>
                    </m:ctrlPr>
                  </m:sSubPr>
                  <m:e>
                    <m:r>
                      <w:rPr>
                        <w:rFonts w:ascii="Cambria Math" w:hAnsi="Cambria Math"/>
                        <w:color w:val="000000" w:themeColor="text1"/>
                      </w:rPr>
                      <m:t>O</m:t>
                    </m:r>
                  </m:e>
                  <m:sub>
                    <m:r>
                      <w:rPr>
                        <w:rFonts w:ascii="Cambria Math" w:hAnsi="Cambria Math"/>
                        <w:color w:val="000000" w:themeColor="text1"/>
                      </w:rPr>
                      <m:t>i</m:t>
                    </m:r>
                  </m:sub>
                </m:sSub>
              </m:den>
            </m:f>
          </m:e>
        </m:nary>
      </m:oMath>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t>(</w:t>
      </w:r>
      <w:r w:rsidR="00D477FE" w:rsidRPr="00A14EE6">
        <w:rPr>
          <w:color w:val="000000" w:themeColor="text1"/>
        </w:rPr>
        <w:t>8</w:t>
      </w:r>
      <w:r w:rsidRPr="00A14EE6">
        <w:rPr>
          <w:color w:val="000000" w:themeColor="text1"/>
        </w:rPr>
        <w:t>)</w:t>
      </w:r>
    </w:p>
    <w:p w14:paraId="1B9712CE" w14:textId="2BCCFA43" w:rsidR="001A2CB1" w:rsidRPr="00A14EE6" w:rsidRDefault="00000000" w:rsidP="001A2CB1">
      <w:pPr>
        <w:pStyle w:val="NormalWeb"/>
        <w:spacing w:before="0" w:beforeAutospacing="0" w:after="240" w:afterAutospacing="0" w:line="360" w:lineRule="auto"/>
        <w:jc w:val="both"/>
        <w:rPr>
          <w:color w:val="000000" w:themeColor="text1"/>
        </w:rPr>
      </w:pPr>
      <m:oMath>
        <m:sSup>
          <m:sSupPr>
            <m:ctrlPr>
              <w:rPr>
                <w:rFonts w:ascii="Cambria Math" w:hAnsi="Cambria Math"/>
                <w:i/>
                <w:color w:val="000000" w:themeColor="text1"/>
              </w:rPr>
            </m:ctrlPr>
          </m:sSupPr>
          <m:e>
            <m:r>
              <w:rPr>
                <w:rFonts w:ascii="Cambria Math" w:hAnsi="Cambria Math"/>
                <w:color w:val="000000" w:themeColor="text1"/>
              </w:rPr>
              <m:t>R</m:t>
            </m:r>
          </m:e>
          <m:sup>
            <m:r>
              <w:rPr>
                <w:rFonts w:ascii="Cambria Math" w:hAnsi="Cambria Math"/>
                <w:color w:val="000000" w:themeColor="text1"/>
              </w:rPr>
              <m:t>2</m:t>
            </m:r>
          </m:sup>
        </m:sSup>
        <m:r>
          <w:rPr>
            <w:rFonts w:ascii="Cambria Math" w:hAnsi="Cambria Math"/>
            <w:color w:val="000000" w:themeColor="text1"/>
          </w:rPr>
          <m:t>=</m:t>
        </m:r>
        <m:f>
          <m:fPr>
            <m:ctrlPr>
              <w:rPr>
                <w:rFonts w:ascii="Cambria Math" w:hAnsi="Cambria Math"/>
                <w:i/>
                <w:color w:val="000000" w:themeColor="text1"/>
              </w:rPr>
            </m:ctrlPr>
          </m:fPr>
          <m:num>
            <m:sSup>
              <m:sSupPr>
                <m:ctrlPr>
                  <w:rPr>
                    <w:rFonts w:ascii="Cambria Math" w:hAnsi="Cambria Math"/>
                    <w:i/>
                    <w:color w:val="000000" w:themeColor="text1"/>
                  </w:rPr>
                </m:ctrlPr>
              </m:sSupPr>
              <m:e>
                <m:d>
                  <m:dPr>
                    <m:begChr m:val="["/>
                    <m:endChr m:val="]"/>
                    <m:ctrlPr>
                      <w:rPr>
                        <w:rFonts w:ascii="Cambria Math" w:hAnsi="Cambria Math"/>
                        <w:i/>
                        <w:color w:val="000000" w:themeColor="text1"/>
                      </w:rPr>
                    </m:ctrlPr>
                  </m:dPr>
                  <m:e>
                    <m:nary>
                      <m:naryPr>
                        <m:chr m:val="∑"/>
                        <m:limLoc m:val="subSup"/>
                        <m:ctrlPr>
                          <w:rPr>
                            <w:rFonts w:ascii="Cambria Math" w:hAnsi="Cambria Math"/>
                            <w:i/>
                            <w:color w:val="000000" w:themeColor="text1"/>
                          </w:rPr>
                        </m:ctrlPr>
                      </m:naryPr>
                      <m:sub>
                        <m:r>
                          <w:rPr>
                            <w:rFonts w:ascii="Cambria Math" w:hAnsi="Cambria Math"/>
                            <w:color w:val="000000" w:themeColor="text1"/>
                          </w:rPr>
                          <m:t>i=1</m:t>
                        </m:r>
                      </m:sub>
                      <m:sup>
                        <m:r>
                          <w:rPr>
                            <w:rFonts w:ascii="Cambria Math" w:hAnsi="Cambria Math"/>
                            <w:color w:val="000000" w:themeColor="text1"/>
                          </w:rPr>
                          <m:t>n</m:t>
                        </m:r>
                      </m:sup>
                      <m:e>
                        <m:d>
                          <m:dPr>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S</m:t>
                                </m:r>
                              </m:e>
                              <m:sub>
                                <m:r>
                                  <w:rPr>
                                    <w:rFonts w:ascii="Cambria Math" w:hAnsi="Cambria Math"/>
                                    <w:color w:val="000000" w:themeColor="text1"/>
                                  </w:rPr>
                                  <m:t>i</m:t>
                                </m:r>
                              </m:sub>
                            </m:sSub>
                            <m:r>
                              <w:rPr>
                                <w:rFonts w:ascii="Cambria Math" w:hAnsi="Cambria Math"/>
                                <w:color w:val="000000" w:themeColor="text1"/>
                              </w:rPr>
                              <m:t>-</m:t>
                            </m:r>
                            <m:acc>
                              <m:accPr>
                                <m:chr m:val="̅"/>
                                <m:ctrlPr>
                                  <w:rPr>
                                    <w:rFonts w:ascii="Cambria Math" w:hAnsi="Cambria Math"/>
                                    <w:i/>
                                    <w:color w:val="000000" w:themeColor="text1"/>
                                  </w:rPr>
                                </m:ctrlPr>
                              </m:accPr>
                              <m:e>
                                <m:r>
                                  <w:rPr>
                                    <w:rFonts w:ascii="Cambria Math" w:hAnsi="Cambria Math"/>
                                    <w:color w:val="000000" w:themeColor="text1"/>
                                  </w:rPr>
                                  <m:t>S</m:t>
                                </m:r>
                              </m:e>
                            </m:acc>
                          </m:e>
                        </m:d>
                        <m:d>
                          <m:dPr>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O</m:t>
                                </m:r>
                              </m:e>
                              <m:sub>
                                <m:r>
                                  <w:rPr>
                                    <w:rFonts w:ascii="Cambria Math" w:hAnsi="Cambria Math"/>
                                    <w:color w:val="000000" w:themeColor="text1"/>
                                  </w:rPr>
                                  <m:t>i</m:t>
                                </m:r>
                              </m:sub>
                            </m:sSub>
                            <m:r>
                              <w:rPr>
                                <w:rFonts w:ascii="Cambria Math" w:hAnsi="Cambria Math"/>
                                <w:color w:val="000000" w:themeColor="text1"/>
                              </w:rPr>
                              <m:t>-</m:t>
                            </m:r>
                            <m:acc>
                              <m:accPr>
                                <m:chr m:val="̅"/>
                                <m:ctrlPr>
                                  <w:rPr>
                                    <w:rFonts w:ascii="Cambria Math" w:hAnsi="Cambria Math"/>
                                    <w:i/>
                                    <w:color w:val="000000" w:themeColor="text1"/>
                                  </w:rPr>
                                </m:ctrlPr>
                              </m:accPr>
                              <m:e>
                                <m:r>
                                  <w:rPr>
                                    <w:rFonts w:ascii="Cambria Math" w:hAnsi="Cambria Math"/>
                                    <w:color w:val="000000" w:themeColor="text1"/>
                                  </w:rPr>
                                  <m:t>O</m:t>
                                </m:r>
                              </m:e>
                            </m:acc>
                          </m:e>
                        </m:d>
                      </m:e>
                    </m:nary>
                  </m:e>
                </m:d>
              </m:e>
              <m:sup>
                <m:r>
                  <w:rPr>
                    <w:rFonts w:ascii="Cambria Math" w:hAnsi="Cambria Math"/>
                    <w:color w:val="000000" w:themeColor="text1"/>
                  </w:rPr>
                  <m:t>2</m:t>
                </m:r>
              </m:sup>
            </m:sSup>
          </m:num>
          <m:den>
            <m:d>
              <m:dPr>
                <m:begChr m:val="["/>
                <m:endChr m:val="]"/>
                <m:ctrlPr>
                  <w:rPr>
                    <w:rFonts w:ascii="Cambria Math" w:hAnsi="Cambria Math"/>
                    <w:i/>
                    <w:color w:val="000000" w:themeColor="text1"/>
                  </w:rPr>
                </m:ctrlPr>
              </m:dPr>
              <m:e>
                <m:nary>
                  <m:naryPr>
                    <m:chr m:val="∑"/>
                    <m:limLoc m:val="subSup"/>
                    <m:ctrlPr>
                      <w:rPr>
                        <w:rFonts w:ascii="Cambria Math" w:hAnsi="Cambria Math"/>
                        <w:i/>
                        <w:color w:val="000000" w:themeColor="text1"/>
                      </w:rPr>
                    </m:ctrlPr>
                  </m:naryPr>
                  <m:sub>
                    <m:r>
                      <w:rPr>
                        <w:rFonts w:ascii="Cambria Math" w:hAnsi="Cambria Math"/>
                        <w:color w:val="000000" w:themeColor="text1"/>
                      </w:rPr>
                      <m:t>i=1</m:t>
                    </m:r>
                  </m:sub>
                  <m:sup>
                    <m:r>
                      <w:rPr>
                        <w:rFonts w:ascii="Cambria Math" w:hAnsi="Cambria Math"/>
                        <w:color w:val="000000" w:themeColor="text1"/>
                      </w:rPr>
                      <m:t>n</m:t>
                    </m:r>
                  </m:sup>
                  <m:e>
                    <m:sSup>
                      <m:sSupPr>
                        <m:ctrlPr>
                          <w:rPr>
                            <w:rFonts w:ascii="Cambria Math" w:hAnsi="Cambria Math"/>
                            <w:i/>
                            <w:color w:val="000000" w:themeColor="text1"/>
                          </w:rPr>
                        </m:ctrlPr>
                      </m:sSupPr>
                      <m:e>
                        <m:d>
                          <m:dPr>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S</m:t>
                                </m:r>
                              </m:e>
                              <m:sub>
                                <m:r>
                                  <w:rPr>
                                    <w:rFonts w:ascii="Cambria Math" w:hAnsi="Cambria Math"/>
                                    <w:color w:val="000000" w:themeColor="text1"/>
                                  </w:rPr>
                                  <m:t>i</m:t>
                                </m:r>
                              </m:sub>
                            </m:sSub>
                            <m:r>
                              <w:rPr>
                                <w:rFonts w:ascii="Cambria Math" w:hAnsi="Cambria Math"/>
                                <w:color w:val="000000" w:themeColor="text1"/>
                              </w:rPr>
                              <m:t>-</m:t>
                            </m:r>
                            <m:acc>
                              <m:accPr>
                                <m:chr m:val="̅"/>
                                <m:ctrlPr>
                                  <w:rPr>
                                    <w:rFonts w:ascii="Cambria Math" w:hAnsi="Cambria Math"/>
                                    <w:i/>
                                    <w:color w:val="000000" w:themeColor="text1"/>
                                  </w:rPr>
                                </m:ctrlPr>
                              </m:accPr>
                              <m:e>
                                <m:r>
                                  <w:rPr>
                                    <w:rFonts w:ascii="Cambria Math" w:hAnsi="Cambria Math"/>
                                    <w:color w:val="000000" w:themeColor="text1"/>
                                  </w:rPr>
                                  <m:t>S</m:t>
                                </m:r>
                              </m:e>
                            </m:acc>
                          </m:e>
                        </m:d>
                      </m:e>
                      <m:sup>
                        <m:r>
                          <w:rPr>
                            <w:rFonts w:ascii="Cambria Math" w:hAnsi="Cambria Math"/>
                            <w:color w:val="000000" w:themeColor="text1"/>
                          </w:rPr>
                          <m:t>2</m:t>
                        </m:r>
                      </m:sup>
                    </m:sSup>
                  </m:e>
                </m:nary>
                <m:nary>
                  <m:naryPr>
                    <m:chr m:val="∑"/>
                    <m:limLoc m:val="subSup"/>
                    <m:ctrlPr>
                      <w:rPr>
                        <w:rFonts w:ascii="Cambria Math" w:hAnsi="Cambria Math"/>
                        <w:i/>
                        <w:color w:val="000000" w:themeColor="text1"/>
                      </w:rPr>
                    </m:ctrlPr>
                  </m:naryPr>
                  <m:sub>
                    <m:r>
                      <w:rPr>
                        <w:rFonts w:ascii="Cambria Math" w:hAnsi="Cambria Math"/>
                        <w:color w:val="000000" w:themeColor="text1"/>
                      </w:rPr>
                      <m:t>i=1</m:t>
                    </m:r>
                  </m:sub>
                  <m:sup>
                    <m:r>
                      <w:rPr>
                        <w:rFonts w:ascii="Cambria Math" w:hAnsi="Cambria Math"/>
                        <w:color w:val="000000" w:themeColor="text1"/>
                      </w:rPr>
                      <m:t>n</m:t>
                    </m:r>
                  </m:sup>
                  <m:e>
                    <m:sSup>
                      <m:sSupPr>
                        <m:ctrlPr>
                          <w:rPr>
                            <w:rFonts w:ascii="Cambria Math" w:hAnsi="Cambria Math"/>
                            <w:i/>
                            <w:color w:val="000000" w:themeColor="text1"/>
                          </w:rPr>
                        </m:ctrlPr>
                      </m:sSupPr>
                      <m:e>
                        <m:d>
                          <m:dPr>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O</m:t>
                                </m:r>
                              </m:e>
                              <m:sub>
                                <m:r>
                                  <w:rPr>
                                    <w:rFonts w:ascii="Cambria Math" w:hAnsi="Cambria Math"/>
                                    <w:color w:val="000000" w:themeColor="text1"/>
                                  </w:rPr>
                                  <m:t>i</m:t>
                                </m:r>
                              </m:sub>
                            </m:sSub>
                            <m:r>
                              <w:rPr>
                                <w:rFonts w:ascii="Cambria Math" w:hAnsi="Cambria Math"/>
                                <w:color w:val="000000" w:themeColor="text1"/>
                              </w:rPr>
                              <m:t>-</m:t>
                            </m:r>
                            <m:acc>
                              <m:accPr>
                                <m:chr m:val="̅"/>
                                <m:ctrlPr>
                                  <w:rPr>
                                    <w:rFonts w:ascii="Cambria Math" w:hAnsi="Cambria Math"/>
                                    <w:i/>
                                    <w:color w:val="000000" w:themeColor="text1"/>
                                  </w:rPr>
                                </m:ctrlPr>
                              </m:accPr>
                              <m:e>
                                <m:r>
                                  <w:rPr>
                                    <w:rFonts w:ascii="Cambria Math" w:hAnsi="Cambria Math"/>
                                    <w:color w:val="000000" w:themeColor="text1"/>
                                  </w:rPr>
                                  <m:t>O</m:t>
                                </m:r>
                              </m:e>
                            </m:acc>
                          </m:e>
                        </m:d>
                      </m:e>
                      <m:sup>
                        <m:r>
                          <w:rPr>
                            <w:rFonts w:ascii="Cambria Math" w:hAnsi="Cambria Math"/>
                            <w:color w:val="000000" w:themeColor="text1"/>
                          </w:rPr>
                          <m:t>2</m:t>
                        </m:r>
                      </m:sup>
                    </m:sSup>
                  </m:e>
                </m:nary>
              </m:e>
            </m:d>
          </m:den>
        </m:f>
      </m:oMath>
      <w:r w:rsidR="001A2CB1" w:rsidRPr="00A14EE6">
        <w:rPr>
          <w:color w:val="000000" w:themeColor="text1"/>
        </w:rPr>
        <w:tab/>
      </w:r>
      <w:r w:rsidR="001A2CB1" w:rsidRPr="00A14EE6">
        <w:rPr>
          <w:color w:val="000000" w:themeColor="text1"/>
        </w:rPr>
        <w:tab/>
      </w:r>
      <w:r w:rsidR="001A2CB1" w:rsidRPr="00A14EE6">
        <w:rPr>
          <w:color w:val="000000" w:themeColor="text1"/>
        </w:rPr>
        <w:tab/>
      </w:r>
      <w:r w:rsidR="001A2CB1" w:rsidRPr="00A14EE6">
        <w:rPr>
          <w:color w:val="000000" w:themeColor="text1"/>
        </w:rPr>
        <w:tab/>
      </w:r>
      <w:r w:rsidR="001A2CB1" w:rsidRPr="00A14EE6">
        <w:rPr>
          <w:color w:val="000000" w:themeColor="text1"/>
        </w:rPr>
        <w:tab/>
      </w:r>
      <w:r w:rsidR="001A2CB1" w:rsidRPr="00A14EE6">
        <w:rPr>
          <w:color w:val="000000" w:themeColor="text1"/>
        </w:rPr>
        <w:tab/>
      </w:r>
      <w:r w:rsidR="001A2CB1" w:rsidRPr="00A14EE6">
        <w:rPr>
          <w:color w:val="000000" w:themeColor="text1"/>
        </w:rPr>
        <w:tab/>
      </w:r>
      <w:r w:rsidR="001A2CB1" w:rsidRPr="00A14EE6">
        <w:rPr>
          <w:color w:val="000000" w:themeColor="text1"/>
        </w:rPr>
        <w:tab/>
      </w:r>
      <w:r w:rsidR="001A2CB1" w:rsidRPr="00A14EE6">
        <w:rPr>
          <w:color w:val="000000" w:themeColor="text1"/>
        </w:rPr>
        <w:tab/>
        <w:t>(</w:t>
      </w:r>
      <w:r w:rsidR="00D477FE" w:rsidRPr="00A14EE6">
        <w:rPr>
          <w:color w:val="000000" w:themeColor="text1"/>
        </w:rPr>
        <w:t>9</w:t>
      </w:r>
      <w:r w:rsidR="001A2CB1" w:rsidRPr="00A14EE6">
        <w:rPr>
          <w:color w:val="000000" w:themeColor="text1"/>
        </w:rPr>
        <w:t>)</w:t>
      </w:r>
    </w:p>
    <w:p w14:paraId="0DB9266E" w14:textId="654B885C" w:rsidR="001A2CB1" w:rsidRPr="00A14EE6" w:rsidRDefault="001A2CB1" w:rsidP="001A2CB1">
      <w:pPr>
        <w:pStyle w:val="NormalWeb"/>
        <w:spacing w:before="0" w:beforeAutospacing="0" w:after="240" w:afterAutospacing="0" w:line="360" w:lineRule="auto"/>
        <w:jc w:val="both"/>
        <w:rPr>
          <w:color w:val="000000" w:themeColor="text1"/>
        </w:rPr>
      </w:pPr>
      <m:oMath>
        <m:r>
          <w:rPr>
            <w:rFonts w:ascii="Cambria Math" w:hAnsi="Cambria Math"/>
            <w:color w:val="000000" w:themeColor="text1"/>
          </w:rPr>
          <m:t>BIAS=</m:t>
        </m:r>
        <m:f>
          <m:fPr>
            <m:ctrlPr>
              <w:rPr>
                <w:rFonts w:ascii="Cambria Math" w:hAnsi="Cambria Math"/>
                <w:i/>
                <w:color w:val="000000" w:themeColor="text1"/>
              </w:rPr>
            </m:ctrlPr>
          </m:fPr>
          <m:num>
            <m:r>
              <w:rPr>
                <w:rFonts w:ascii="Cambria Math" w:hAnsi="Cambria Math"/>
                <w:color w:val="000000" w:themeColor="text1"/>
              </w:rPr>
              <m:t>1</m:t>
            </m:r>
          </m:num>
          <m:den>
            <m:r>
              <w:rPr>
                <w:rFonts w:ascii="Cambria Math" w:hAnsi="Cambria Math"/>
                <w:color w:val="000000" w:themeColor="text1"/>
              </w:rPr>
              <m:t>n</m:t>
            </m:r>
          </m:den>
        </m:f>
        <m:nary>
          <m:naryPr>
            <m:chr m:val="∑"/>
            <m:limLoc m:val="subSup"/>
            <m:ctrlPr>
              <w:rPr>
                <w:rFonts w:ascii="Cambria Math" w:hAnsi="Cambria Math"/>
                <w:i/>
                <w:color w:val="000000" w:themeColor="text1"/>
              </w:rPr>
            </m:ctrlPr>
          </m:naryPr>
          <m:sub>
            <m:r>
              <w:rPr>
                <w:rFonts w:ascii="Cambria Math" w:hAnsi="Cambria Math"/>
                <w:color w:val="000000" w:themeColor="text1"/>
              </w:rPr>
              <m:t>i=1</m:t>
            </m:r>
          </m:sub>
          <m:sup>
            <m:r>
              <w:rPr>
                <w:rFonts w:ascii="Cambria Math" w:hAnsi="Cambria Math"/>
                <w:color w:val="000000" w:themeColor="text1"/>
              </w:rPr>
              <m:t>n</m:t>
            </m:r>
          </m:sup>
          <m:e>
            <m:d>
              <m:dPr>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S</m:t>
                    </m:r>
                  </m:e>
                  <m:sub>
                    <m:r>
                      <w:rPr>
                        <w:rFonts w:ascii="Cambria Math" w:hAnsi="Cambria Math"/>
                        <w:color w:val="000000" w:themeColor="text1"/>
                      </w:rPr>
                      <m:t>i</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O</m:t>
                    </m:r>
                  </m:e>
                  <m:sub>
                    <m:r>
                      <w:rPr>
                        <w:rFonts w:ascii="Cambria Math" w:hAnsi="Cambria Math"/>
                        <w:color w:val="000000" w:themeColor="text1"/>
                      </w:rPr>
                      <m:t>i</m:t>
                    </m:r>
                  </m:sub>
                </m:sSub>
              </m:e>
            </m:d>
          </m:e>
        </m:nary>
      </m:oMath>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t>(</w:t>
      </w:r>
      <w:r w:rsidR="00D477FE" w:rsidRPr="00A14EE6">
        <w:rPr>
          <w:color w:val="000000" w:themeColor="text1"/>
        </w:rPr>
        <w:t>10</w:t>
      </w:r>
      <w:r w:rsidRPr="00A14EE6">
        <w:rPr>
          <w:color w:val="000000" w:themeColor="text1"/>
        </w:rPr>
        <w:t>)</w:t>
      </w:r>
    </w:p>
    <w:p w14:paraId="13040947" w14:textId="50FC3752" w:rsidR="001A2CB1" w:rsidRPr="00A14EE6" w:rsidRDefault="001A2CB1" w:rsidP="001A2CB1">
      <w:pPr>
        <w:pStyle w:val="NormalWeb"/>
        <w:spacing w:before="0" w:beforeAutospacing="0" w:after="240" w:afterAutospacing="0" w:line="360" w:lineRule="auto"/>
        <w:jc w:val="both"/>
        <w:rPr>
          <w:color w:val="000000" w:themeColor="text1"/>
        </w:rPr>
      </w:pPr>
      <m:oMath>
        <m:r>
          <w:rPr>
            <w:rFonts w:ascii="Cambria Math" w:hAnsi="Cambria Math"/>
            <w:color w:val="000000" w:themeColor="text1"/>
          </w:rPr>
          <m:t>NSE=1-</m:t>
        </m:r>
        <m:f>
          <m:fPr>
            <m:ctrlPr>
              <w:rPr>
                <w:rFonts w:ascii="Cambria Math" w:hAnsi="Cambria Math"/>
                <w:i/>
                <w:color w:val="000000" w:themeColor="text1"/>
              </w:rPr>
            </m:ctrlPr>
          </m:fPr>
          <m:num>
            <m:nary>
              <m:naryPr>
                <m:chr m:val="∑"/>
                <m:limLoc m:val="subSup"/>
                <m:ctrlPr>
                  <w:rPr>
                    <w:rFonts w:ascii="Cambria Math" w:hAnsi="Cambria Math"/>
                    <w:i/>
                    <w:color w:val="000000" w:themeColor="text1"/>
                  </w:rPr>
                </m:ctrlPr>
              </m:naryPr>
              <m:sub>
                <m:r>
                  <w:rPr>
                    <w:rFonts w:ascii="Cambria Math" w:hAnsi="Cambria Math"/>
                    <w:color w:val="000000" w:themeColor="text1"/>
                  </w:rPr>
                  <m:t>i=1</m:t>
                </m:r>
              </m:sub>
              <m:sup>
                <m:r>
                  <w:rPr>
                    <w:rFonts w:ascii="Cambria Math" w:hAnsi="Cambria Math"/>
                    <w:color w:val="000000" w:themeColor="text1"/>
                  </w:rPr>
                  <m:t>n</m:t>
                </m:r>
              </m:sup>
              <m:e>
                <m:sSup>
                  <m:sSupPr>
                    <m:ctrlPr>
                      <w:rPr>
                        <w:rFonts w:ascii="Cambria Math" w:hAnsi="Cambria Math"/>
                        <w:i/>
                        <w:color w:val="000000" w:themeColor="text1"/>
                      </w:rPr>
                    </m:ctrlPr>
                  </m:sSupPr>
                  <m:e>
                    <m:d>
                      <m:dPr>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S</m:t>
                            </m:r>
                          </m:e>
                          <m:sub>
                            <m:r>
                              <w:rPr>
                                <w:rFonts w:ascii="Cambria Math" w:hAnsi="Cambria Math"/>
                                <w:color w:val="000000" w:themeColor="text1"/>
                              </w:rPr>
                              <m:t>i</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O</m:t>
                            </m:r>
                          </m:e>
                          <m:sub>
                            <m:r>
                              <w:rPr>
                                <w:rFonts w:ascii="Cambria Math" w:hAnsi="Cambria Math"/>
                                <w:color w:val="000000" w:themeColor="text1"/>
                              </w:rPr>
                              <m:t>i</m:t>
                            </m:r>
                          </m:sub>
                        </m:sSub>
                      </m:e>
                    </m:d>
                  </m:e>
                  <m:sup>
                    <m:r>
                      <w:rPr>
                        <w:rFonts w:ascii="Cambria Math" w:hAnsi="Cambria Math"/>
                        <w:color w:val="000000" w:themeColor="text1"/>
                      </w:rPr>
                      <m:t>2</m:t>
                    </m:r>
                  </m:sup>
                </m:sSup>
              </m:e>
            </m:nary>
          </m:num>
          <m:den>
            <m:nary>
              <m:naryPr>
                <m:chr m:val="∑"/>
                <m:limLoc m:val="subSup"/>
                <m:ctrlPr>
                  <w:rPr>
                    <w:rFonts w:ascii="Cambria Math" w:hAnsi="Cambria Math"/>
                    <w:i/>
                    <w:color w:val="000000" w:themeColor="text1"/>
                  </w:rPr>
                </m:ctrlPr>
              </m:naryPr>
              <m:sub>
                <m:r>
                  <w:rPr>
                    <w:rFonts w:ascii="Cambria Math" w:hAnsi="Cambria Math"/>
                    <w:color w:val="000000" w:themeColor="text1"/>
                  </w:rPr>
                  <m:t>i=1</m:t>
                </m:r>
              </m:sub>
              <m:sup>
                <m:r>
                  <w:rPr>
                    <w:rFonts w:ascii="Cambria Math" w:hAnsi="Cambria Math"/>
                    <w:color w:val="000000" w:themeColor="text1"/>
                  </w:rPr>
                  <m:t>n</m:t>
                </m:r>
              </m:sup>
              <m:e>
                <m:sSup>
                  <m:sSupPr>
                    <m:ctrlPr>
                      <w:rPr>
                        <w:rFonts w:ascii="Cambria Math" w:hAnsi="Cambria Math"/>
                        <w:i/>
                        <w:color w:val="000000" w:themeColor="text1"/>
                      </w:rPr>
                    </m:ctrlPr>
                  </m:sSupPr>
                  <m:e>
                    <m:d>
                      <m:dPr>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O</m:t>
                            </m:r>
                          </m:e>
                          <m:sub>
                            <m:r>
                              <w:rPr>
                                <w:rFonts w:ascii="Cambria Math" w:hAnsi="Cambria Math"/>
                                <w:color w:val="000000" w:themeColor="text1"/>
                              </w:rPr>
                              <m:t>i</m:t>
                            </m:r>
                          </m:sub>
                        </m:sSub>
                        <m:r>
                          <w:rPr>
                            <w:rFonts w:ascii="Cambria Math" w:hAnsi="Cambria Math"/>
                            <w:color w:val="000000" w:themeColor="text1"/>
                          </w:rPr>
                          <m:t>-</m:t>
                        </m:r>
                        <m:acc>
                          <m:accPr>
                            <m:chr m:val="̅"/>
                            <m:ctrlPr>
                              <w:rPr>
                                <w:rFonts w:ascii="Cambria Math" w:hAnsi="Cambria Math"/>
                                <w:i/>
                                <w:color w:val="000000" w:themeColor="text1"/>
                              </w:rPr>
                            </m:ctrlPr>
                          </m:accPr>
                          <m:e>
                            <m:r>
                              <w:rPr>
                                <w:rFonts w:ascii="Cambria Math" w:hAnsi="Cambria Math"/>
                                <w:color w:val="000000" w:themeColor="text1"/>
                              </w:rPr>
                              <m:t>O</m:t>
                            </m:r>
                          </m:e>
                        </m:acc>
                      </m:e>
                    </m:d>
                  </m:e>
                  <m:sup>
                    <m:r>
                      <w:rPr>
                        <w:rFonts w:ascii="Cambria Math" w:hAnsi="Cambria Math"/>
                        <w:color w:val="000000" w:themeColor="text1"/>
                      </w:rPr>
                      <m:t>2</m:t>
                    </m:r>
                  </m:sup>
                </m:sSup>
              </m:e>
            </m:nary>
          </m:den>
        </m:f>
      </m:oMath>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r>
      <w:r w:rsidRPr="00A14EE6">
        <w:rPr>
          <w:color w:val="000000" w:themeColor="text1"/>
        </w:rPr>
        <w:tab/>
        <w:t>(</w:t>
      </w:r>
      <w:r w:rsidR="00D477FE" w:rsidRPr="00A14EE6">
        <w:rPr>
          <w:color w:val="000000" w:themeColor="text1"/>
        </w:rPr>
        <w:t>11</w:t>
      </w:r>
      <w:r w:rsidRPr="00A14EE6">
        <w:rPr>
          <w:color w:val="000000" w:themeColor="text1"/>
        </w:rPr>
        <w:t>)</w:t>
      </w:r>
    </w:p>
    <w:p w14:paraId="1CE4AEEE" w14:textId="5C525B0E" w:rsidR="001A2CB1" w:rsidRPr="00A14EE6" w:rsidRDefault="001A2CB1" w:rsidP="001A2CB1">
      <w:pPr>
        <w:pStyle w:val="NormalWeb"/>
        <w:spacing w:before="0" w:beforeAutospacing="0" w:after="240" w:afterAutospacing="0" w:line="360" w:lineRule="auto"/>
        <w:jc w:val="both"/>
        <w:rPr>
          <w:color w:val="000000" w:themeColor="text1"/>
        </w:rPr>
      </w:pPr>
      <w:r w:rsidRPr="00A14EE6">
        <w:rPr>
          <w:color w:val="000000" w:themeColor="text1"/>
        </w:rPr>
        <w:t xml:space="preserve">where O and S are </w:t>
      </w:r>
      <w:r w:rsidR="00313819" w:rsidRPr="00A14EE6">
        <w:rPr>
          <w:color w:val="000000" w:themeColor="text1"/>
        </w:rPr>
        <w:t xml:space="preserve">depth-averaged observed measurements and simulated data in the </w:t>
      </w:r>
      <w:r w:rsidRPr="00A14EE6">
        <w:rPr>
          <w:color w:val="000000" w:themeColor="text1"/>
        </w:rPr>
        <w:t xml:space="preserve">epilimnion (0–30 m) and deep hypolimnion (270–300 m); </w:t>
      </w:r>
      <m:oMath>
        <m:acc>
          <m:accPr>
            <m:chr m:val="̅"/>
            <m:ctrlPr>
              <w:rPr>
                <w:rFonts w:ascii="Cambria Math" w:hAnsi="Cambria Math"/>
                <w:i/>
                <w:color w:val="000000" w:themeColor="text1"/>
              </w:rPr>
            </m:ctrlPr>
          </m:accPr>
          <m:e>
            <m:r>
              <w:rPr>
                <w:rFonts w:ascii="Cambria Math" w:hAnsi="Cambria Math"/>
                <w:color w:val="000000" w:themeColor="text1"/>
              </w:rPr>
              <m:t>S</m:t>
            </m:r>
          </m:e>
        </m:acc>
      </m:oMath>
      <w:r w:rsidRPr="00A14EE6">
        <w:rPr>
          <w:color w:val="000000" w:themeColor="text1"/>
        </w:rPr>
        <w:t xml:space="preserve"> and </w:t>
      </w:r>
      <m:oMath>
        <m:acc>
          <m:accPr>
            <m:chr m:val="̅"/>
            <m:ctrlPr>
              <w:rPr>
                <w:rFonts w:ascii="Cambria Math" w:hAnsi="Cambria Math"/>
                <w:i/>
                <w:color w:val="000000" w:themeColor="text1"/>
              </w:rPr>
            </m:ctrlPr>
          </m:accPr>
          <m:e>
            <m:r>
              <w:rPr>
                <w:rFonts w:ascii="Cambria Math" w:hAnsi="Cambria Math"/>
                <w:color w:val="000000" w:themeColor="text1"/>
              </w:rPr>
              <m:t>O</m:t>
            </m:r>
          </m:e>
        </m:acc>
      </m:oMath>
      <w:r w:rsidRPr="00A14EE6">
        <w:rPr>
          <w:color w:val="000000" w:themeColor="text1"/>
        </w:rPr>
        <w:t xml:space="preserve"> are their average value; and </w:t>
      </w:r>
      <w:r w:rsidRPr="00A14EE6">
        <w:rPr>
          <w:i/>
          <w:iCs/>
          <w:color w:val="000000" w:themeColor="text1"/>
        </w:rPr>
        <w:t>n</w:t>
      </w:r>
      <w:r w:rsidRPr="00A14EE6">
        <w:rPr>
          <w:color w:val="000000" w:themeColor="text1"/>
        </w:rPr>
        <w:t xml:space="preserve"> is the length of O and S which fits the number of field campaigns over the period. Appropriate levels of confidence in the model's performance are generally established as RMSE lower than 3 mg L</w:t>
      </w:r>
      <w:r w:rsidRPr="00A14EE6">
        <w:rPr>
          <w:color w:val="000000" w:themeColor="text1"/>
          <w:vertAlign w:val="superscript"/>
        </w:rPr>
        <w:t>–1</w:t>
      </w:r>
      <w:r w:rsidRPr="00A14EE6">
        <w:rPr>
          <w:color w:val="000000" w:themeColor="text1"/>
        </w:rPr>
        <w:t xml:space="preserve"> for DO and RRMSE lower than 50% for TOC and lower than 100% for Chl-a</w:t>
      </w:r>
      <w:sdt>
        <w:sdtPr>
          <w:rPr>
            <w:color w:val="000000"/>
            <w:vertAlign w:val="superscript"/>
          </w:rPr>
          <w:tag w:val="MENDELEY_CITATION_v3_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"/>
          <w:id w:val="1585337680"/>
          <w:placeholder>
            <w:docPart w:val="B1B2EEF29D5CEF4EA0FDE244303229D1"/>
          </w:placeholder>
        </w:sdtPr>
        <w:sdtContent>
          <w:r w:rsidR="008E32A9" w:rsidRPr="008E32A9">
            <w:rPr>
              <w:color w:val="000000"/>
              <w:vertAlign w:val="superscript"/>
            </w:rPr>
            <w:t>16</w:t>
          </w:r>
        </w:sdtContent>
      </w:sdt>
      <w:r w:rsidRPr="00A14EE6">
        <w:rPr>
          <w:color w:val="000000" w:themeColor="text1"/>
        </w:rPr>
        <w:t>.</w:t>
      </w:r>
    </w:p>
    <w:p w14:paraId="0C17948A" w14:textId="3FEFEE53" w:rsidR="001A2CB1" w:rsidRPr="00A14EE6" w:rsidRDefault="001A2CB1" w:rsidP="001A2CB1">
      <w:pPr>
        <w:pStyle w:val="NormalWeb"/>
        <w:spacing w:before="0" w:beforeAutospacing="0" w:after="240" w:afterAutospacing="0" w:line="360" w:lineRule="auto"/>
        <w:ind w:firstLine="640"/>
        <w:jc w:val="both"/>
        <w:rPr>
          <w:color w:val="000000" w:themeColor="text1"/>
        </w:rPr>
      </w:pPr>
      <w:r w:rsidRPr="00A14EE6">
        <w:rPr>
          <w:color w:val="000000" w:themeColor="text1"/>
        </w:rPr>
        <w:t>The mean absolute error of simulated dissolved oxygen was 1.33 mg L</w:t>
      </w:r>
      <w:r w:rsidRPr="00A14EE6">
        <w:rPr>
          <w:color w:val="000000" w:themeColor="text1"/>
          <w:vertAlign w:val="superscript"/>
        </w:rPr>
        <w:t>–1</w:t>
      </w:r>
      <w:r w:rsidRPr="00A14EE6">
        <w:rPr>
          <w:color w:val="000000" w:themeColor="text1"/>
        </w:rPr>
        <w:t xml:space="preserve"> and 2.14 mg L</w:t>
      </w:r>
      <w:r w:rsidRPr="00A14EE6">
        <w:rPr>
          <w:color w:val="000000" w:themeColor="text1"/>
          <w:vertAlign w:val="superscript"/>
        </w:rPr>
        <w:t>–1</w:t>
      </w:r>
      <w:r w:rsidRPr="00A14EE6">
        <w:rPr>
          <w:color w:val="000000" w:themeColor="text1"/>
        </w:rPr>
        <w:t xml:space="preserve"> in the epilimnion and deep hypolimnion, respectively, over the complete period of simulation with available field measurements for comparison (1957–2020; Table S</w:t>
      </w:r>
      <w:r w:rsidR="00C6405E" w:rsidRPr="00A14EE6">
        <w:rPr>
          <w:color w:val="000000" w:themeColor="text1"/>
        </w:rPr>
        <w:t>3</w:t>
      </w:r>
      <w:r w:rsidRPr="00A14EE6">
        <w:rPr>
          <w:color w:val="000000" w:themeColor="text1"/>
        </w:rPr>
        <w:t>). The average fits were also better in the epilimnion compared to the hypolimnion for the simulated TOC concentrations, which achieved a MAE of 0.23 mg L</w:t>
      </w:r>
      <w:r w:rsidRPr="00A14EE6">
        <w:rPr>
          <w:color w:val="000000" w:themeColor="text1"/>
          <w:vertAlign w:val="superscript"/>
        </w:rPr>
        <w:t>–1</w:t>
      </w:r>
      <w:r w:rsidRPr="00A14EE6">
        <w:rPr>
          <w:color w:val="000000" w:themeColor="text1"/>
        </w:rPr>
        <w:t xml:space="preserve"> and 0.52 mg L</w:t>
      </w:r>
      <w:r w:rsidRPr="00A14EE6">
        <w:rPr>
          <w:color w:val="000000" w:themeColor="text1"/>
          <w:vertAlign w:val="superscript"/>
        </w:rPr>
        <w:t>–1</w:t>
      </w:r>
      <w:r w:rsidRPr="00A14EE6">
        <w:rPr>
          <w:color w:val="000000" w:themeColor="text1"/>
        </w:rPr>
        <w:t xml:space="preserve"> for epi- and deep hypolimnion, respectively. The </w:t>
      </w:r>
      <w:r w:rsidRPr="00A14EE6">
        <w:rPr>
          <w:color w:val="000000" w:themeColor="text1"/>
        </w:rPr>
        <w:lastRenderedPageBreak/>
        <w:t xml:space="preserve">model predicted chlorophyll-a with good precision as evident in MAE of 2.56 </w:t>
      </w:r>
      <w:r w:rsidR="00C42ECB" w:rsidRPr="00A14EE6">
        <w:rPr>
          <w:color w:val="000000" w:themeColor="text1"/>
        </w:rPr>
        <w:t>µ</w:t>
      </w:r>
      <w:r w:rsidRPr="00A14EE6">
        <w:rPr>
          <w:color w:val="000000" w:themeColor="text1"/>
        </w:rPr>
        <w:t>g L</w:t>
      </w:r>
      <w:r w:rsidRPr="00A14EE6">
        <w:rPr>
          <w:color w:val="000000" w:themeColor="text1"/>
          <w:vertAlign w:val="superscript"/>
        </w:rPr>
        <w:t>–1</w:t>
      </w:r>
      <w:r w:rsidRPr="00A14EE6">
        <w:rPr>
          <w:color w:val="000000" w:themeColor="text1"/>
        </w:rPr>
        <w:t xml:space="preserve"> for the epilimnion. The results demonstrate that the model simulation of the focal state variables was within the range of concentrations of field measurements both in the epi- and the deep hypolimnion from 1957 to 2020, whereas the model captured a smaller variability in DO in the epilimnion and had a systematic tendency to underestimate TOC concentrations in the bottom (Fig. S</w:t>
      </w:r>
      <w:r w:rsidR="00C6405E" w:rsidRPr="00A14EE6">
        <w:rPr>
          <w:color w:val="000000" w:themeColor="text1"/>
        </w:rPr>
        <w:t>4</w:t>
      </w:r>
      <w:r w:rsidRPr="00A14EE6">
        <w:rPr>
          <w:color w:val="000000" w:themeColor="text1"/>
        </w:rPr>
        <w:t>).</w:t>
      </w:r>
    </w:p>
    <w:p w14:paraId="7FAA2ED2" w14:textId="199B841E" w:rsidR="001A2CB1" w:rsidRPr="00A14EE6" w:rsidRDefault="001A2CB1" w:rsidP="001A2CB1">
      <w:pPr>
        <w:autoSpaceDE w:val="0"/>
        <w:autoSpaceDN w:val="0"/>
        <w:adjustRightInd w:val="0"/>
        <w:jc w:val="both"/>
        <w:rPr>
          <w:rFonts w:ascii="Times New Roman" w:hAnsi="Times New Roman" w:cs="Times New Roman"/>
          <w:b/>
          <w:bCs/>
          <w:color w:val="000000" w:themeColor="text1"/>
        </w:rPr>
      </w:pPr>
      <w:r w:rsidRPr="00A14EE6">
        <w:rPr>
          <w:rFonts w:ascii="Times New Roman" w:hAnsi="Times New Roman" w:cs="Times New Roman"/>
          <w:b/>
          <w:bCs/>
          <w:color w:val="000000" w:themeColor="text1"/>
        </w:rPr>
        <w:t>Table S</w:t>
      </w:r>
      <w:r w:rsidR="00C6405E" w:rsidRPr="00A14EE6">
        <w:rPr>
          <w:rFonts w:ascii="Times New Roman" w:hAnsi="Times New Roman" w:cs="Times New Roman"/>
          <w:b/>
          <w:bCs/>
          <w:color w:val="000000" w:themeColor="text1"/>
        </w:rPr>
        <w:t>3</w:t>
      </w:r>
      <w:r w:rsidRPr="00A14EE6">
        <w:rPr>
          <w:rFonts w:ascii="Times New Roman" w:hAnsi="Times New Roman" w:cs="Times New Roman"/>
          <w:b/>
          <w:bCs/>
          <w:color w:val="000000" w:themeColor="text1"/>
        </w:rPr>
        <w:t xml:space="preserve"> | Performance metrics of modelled dissolved oxygen, total organic carbon, and chlorophyll-a concentrations against field measurements in epilimnion and hypolimnion over calibration, validation, and complete period of simulation with available field measurements for comparison. </w:t>
      </w:r>
      <w:r w:rsidRPr="00A14EE6">
        <w:rPr>
          <w:rFonts w:ascii="Times New Roman" w:hAnsi="Times New Roman" w:cs="Times New Roman"/>
          <w:color w:val="000000" w:themeColor="text1"/>
        </w:rPr>
        <w:t xml:space="preserve">RMSE: root mean square error, RRMSE: relative root </w:t>
      </w:r>
      <w:proofErr w:type="gramStart"/>
      <w:r w:rsidRPr="00A14EE6">
        <w:rPr>
          <w:rFonts w:ascii="Times New Roman" w:hAnsi="Times New Roman" w:cs="Times New Roman"/>
          <w:color w:val="000000" w:themeColor="text1"/>
        </w:rPr>
        <w:t>mean</w:t>
      </w:r>
      <w:proofErr w:type="gramEnd"/>
      <w:r w:rsidRPr="00A14EE6">
        <w:rPr>
          <w:rFonts w:ascii="Times New Roman" w:hAnsi="Times New Roman" w:cs="Times New Roman"/>
          <w:color w:val="000000" w:themeColor="text1"/>
        </w:rPr>
        <w:t xml:space="preserve"> square error, MAE: mean absolute error, NMAE: normalized mean absolute error, R</w:t>
      </w:r>
      <w:r w:rsidRPr="00A14EE6">
        <w:rPr>
          <w:rFonts w:ascii="Times New Roman" w:hAnsi="Times New Roman" w:cs="Times New Roman"/>
          <w:color w:val="000000" w:themeColor="text1"/>
          <w:vertAlign w:val="superscript"/>
        </w:rPr>
        <w:t>2</w:t>
      </w:r>
      <w:r w:rsidRPr="00A14EE6">
        <w:rPr>
          <w:rFonts w:ascii="Times New Roman" w:hAnsi="Times New Roman" w:cs="Times New Roman"/>
          <w:color w:val="000000" w:themeColor="text1"/>
        </w:rPr>
        <w:t>: coefficient of determination, bias, NSE: Nash-Sutcliffe efficiency.</w:t>
      </w:r>
    </w:p>
    <w:tbl>
      <w:tblPr>
        <w:tblStyle w:val="TableGrid"/>
        <w:tblW w:w="9990" w:type="dxa"/>
        <w:tblInd w:w="-27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1"/>
        <w:gridCol w:w="1296"/>
        <w:gridCol w:w="1230"/>
        <w:gridCol w:w="1206"/>
        <w:gridCol w:w="233"/>
        <w:gridCol w:w="1758"/>
        <w:gridCol w:w="1230"/>
        <w:gridCol w:w="1206"/>
      </w:tblGrid>
      <w:tr w:rsidR="00A14EE6" w:rsidRPr="00A14EE6" w14:paraId="0D2CA724" w14:textId="77777777" w:rsidTr="00A55182">
        <w:tc>
          <w:tcPr>
            <w:tcW w:w="1831" w:type="dxa"/>
          </w:tcPr>
          <w:p w14:paraId="3ED33370" w14:textId="77777777" w:rsidR="001A2CB1" w:rsidRPr="00A14EE6" w:rsidRDefault="001A2CB1" w:rsidP="00A55182">
            <w:pPr>
              <w:autoSpaceDE w:val="0"/>
              <w:autoSpaceDN w:val="0"/>
              <w:adjustRightInd w:val="0"/>
              <w:rPr>
                <w:rFonts w:ascii="Times New Roman" w:hAnsi="Times New Roman" w:cs="Times New Roman"/>
                <w:color w:val="000000" w:themeColor="text1"/>
              </w:rPr>
            </w:pPr>
          </w:p>
        </w:tc>
        <w:tc>
          <w:tcPr>
            <w:tcW w:w="1296" w:type="dxa"/>
            <w:tcBorders>
              <w:top w:val="single" w:sz="4" w:space="0" w:color="auto"/>
              <w:bottom w:val="single" w:sz="4" w:space="0" w:color="auto"/>
            </w:tcBorders>
          </w:tcPr>
          <w:p w14:paraId="476920FC"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Calibration</w:t>
            </w:r>
          </w:p>
        </w:tc>
        <w:tc>
          <w:tcPr>
            <w:tcW w:w="1230" w:type="dxa"/>
            <w:tcBorders>
              <w:top w:val="single" w:sz="4" w:space="0" w:color="auto"/>
              <w:bottom w:val="single" w:sz="4" w:space="0" w:color="auto"/>
            </w:tcBorders>
          </w:tcPr>
          <w:p w14:paraId="27234076"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Validation</w:t>
            </w:r>
          </w:p>
        </w:tc>
        <w:tc>
          <w:tcPr>
            <w:tcW w:w="1206" w:type="dxa"/>
            <w:tcBorders>
              <w:top w:val="single" w:sz="4" w:space="0" w:color="auto"/>
              <w:bottom w:val="single" w:sz="4" w:space="0" w:color="auto"/>
            </w:tcBorders>
          </w:tcPr>
          <w:p w14:paraId="0E6CAB56"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Complete</w:t>
            </w:r>
          </w:p>
        </w:tc>
        <w:tc>
          <w:tcPr>
            <w:tcW w:w="233" w:type="dxa"/>
            <w:tcBorders>
              <w:top w:val="single" w:sz="4" w:space="0" w:color="auto"/>
              <w:bottom w:val="nil"/>
            </w:tcBorders>
          </w:tcPr>
          <w:p w14:paraId="79F5CC1E"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p>
        </w:tc>
        <w:tc>
          <w:tcPr>
            <w:tcW w:w="1758" w:type="dxa"/>
            <w:tcBorders>
              <w:top w:val="single" w:sz="4" w:space="0" w:color="auto"/>
              <w:bottom w:val="single" w:sz="4" w:space="0" w:color="auto"/>
            </w:tcBorders>
          </w:tcPr>
          <w:p w14:paraId="65A49ED8"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Calibration</w:t>
            </w:r>
          </w:p>
        </w:tc>
        <w:tc>
          <w:tcPr>
            <w:tcW w:w="1230" w:type="dxa"/>
            <w:tcBorders>
              <w:top w:val="single" w:sz="4" w:space="0" w:color="auto"/>
              <w:bottom w:val="single" w:sz="4" w:space="0" w:color="auto"/>
            </w:tcBorders>
          </w:tcPr>
          <w:p w14:paraId="776EBFB9"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Validation</w:t>
            </w:r>
          </w:p>
        </w:tc>
        <w:tc>
          <w:tcPr>
            <w:tcW w:w="1206" w:type="dxa"/>
            <w:tcBorders>
              <w:top w:val="single" w:sz="4" w:space="0" w:color="auto"/>
              <w:bottom w:val="single" w:sz="4" w:space="0" w:color="auto"/>
            </w:tcBorders>
          </w:tcPr>
          <w:p w14:paraId="6EBE14B0"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Complete</w:t>
            </w:r>
          </w:p>
        </w:tc>
      </w:tr>
      <w:tr w:rsidR="00A14EE6" w:rsidRPr="00A14EE6" w14:paraId="634DA5F5" w14:textId="77777777" w:rsidTr="00A55182">
        <w:tc>
          <w:tcPr>
            <w:tcW w:w="1831" w:type="dxa"/>
            <w:tcBorders>
              <w:bottom w:val="nil"/>
            </w:tcBorders>
          </w:tcPr>
          <w:p w14:paraId="0514C5A8" w14:textId="77777777" w:rsidR="001A2CB1" w:rsidRPr="00A14EE6" w:rsidRDefault="001A2CB1" w:rsidP="00A55182">
            <w:pPr>
              <w:autoSpaceDE w:val="0"/>
              <w:autoSpaceDN w:val="0"/>
              <w:adjustRightInd w:val="0"/>
              <w:rPr>
                <w:rFonts w:ascii="Times New Roman" w:hAnsi="Times New Roman" w:cs="Times New Roman"/>
                <w:color w:val="000000" w:themeColor="text1"/>
              </w:rPr>
            </w:pPr>
          </w:p>
        </w:tc>
        <w:tc>
          <w:tcPr>
            <w:tcW w:w="3732" w:type="dxa"/>
            <w:gridSpan w:val="3"/>
            <w:tcBorders>
              <w:top w:val="single" w:sz="4" w:space="0" w:color="auto"/>
              <w:bottom w:val="single" w:sz="4" w:space="0" w:color="auto"/>
            </w:tcBorders>
          </w:tcPr>
          <w:p w14:paraId="08EF6CA4" w14:textId="77777777" w:rsidR="001A2CB1" w:rsidRPr="00A14EE6" w:rsidRDefault="001A2CB1" w:rsidP="00A55182">
            <w:pPr>
              <w:autoSpaceDE w:val="0"/>
              <w:autoSpaceDN w:val="0"/>
              <w:adjustRightInd w:val="0"/>
              <w:jc w:val="center"/>
              <w:rPr>
                <w:rFonts w:ascii="Times New Roman" w:hAnsi="Times New Roman" w:cs="Times New Roman"/>
                <w:i/>
                <w:iCs/>
                <w:color w:val="000000" w:themeColor="text1"/>
              </w:rPr>
            </w:pPr>
            <w:r w:rsidRPr="00A14EE6">
              <w:rPr>
                <w:rFonts w:ascii="Times New Roman" w:hAnsi="Times New Roman" w:cs="Times New Roman"/>
                <w:i/>
                <w:iCs/>
                <w:color w:val="000000" w:themeColor="text1"/>
              </w:rPr>
              <w:t>DO epilimnion</w:t>
            </w:r>
          </w:p>
        </w:tc>
        <w:tc>
          <w:tcPr>
            <w:tcW w:w="233" w:type="dxa"/>
            <w:tcBorders>
              <w:top w:val="nil"/>
              <w:bottom w:val="nil"/>
            </w:tcBorders>
          </w:tcPr>
          <w:p w14:paraId="6427824D" w14:textId="77777777" w:rsidR="001A2CB1" w:rsidRPr="00A14EE6" w:rsidRDefault="001A2CB1" w:rsidP="00A55182">
            <w:pPr>
              <w:autoSpaceDE w:val="0"/>
              <w:autoSpaceDN w:val="0"/>
              <w:adjustRightInd w:val="0"/>
              <w:jc w:val="center"/>
              <w:rPr>
                <w:rFonts w:ascii="Times New Roman" w:hAnsi="Times New Roman" w:cs="Times New Roman"/>
                <w:i/>
                <w:iCs/>
                <w:color w:val="000000" w:themeColor="text1"/>
              </w:rPr>
            </w:pPr>
          </w:p>
        </w:tc>
        <w:tc>
          <w:tcPr>
            <w:tcW w:w="4194" w:type="dxa"/>
            <w:gridSpan w:val="3"/>
            <w:tcBorders>
              <w:top w:val="single" w:sz="4" w:space="0" w:color="auto"/>
              <w:bottom w:val="single" w:sz="4" w:space="0" w:color="auto"/>
            </w:tcBorders>
          </w:tcPr>
          <w:p w14:paraId="5ABEC30D" w14:textId="77777777" w:rsidR="001A2CB1" w:rsidRPr="00A14EE6" w:rsidRDefault="001A2CB1" w:rsidP="00A55182">
            <w:pPr>
              <w:autoSpaceDE w:val="0"/>
              <w:autoSpaceDN w:val="0"/>
              <w:adjustRightInd w:val="0"/>
              <w:jc w:val="center"/>
              <w:rPr>
                <w:rFonts w:ascii="Times New Roman" w:hAnsi="Times New Roman" w:cs="Times New Roman"/>
                <w:i/>
                <w:iCs/>
                <w:color w:val="000000" w:themeColor="text1"/>
              </w:rPr>
            </w:pPr>
            <w:r w:rsidRPr="00A14EE6">
              <w:rPr>
                <w:rFonts w:ascii="Times New Roman" w:hAnsi="Times New Roman" w:cs="Times New Roman"/>
                <w:i/>
                <w:iCs/>
                <w:color w:val="000000" w:themeColor="text1"/>
              </w:rPr>
              <w:t>DO hypolimnion</w:t>
            </w:r>
          </w:p>
        </w:tc>
      </w:tr>
      <w:tr w:rsidR="00A14EE6" w:rsidRPr="00A14EE6" w14:paraId="0966E19C" w14:textId="77777777" w:rsidTr="00A55182">
        <w:tc>
          <w:tcPr>
            <w:tcW w:w="1831" w:type="dxa"/>
            <w:tcBorders>
              <w:top w:val="nil"/>
              <w:bottom w:val="nil"/>
            </w:tcBorders>
          </w:tcPr>
          <w:p w14:paraId="34E498D9" w14:textId="77777777" w:rsidR="001A2CB1" w:rsidRPr="00A14EE6" w:rsidRDefault="001A2CB1" w:rsidP="00A55182">
            <w:pPr>
              <w:autoSpaceDE w:val="0"/>
              <w:autoSpaceDN w:val="0"/>
              <w:adjustRightInd w:val="0"/>
              <w:rPr>
                <w:rFonts w:ascii="Times New Roman" w:hAnsi="Times New Roman" w:cs="Times New Roman"/>
                <w:color w:val="000000" w:themeColor="text1"/>
              </w:rPr>
            </w:pPr>
            <w:r w:rsidRPr="00A14EE6">
              <w:rPr>
                <w:rFonts w:ascii="Times New Roman" w:hAnsi="Times New Roman" w:cs="Times New Roman"/>
                <w:color w:val="000000" w:themeColor="text1"/>
              </w:rPr>
              <w:t>RMSE (mg L</w:t>
            </w:r>
            <w:r w:rsidRPr="00A14EE6">
              <w:rPr>
                <w:rFonts w:ascii="Times New Roman" w:hAnsi="Times New Roman" w:cs="Times New Roman"/>
                <w:color w:val="000000" w:themeColor="text1"/>
                <w:vertAlign w:val="superscript"/>
              </w:rPr>
              <w:t>–1</w:t>
            </w:r>
            <w:r w:rsidRPr="00A14EE6">
              <w:rPr>
                <w:rFonts w:ascii="Times New Roman" w:hAnsi="Times New Roman" w:cs="Times New Roman"/>
                <w:color w:val="000000" w:themeColor="text1"/>
              </w:rPr>
              <w:t>)</w:t>
            </w:r>
          </w:p>
        </w:tc>
        <w:tc>
          <w:tcPr>
            <w:tcW w:w="1296" w:type="dxa"/>
            <w:tcBorders>
              <w:top w:val="single" w:sz="4" w:space="0" w:color="auto"/>
            </w:tcBorders>
          </w:tcPr>
          <w:p w14:paraId="40C88570"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1.78</w:t>
            </w:r>
          </w:p>
        </w:tc>
        <w:tc>
          <w:tcPr>
            <w:tcW w:w="1230" w:type="dxa"/>
            <w:tcBorders>
              <w:top w:val="single" w:sz="4" w:space="0" w:color="auto"/>
            </w:tcBorders>
          </w:tcPr>
          <w:p w14:paraId="67B3F3E6"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1.57</w:t>
            </w:r>
          </w:p>
        </w:tc>
        <w:tc>
          <w:tcPr>
            <w:tcW w:w="1206" w:type="dxa"/>
            <w:tcBorders>
              <w:top w:val="single" w:sz="4" w:space="0" w:color="auto"/>
            </w:tcBorders>
          </w:tcPr>
          <w:p w14:paraId="7DA0B311"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1.60</w:t>
            </w:r>
          </w:p>
        </w:tc>
        <w:tc>
          <w:tcPr>
            <w:tcW w:w="233" w:type="dxa"/>
            <w:tcBorders>
              <w:top w:val="nil"/>
              <w:bottom w:val="nil"/>
            </w:tcBorders>
          </w:tcPr>
          <w:p w14:paraId="19027E53"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p>
        </w:tc>
        <w:tc>
          <w:tcPr>
            <w:tcW w:w="1758" w:type="dxa"/>
            <w:tcBorders>
              <w:top w:val="single" w:sz="4" w:space="0" w:color="auto"/>
            </w:tcBorders>
          </w:tcPr>
          <w:p w14:paraId="0FB50667"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2.08</w:t>
            </w:r>
          </w:p>
        </w:tc>
        <w:tc>
          <w:tcPr>
            <w:tcW w:w="1230" w:type="dxa"/>
            <w:tcBorders>
              <w:top w:val="single" w:sz="4" w:space="0" w:color="auto"/>
            </w:tcBorders>
          </w:tcPr>
          <w:p w14:paraId="2EC36580"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2.90</w:t>
            </w:r>
          </w:p>
        </w:tc>
        <w:tc>
          <w:tcPr>
            <w:tcW w:w="1206" w:type="dxa"/>
            <w:tcBorders>
              <w:top w:val="single" w:sz="4" w:space="0" w:color="auto"/>
            </w:tcBorders>
          </w:tcPr>
          <w:p w14:paraId="1919AF4D"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2.75</w:t>
            </w:r>
          </w:p>
        </w:tc>
      </w:tr>
      <w:tr w:rsidR="00A14EE6" w:rsidRPr="00A14EE6" w14:paraId="4AE54DB2" w14:textId="77777777" w:rsidTr="00A55182">
        <w:tc>
          <w:tcPr>
            <w:tcW w:w="1831" w:type="dxa"/>
            <w:tcBorders>
              <w:top w:val="nil"/>
              <w:bottom w:val="nil"/>
            </w:tcBorders>
          </w:tcPr>
          <w:p w14:paraId="4AE9DFD5" w14:textId="77777777" w:rsidR="001A2CB1" w:rsidRPr="00A14EE6" w:rsidRDefault="001A2CB1" w:rsidP="00A55182">
            <w:pPr>
              <w:autoSpaceDE w:val="0"/>
              <w:autoSpaceDN w:val="0"/>
              <w:adjustRightInd w:val="0"/>
              <w:rPr>
                <w:rFonts w:ascii="Times New Roman" w:hAnsi="Times New Roman" w:cs="Times New Roman"/>
                <w:color w:val="000000" w:themeColor="text1"/>
              </w:rPr>
            </w:pPr>
            <w:r w:rsidRPr="00A14EE6">
              <w:rPr>
                <w:rFonts w:ascii="Times New Roman" w:hAnsi="Times New Roman" w:cs="Times New Roman"/>
                <w:color w:val="000000" w:themeColor="text1"/>
              </w:rPr>
              <w:t>RRMSE</w:t>
            </w:r>
          </w:p>
        </w:tc>
        <w:tc>
          <w:tcPr>
            <w:tcW w:w="1296" w:type="dxa"/>
          </w:tcPr>
          <w:p w14:paraId="093CD722"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0.33</w:t>
            </w:r>
          </w:p>
        </w:tc>
        <w:tc>
          <w:tcPr>
            <w:tcW w:w="1230" w:type="dxa"/>
          </w:tcPr>
          <w:p w14:paraId="7E15E447"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0.23</w:t>
            </w:r>
          </w:p>
        </w:tc>
        <w:tc>
          <w:tcPr>
            <w:tcW w:w="1206" w:type="dxa"/>
          </w:tcPr>
          <w:p w14:paraId="28E36916"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0.24</w:t>
            </w:r>
          </w:p>
        </w:tc>
        <w:tc>
          <w:tcPr>
            <w:tcW w:w="233" w:type="dxa"/>
            <w:tcBorders>
              <w:top w:val="nil"/>
              <w:bottom w:val="nil"/>
            </w:tcBorders>
          </w:tcPr>
          <w:p w14:paraId="37433D0C"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p>
        </w:tc>
        <w:tc>
          <w:tcPr>
            <w:tcW w:w="1758" w:type="dxa"/>
          </w:tcPr>
          <w:p w14:paraId="2989B6D9"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0.31</w:t>
            </w:r>
          </w:p>
        </w:tc>
        <w:tc>
          <w:tcPr>
            <w:tcW w:w="1230" w:type="dxa"/>
          </w:tcPr>
          <w:p w14:paraId="2338733B"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0.27</w:t>
            </w:r>
          </w:p>
        </w:tc>
        <w:tc>
          <w:tcPr>
            <w:tcW w:w="1206" w:type="dxa"/>
          </w:tcPr>
          <w:p w14:paraId="47A97473"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0.26</w:t>
            </w:r>
          </w:p>
        </w:tc>
      </w:tr>
      <w:tr w:rsidR="00A14EE6" w:rsidRPr="00A14EE6" w14:paraId="42A5564F" w14:textId="77777777" w:rsidTr="00A55182">
        <w:tc>
          <w:tcPr>
            <w:tcW w:w="1831" w:type="dxa"/>
            <w:tcBorders>
              <w:top w:val="nil"/>
              <w:bottom w:val="nil"/>
            </w:tcBorders>
          </w:tcPr>
          <w:p w14:paraId="59E29169" w14:textId="77777777" w:rsidR="001A2CB1" w:rsidRPr="00A14EE6" w:rsidRDefault="001A2CB1" w:rsidP="00A55182">
            <w:pPr>
              <w:autoSpaceDE w:val="0"/>
              <w:autoSpaceDN w:val="0"/>
              <w:adjustRightInd w:val="0"/>
              <w:rPr>
                <w:rFonts w:ascii="Times New Roman" w:hAnsi="Times New Roman" w:cs="Times New Roman"/>
                <w:color w:val="000000" w:themeColor="text1"/>
              </w:rPr>
            </w:pPr>
            <w:r w:rsidRPr="00A14EE6">
              <w:rPr>
                <w:rFonts w:ascii="Times New Roman" w:hAnsi="Times New Roman" w:cs="Times New Roman"/>
                <w:color w:val="000000" w:themeColor="text1"/>
              </w:rPr>
              <w:t>MAE (mg L</w:t>
            </w:r>
            <w:r w:rsidRPr="00A14EE6">
              <w:rPr>
                <w:rFonts w:ascii="Times New Roman" w:hAnsi="Times New Roman" w:cs="Times New Roman"/>
                <w:color w:val="000000" w:themeColor="text1"/>
                <w:vertAlign w:val="superscript"/>
              </w:rPr>
              <w:t>–1</w:t>
            </w:r>
            <w:r w:rsidRPr="00A14EE6">
              <w:rPr>
                <w:rFonts w:ascii="Times New Roman" w:hAnsi="Times New Roman" w:cs="Times New Roman"/>
                <w:color w:val="000000" w:themeColor="text1"/>
              </w:rPr>
              <w:t>)</w:t>
            </w:r>
          </w:p>
        </w:tc>
        <w:tc>
          <w:tcPr>
            <w:tcW w:w="1296" w:type="dxa"/>
          </w:tcPr>
          <w:p w14:paraId="63F14AA0"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1.49</w:t>
            </w:r>
          </w:p>
        </w:tc>
        <w:tc>
          <w:tcPr>
            <w:tcW w:w="1230" w:type="dxa"/>
          </w:tcPr>
          <w:p w14:paraId="3AC8C207"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1.30</w:t>
            </w:r>
          </w:p>
        </w:tc>
        <w:tc>
          <w:tcPr>
            <w:tcW w:w="1206" w:type="dxa"/>
          </w:tcPr>
          <w:p w14:paraId="42C86195"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1.33</w:t>
            </w:r>
          </w:p>
        </w:tc>
        <w:tc>
          <w:tcPr>
            <w:tcW w:w="233" w:type="dxa"/>
            <w:tcBorders>
              <w:top w:val="nil"/>
              <w:bottom w:val="nil"/>
            </w:tcBorders>
          </w:tcPr>
          <w:p w14:paraId="1C545F35"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p>
        </w:tc>
        <w:tc>
          <w:tcPr>
            <w:tcW w:w="1758" w:type="dxa"/>
          </w:tcPr>
          <w:p w14:paraId="6BD53211"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1.55</w:t>
            </w:r>
          </w:p>
        </w:tc>
        <w:tc>
          <w:tcPr>
            <w:tcW w:w="1230" w:type="dxa"/>
          </w:tcPr>
          <w:p w14:paraId="6CEEB0C2"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2.23</w:t>
            </w:r>
          </w:p>
        </w:tc>
        <w:tc>
          <w:tcPr>
            <w:tcW w:w="1206" w:type="dxa"/>
          </w:tcPr>
          <w:p w14:paraId="1BFFE29D"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2.14</w:t>
            </w:r>
          </w:p>
        </w:tc>
      </w:tr>
      <w:tr w:rsidR="00A14EE6" w:rsidRPr="00A14EE6" w14:paraId="5CC8F5F1" w14:textId="77777777" w:rsidTr="00A55182">
        <w:tc>
          <w:tcPr>
            <w:tcW w:w="1831" w:type="dxa"/>
            <w:tcBorders>
              <w:top w:val="nil"/>
              <w:bottom w:val="nil"/>
            </w:tcBorders>
          </w:tcPr>
          <w:p w14:paraId="5BECF428" w14:textId="77777777" w:rsidR="001A2CB1" w:rsidRPr="00A14EE6" w:rsidRDefault="001A2CB1" w:rsidP="00A55182">
            <w:pPr>
              <w:autoSpaceDE w:val="0"/>
              <w:autoSpaceDN w:val="0"/>
              <w:adjustRightInd w:val="0"/>
              <w:rPr>
                <w:rFonts w:ascii="Times New Roman" w:hAnsi="Times New Roman" w:cs="Times New Roman"/>
                <w:color w:val="000000" w:themeColor="text1"/>
              </w:rPr>
            </w:pPr>
            <w:r w:rsidRPr="00A14EE6">
              <w:rPr>
                <w:rFonts w:ascii="Times New Roman" w:hAnsi="Times New Roman" w:cs="Times New Roman"/>
                <w:color w:val="000000" w:themeColor="text1"/>
              </w:rPr>
              <w:t>NMAE</w:t>
            </w:r>
          </w:p>
        </w:tc>
        <w:tc>
          <w:tcPr>
            <w:tcW w:w="1296" w:type="dxa"/>
          </w:tcPr>
          <w:p w14:paraId="2C5F8C1B"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0.16</w:t>
            </w:r>
          </w:p>
        </w:tc>
        <w:tc>
          <w:tcPr>
            <w:tcW w:w="1230" w:type="dxa"/>
          </w:tcPr>
          <w:p w14:paraId="688EBF06"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0.13</w:t>
            </w:r>
          </w:p>
        </w:tc>
        <w:tc>
          <w:tcPr>
            <w:tcW w:w="1206" w:type="dxa"/>
          </w:tcPr>
          <w:p w14:paraId="47433381"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0.14</w:t>
            </w:r>
          </w:p>
        </w:tc>
        <w:tc>
          <w:tcPr>
            <w:tcW w:w="233" w:type="dxa"/>
            <w:tcBorders>
              <w:top w:val="nil"/>
              <w:bottom w:val="nil"/>
            </w:tcBorders>
          </w:tcPr>
          <w:p w14:paraId="781BAC09"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p>
        </w:tc>
        <w:tc>
          <w:tcPr>
            <w:tcW w:w="1758" w:type="dxa"/>
          </w:tcPr>
          <w:p w14:paraId="58A3BCBF"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0.36</w:t>
            </w:r>
          </w:p>
        </w:tc>
        <w:tc>
          <w:tcPr>
            <w:tcW w:w="1230" w:type="dxa"/>
          </w:tcPr>
          <w:p w14:paraId="1C8CBF62"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0.58</w:t>
            </w:r>
          </w:p>
        </w:tc>
        <w:tc>
          <w:tcPr>
            <w:tcW w:w="1206" w:type="dxa"/>
          </w:tcPr>
          <w:p w14:paraId="5E96DDD4"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0.60</w:t>
            </w:r>
          </w:p>
        </w:tc>
      </w:tr>
      <w:tr w:rsidR="00A14EE6" w:rsidRPr="00A14EE6" w14:paraId="38F4BBFD" w14:textId="77777777" w:rsidTr="00A55182">
        <w:tc>
          <w:tcPr>
            <w:tcW w:w="1831" w:type="dxa"/>
            <w:tcBorders>
              <w:top w:val="nil"/>
              <w:bottom w:val="nil"/>
            </w:tcBorders>
          </w:tcPr>
          <w:p w14:paraId="248FF5EB" w14:textId="77777777" w:rsidR="001A2CB1" w:rsidRPr="00A14EE6" w:rsidRDefault="001A2CB1" w:rsidP="00A55182">
            <w:pPr>
              <w:autoSpaceDE w:val="0"/>
              <w:autoSpaceDN w:val="0"/>
              <w:adjustRightInd w:val="0"/>
              <w:rPr>
                <w:rFonts w:ascii="Times New Roman" w:hAnsi="Times New Roman" w:cs="Times New Roman"/>
                <w:color w:val="000000" w:themeColor="text1"/>
              </w:rPr>
            </w:pPr>
            <w:r w:rsidRPr="00A14EE6">
              <w:rPr>
                <w:rFonts w:ascii="Times New Roman" w:hAnsi="Times New Roman" w:cs="Times New Roman"/>
                <w:color w:val="000000" w:themeColor="text1"/>
              </w:rPr>
              <w:t>R</w:t>
            </w:r>
            <w:r w:rsidRPr="00A14EE6">
              <w:rPr>
                <w:rFonts w:ascii="Times New Roman" w:hAnsi="Times New Roman" w:cs="Times New Roman"/>
                <w:color w:val="000000" w:themeColor="text1"/>
                <w:vertAlign w:val="superscript"/>
              </w:rPr>
              <w:t>2</w:t>
            </w:r>
          </w:p>
        </w:tc>
        <w:tc>
          <w:tcPr>
            <w:tcW w:w="1296" w:type="dxa"/>
          </w:tcPr>
          <w:p w14:paraId="41DA0A45"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0.12</w:t>
            </w:r>
          </w:p>
        </w:tc>
        <w:tc>
          <w:tcPr>
            <w:tcW w:w="1230" w:type="dxa"/>
          </w:tcPr>
          <w:p w14:paraId="64C8C0FF"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0.04</w:t>
            </w:r>
          </w:p>
        </w:tc>
        <w:tc>
          <w:tcPr>
            <w:tcW w:w="1206" w:type="dxa"/>
          </w:tcPr>
          <w:p w14:paraId="04A0DEDE"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0.05</w:t>
            </w:r>
          </w:p>
        </w:tc>
        <w:tc>
          <w:tcPr>
            <w:tcW w:w="233" w:type="dxa"/>
            <w:tcBorders>
              <w:top w:val="nil"/>
              <w:bottom w:val="nil"/>
            </w:tcBorders>
          </w:tcPr>
          <w:p w14:paraId="2A92912A"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p>
        </w:tc>
        <w:tc>
          <w:tcPr>
            <w:tcW w:w="1758" w:type="dxa"/>
          </w:tcPr>
          <w:p w14:paraId="53D7B9AB"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0.35</w:t>
            </w:r>
          </w:p>
        </w:tc>
        <w:tc>
          <w:tcPr>
            <w:tcW w:w="1230" w:type="dxa"/>
          </w:tcPr>
          <w:p w14:paraId="15FAC4EB"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0.001</w:t>
            </w:r>
          </w:p>
        </w:tc>
        <w:tc>
          <w:tcPr>
            <w:tcW w:w="1206" w:type="dxa"/>
          </w:tcPr>
          <w:p w14:paraId="50611F25"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0.02</w:t>
            </w:r>
          </w:p>
        </w:tc>
      </w:tr>
      <w:tr w:rsidR="00A14EE6" w:rsidRPr="00A14EE6" w14:paraId="59CC93C5" w14:textId="77777777" w:rsidTr="00A55182">
        <w:tc>
          <w:tcPr>
            <w:tcW w:w="1831" w:type="dxa"/>
            <w:tcBorders>
              <w:top w:val="nil"/>
              <w:bottom w:val="nil"/>
            </w:tcBorders>
          </w:tcPr>
          <w:p w14:paraId="1FDCA1D1" w14:textId="77777777" w:rsidR="001A2CB1" w:rsidRPr="00A14EE6" w:rsidRDefault="001A2CB1" w:rsidP="00A55182">
            <w:pPr>
              <w:autoSpaceDE w:val="0"/>
              <w:autoSpaceDN w:val="0"/>
              <w:adjustRightInd w:val="0"/>
              <w:rPr>
                <w:rFonts w:ascii="Times New Roman" w:hAnsi="Times New Roman" w:cs="Times New Roman"/>
                <w:color w:val="000000" w:themeColor="text1"/>
              </w:rPr>
            </w:pPr>
            <w:r w:rsidRPr="00A14EE6">
              <w:rPr>
                <w:rFonts w:ascii="Times New Roman" w:hAnsi="Times New Roman" w:cs="Times New Roman"/>
                <w:color w:val="000000" w:themeColor="text1"/>
              </w:rPr>
              <w:t>Bias (mg L</w:t>
            </w:r>
            <w:r w:rsidRPr="00A14EE6">
              <w:rPr>
                <w:rFonts w:ascii="Times New Roman" w:hAnsi="Times New Roman" w:cs="Times New Roman"/>
                <w:color w:val="000000" w:themeColor="text1"/>
                <w:vertAlign w:val="superscript"/>
              </w:rPr>
              <w:t>–1</w:t>
            </w:r>
            <w:r w:rsidRPr="00A14EE6">
              <w:rPr>
                <w:rFonts w:ascii="Times New Roman" w:hAnsi="Times New Roman" w:cs="Times New Roman"/>
                <w:color w:val="000000" w:themeColor="text1"/>
              </w:rPr>
              <w:t>)</w:t>
            </w:r>
          </w:p>
        </w:tc>
        <w:tc>
          <w:tcPr>
            <w:tcW w:w="1296" w:type="dxa"/>
          </w:tcPr>
          <w:p w14:paraId="6E389EA6"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1.11</w:t>
            </w:r>
          </w:p>
        </w:tc>
        <w:tc>
          <w:tcPr>
            <w:tcW w:w="1230" w:type="dxa"/>
          </w:tcPr>
          <w:p w14:paraId="0D2B2A56"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0.67</w:t>
            </w:r>
          </w:p>
        </w:tc>
        <w:tc>
          <w:tcPr>
            <w:tcW w:w="1206" w:type="dxa"/>
          </w:tcPr>
          <w:p w14:paraId="4C03EB99"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0.74</w:t>
            </w:r>
          </w:p>
        </w:tc>
        <w:tc>
          <w:tcPr>
            <w:tcW w:w="233" w:type="dxa"/>
            <w:tcBorders>
              <w:top w:val="nil"/>
              <w:bottom w:val="nil"/>
            </w:tcBorders>
          </w:tcPr>
          <w:p w14:paraId="4D723BED"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p>
        </w:tc>
        <w:tc>
          <w:tcPr>
            <w:tcW w:w="1758" w:type="dxa"/>
          </w:tcPr>
          <w:p w14:paraId="3271C9CA"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-0.43</w:t>
            </w:r>
          </w:p>
        </w:tc>
        <w:tc>
          <w:tcPr>
            <w:tcW w:w="1230" w:type="dxa"/>
          </w:tcPr>
          <w:p w14:paraId="52572A4A"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0.34</w:t>
            </w:r>
          </w:p>
        </w:tc>
        <w:tc>
          <w:tcPr>
            <w:tcW w:w="1206" w:type="dxa"/>
          </w:tcPr>
          <w:p w14:paraId="74FE45E7"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0.33</w:t>
            </w:r>
          </w:p>
        </w:tc>
      </w:tr>
      <w:tr w:rsidR="00A14EE6" w:rsidRPr="00A14EE6" w14:paraId="33007B08" w14:textId="77777777" w:rsidTr="00A55182">
        <w:tc>
          <w:tcPr>
            <w:tcW w:w="1831" w:type="dxa"/>
            <w:tcBorders>
              <w:top w:val="nil"/>
              <w:bottom w:val="nil"/>
            </w:tcBorders>
          </w:tcPr>
          <w:p w14:paraId="184DD94A" w14:textId="77777777" w:rsidR="001A2CB1" w:rsidRPr="00A14EE6" w:rsidRDefault="001A2CB1" w:rsidP="00A55182">
            <w:pPr>
              <w:autoSpaceDE w:val="0"/>
              <w:autoSpaceDN w:val="0"/>
              <w:adjustRightInd w:val="0"/>
              <w:rPr>
                <w:rFonts w:ascii="Times New Roman" w:hAnsi="Times New Roman" w:cs="Times New Roman"/>
                <w:color w:val="000000" w:themeColor="text1"/>
              </w:rPr>
            </w:pPr>
            <w:r w:rsidRPr="00A14EE6">
              <w:rPr>
                <w:rFonts w:ascii="Times New Roman" w:hAnsi="Times New Roman" w:cs="Times New Roman"/>
                <w:color w:val="000000" w:themeColor="text1"/>
              </w:rPr>
              <w:t>NSE</w:t>
            </w:r>
          </w:p>
        </w:tc>
        <w:tc>
          <w:tcPr>
            <w:tcW w:w="1296" w:type="dxa"/>
            <w:tcBorders>
              <w:bottom w:val="single" w:sz="4" w:space="0" w:color="auto"/>
            </w:tcBorders>
          </w:tcPr>
          <w:p w14:paraId="7D95B4DC"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-1.64</w:t>
            </w:r>
          </w:p>
        </w:tc>
        <w:tc>
          <w:tcPr>
            <w:tcW w:w="1230" w:type="dxa"/>
            <w:tcBorders>
              <w:bottom w:val="single" w:sz="4" w:space="0" w:color="auto"/>
            </w:tcBorders>
          </w:tcPr>
          <w:p w14:paraId="734858F9"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-8.49</w:t>
            </w:r>
          </w:p>
        </w:tc>
        <w:tc>
          <w:tcPr>
            <w:tcW w:w="1206" w:type="dxa"/>
            <w:tcBorders>
              <w:bottom w:val="single" w:sz="4" w:space="0" w:color="auto"/>
            </w:tcBorders>
          </w:tcPr>
          <w:p w14:paraId="398A4ECE"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-1.08</w:t>
            </w:r>
          </w:p>
        </w:tc>
        <w:tc>
          <w:tcPr>
            <w:tcW w:w="233" w:type="dxa"/>
            <w:tcBorders>
              <w:top w:val="nil"/>
              <w:bottom w:val="nil"/>
            </w:tcBorders>
          </w:tcPr>
          <w:p w14:paraId="09FE028A"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p>
        </w:tc>
        <w:tc>
          <w:tcPr>
            <w:tcW w:w="1758" w:type="dxa"/>
            <w:tcBorders>
              <w:bottom w:val="single" w:sz="4" w:space="0" w:color="auto"/>
            </w:tcBorders>
          </w:tcPr>
          <w:p w14:paraId="70B42978"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-0.65</w:t>
            </w:r>
          </w:p>
        </w:tc>
        <w:tc>
          <w:tcPr>
            <w:tcW w:w="1230" w:type="dxa"/>
            <w:tcBorders>
              <w:bottom w:val="single" w:sz="4" w:space="0" w:color="auto"/>
            </w:tcBorders>
          </w:tcPr>
          <w:p w14:paraId="4AA7C96B"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-4.64</w:t>
            </w:r>
          </w:p>
        </w:tc>
        <w:tc>
          <w:tcPr>
            <w:tcW w:w="1206" w:type="dxa"/>
            <w:tcBorders>
              <w:bottom w:val="single" w:sz="4" w:space="0" w:color="auto"/>
            </w:tcBorders>
          </w:tcPr>
          <w:p w14:paraId="21E6EC35"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-0.68</w:t>
            </w:r>
          </w:p>
        </w:tc>
      </w:tr>
      <w:tr w:rsidR="00A14EE6" w:rsidRPr="00A14EE6" w14:paraId="5A0E9249" w14:textId="77777777" w:rsidTr="00A55182">
        <w:tc>
          <w:tcPr>
            <w:tcW w:w="1831" w:type="dxa"/>
            <w:tcBorders>
              <w:top w:val="nil"/>
              <w:bottom w:val="nil"/>
            </w:tcBorders>
          </w:tcPr>
          <w:p w14:paraId="347CAA37" w14:textId="77777777" w:rsidR="001A2CB1" w:rsidRPr="00A14EE6" w:rsidRDefault="001A2CB1" w:rsidP="00A55182">
            <w:pPr>
              <w:autoSpaceDE w:val="0"/>
              <w:autoSpaceDN w:val="0"/>
              <w:adjustRightInd w:val="0"/>
              <w:rPr>
                <w:rFonts w:ascii="Times New Roman" w:hAnsi="Times New Roman" w:cs="Times New Roman"/>
                <w:color w:val="000000" w:themeColor="text1"/>
              </w:rPr>
            </w:pPr>
          </w:p>
        </w:tc>
        <w:tc>
          <w:tcPr>
            <w:tcW w:w="3732" w:type="dxa"/>
            <w:gridSpan w:val="3"/>
            <w:tcBorders>
              <w:top w:val="single" w:sz="4" w:space="0" w:color="auto"/>
              <w:bottom w:val="single" w:sz="4" w:space="0" w:color="auto"/>
            </w:tcBorders>
          </w:tcPr>
          <w:p w14:paraId="2D9ABE52" w14:textId="77777777" w:rsidR="001A2CB1" w:rsidRPr="00A14EE6" w:rsidRDefault="001A2CB1" w:rsidP="00A55182">
            <w:pPr>
              <w:autoSpaceDE w:val="0"/>
              <w:autoSpaceDN w:val="0"/>
              <w:adjustRightInd w:val="0"/>
              <w:jc w:val="center"/>
              <w:rPr>
                <w:rFonts w:ascii="Times New Roman" w:hAnsi="Times New Roman" w:cs="Times New Roman"/>
                <w:i/>
                <w:iCs/>
                <w:color w:val="000000" w:themeColor="text1"/>
              </w:rPr>
            </w:pPr>
            <w:r w:rsidRPr="00A14EE6">
              <w:rPr>
                <w:rFonts w:ascii="Times New Roman" w:hAnsi="Times New Roman" w:cs="Times New Roman"/>
                <w:i/>
                <w:iCs/>
                <w:color w:val="000000" w:themeColor="text1"/>
              </w:rPr>
              <w:t>TOC epilimnion</w:t>
            </w:r>
          </w:p>
        </w:tc>
        <w:tc>
          <w:tcPr>
            <w:tcW w:w="233" w:type="dxa"/>
            <w:tcBorders>
              <w:top w:val="nil"/>
              <w:bottom w:val="nil"/>
            </w:tcBorders>
          </w:tcPr>
          <w:p w14:paraId="24842E6D" w14:textId="77777777" w:rsidR="001A2CB1" w:rsidRPr="00A14EE6" w:rsidRDefault="001A2CB1" w:rsidP="00A55182">
            <w:pPr>
              <w:autoSpaceDE w:val="0"/>
              <w:autoSpaceDN w:val="0"/>
              <w:adjustRightInd w:val="0"/>
              <w:jc w:val="center"/>
              <w:rPr>
                <w:rFonts w:ascii="Times New Roman" w:hAnsi="Times New Roman" w:cs="Times New Roman"/>
                <w:i/>
                <w:iCs/>
                <w:color w:val="000000" w:themeColor="text1"/>
              </w:rPr>
            </w:pPr>
          </w:p>
        </w:tc>
        <w:tc>
          <w:tcPr>
            <w:tcW w:w="4194" w:type="dxa"/>
            <w:gridSpan w:val="3"/>
            <w:tcBorders>
              <w:top w:val="single" w:sz="4" w:space="0" w:color="auto"/>
              <w:bottom w:val="single" w:sz="4" w:space="0" w:color="auto"/>
            </w:tcBorders>
          </w:tcPr>
          <w:p w14:paraId="7DF5CEE1" w14:textId="77777777" w:rsidR="001A2CB1" w:rsidRPr="00A14EE6" w:rsidRDefault="001A2CB1" w:rsidP="00A55182">
            <w:pPr>
              <w:autoSpaceDE w:val="0"/>
              <w:autoSpaceDN w:val="0"/>
              <w:adjustRightInd w:val="0"/>
              <w:jc w:val="center"/>
              <w:rPr>
                <w:rFonts w:ascii="Times New Roman" w:hAnsi="Times New Roman" w:cs="Times New Roman"/>
                <w:i/>
                <w:iCs/>
                <w:color w:val="000000" w:themeColor="text1"/>
              </w:rPr>
            </w:pPr>
            <w:r w:rsidRPr="00A14EE6">
              <w:rPr>
                <w:rFonts w:ascii="Times New Roman" w:hAnsi="Times New Roman" w:cs="Times New Roman"/>
                <w:i/>
                <w:iCs/>
                <w:color w:val="000000" w:themeColor="text1"/>
              </w:rPr>
              <w:t>TOC hypolimnion</w:t>
            </w:r>
          </w:p>
        </w:tc>
      </w:tr>
      <w:tr w:rsidR="00A14EE6" w:rsidRPr="00A14EE6" w14:paraId="4806A376" w14:textId="77777777" w:rsidTr="00A55182">
        <w:tc>
          <w:tcPr>
            <w:tcW w:w="1831" w:type="dxa"/>
            <w:tcBorders>
              <w:top w:val="nil"/>
              <w:bottom w:val="nil"/>
            </w:tcBorders>
          </w:tcPr>
          <w:p w14:paraId="7C0EE0CB" w14:textId="77777777" w:rsidR="001A2CB1" w:rsidRPr="00A14EE6" w:rsidRDefault="001A2CB1" w:rsidP="00A55182">
            <w:pPr>
              <w:autoSpaceDE w:val="0"/>
              <w:autoSpaceDN w:val="0"/>
              <w:adjustRightInd w:val="0"/>
              <w:rPr>
                <w:rFonts w:ascii="Times New Roman" w:hAnsi="Times New Roman" w:cs="Times New Roman"/>
                <w:color w:val="000000" w:themeColor="text1"/>
              </w:rPr>
            </w:pPr>
            <w:r w:rsidRPr="00A14EE6">
              <w:rPr>
                <w:rFonts w:ascii="Times New Roman" w:hAnsi="Times New Roman" w:cs="Times New Roman"/>
                <w:color w:val="000000" w:themeColor="text1"/>
              </w:rPr>
              <w:t>RMSE (mg L</w:t>
            </w:r>
            <w:r w:rsidRPr="00A14EE6">
              <w:rPr>
                <w:rFonts w:ascii="Times New Roman" w:hAnsi="Times New Roman" w:cs="Times New Roman"/>
                <w:color w:val="000000" w:themeColor="text1"/>
                <w:vertAlign w:val="superscript"/>
              </w:rPr>
              <w:t>–1</w:t>
            </w:r>
            <w:r w:rsidRPr="00A14EE6">
              <w:rPr>
                <w:rFonts w:ascii="Times New Roman" w:hAnsi="Times New Roman" w:cs="Times New Roman"/>
                <w:color w:val="000000" w:themeColor="text1"/>
              </w:rPr>
              <w:t>)</w:t>
            </w:r>
          </w:p>
        </w:tc>
        <w:tc>
          <w:tcPr>
            <w:tcW w:w="1296" w:type="dxa"/>
            <w:tcBorders>
              <w:top w:val="single" w:sz="4" w:space="0" w:color="auto"/>
            </w:tcBorders>
          </w:tcPr>
          <w:p w14:paraId="61D2C9A0"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0.29</w:t>
            </w:r>
          </w:p>
        </w:tc>
        <w:tc>
          <w:tcPr>
            <w:tcW w:w="1230" w:type="dxa"/>
            <w:tcBorders>
              <w:top w:val="single" w:sz="4" w:space="0" w:color="auto"/>
            </w:tcBorders>
          </w:tcPr>
          <w:p w14:paraId="6E8DDEF5"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0.30</w:t>
            </w:r>
          </w:p>
        </w:tc>
        <w:tc>
          <w:tcPr>
            <w:tcW w:w="1206" w:type="dxa"/>
            <w:tcBorders>
              <w:top w:val="single" w:sz="4" w:space="0" w:color="auto"/>
            </w:tcBorders>
          </w:tcPr>
          <w:p w14:paraId="53AF430E"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0.30</w:t>
            </w:r>
          </w:p>
        </w:tc>
        <w:tc>
          <w:tcPr>
            <w:tcW w:w="233" w:type="dxa"/>
            <w:tcBorders>
              <w:top w:val="nil"/>
              <w:bottom w:val="nil"/>
            </w:tcBorders>
          </w:tcPr>
          <w:p w14:paraId="05AC5937"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p>
        </w:tc>
        <w:tc>
          <w:tcPr>
            <w:tcW w:w="1758" w:type="dxa"/>
            <w:tcBorders>
              <w:top w:val="single" w:sz="4" w:space="0" w:color="auto"/>
            </w:tcBorders>
          </w:tcPr>
          <w:p w14:paraId="3FE74063"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0.71</w:t>
            </w:r>
          </w:p>
        </w:tc>
        <w:tc>
          <w:tcPr>
            <w:tcW w:w="1230" w:type="dxa"/>
            <w:tcBorders>
              <w:top w:val="single" w:sz="4" w:space="0" w:color="auto"/>
            </w:tcBorders>
          </w:tcPr>
          <w:p w14:paraId="259DF2A7"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0.56</w:t>
            </w:r>
          </w:p>
        </w:tc>
        <w:tc>
          <w:tcPr>
            <w:tcW w:w="1206" w:type="dxa"/>
            <w:tcBorders>
              <w:top w:val="single" w:sz="4" w:space="0" w:color="auto"/>
            </w:tcBorders>
          </w:tcPr>
          <w:p w14:paraId="3772BE98"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0.60</w:t>
            </w:r>
          </w:p>
        </w:tc>
      </w:tr>
      <w:tr w:rsidR="00A14EE6" w:rsidRPr="00A14EE6" w14:paraId="633D782E" w14:textId="77777777" w:rsidTr="00A55182">
        <w:tc>
          <w:tcPr>
            <w:tcW w:w="1831" w:type="dxa"/>
            <w:tcBorders>
              <w:top w:val="nil"/>
              <w:bottom w:val="nil"/>
            </w:tcBorders>
          </w:tcPr>
          <w:p w14:paraId="41B9C254" w14:textId="77777777" w:rsidR="001A2CB1" w:rsidRPr="00A14EE6" w:rsidRDefault="001A2CB1" w:rsidP="00A55182">
            <w:pPr>
              <w:autoSpaceDE w:val="0"/>
              <w:autoSpaceDN w:val="0"/>
              <w:adjustRightInd w:val="0"/>
              <w:rPr>
                <w:rFonts w:ascii="Times New Roman" w:hAnsi="Times New Roman" w:cs="Times New Roman"/>
                <w:color w:val="000000" w:themeColor="text1"/>
              </w:rPr>
            </w:pPr>
            <w:r w:rsidRPr="00A14EE6">
              <w:rPr>
                <w:rFonts w:ascii="Times New Roman" w:hAnsi="Times New Roman" w:cs="Times New Roman"/>
                <w:color w:val="000000" w:themeColor="text1"/>
              </w:rPr>
              <w:t>RRMSE</w:t>
            </w:r>
          </w:p>
        </w:tc>
        <w:tc>
          <w:tcPr>
            <w:tcW w:w="1296" w:type="dxa"/>
          </w:tcPr>
          <w:p w14:paraId="0E60EFE7"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0.14</w:t>
            </w:r>
          </w:p>
        </w:tc>
        <w:tc>
          <w:tcPr>
            <w:tcW w:w="1230" w:type="dxa"/>
          </w:tcPr>
          <w:p w14:paraId="37E02D29"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0.17</w:t>
            </w:r>
          </w:p>
        </w:tc>
        <w:tc>
          <w:tcPr>
            <w:tcW w:w="1206" w:type="dxa"/>
          </w:tcPr>
          <w:p w14:paraId="2E31593C"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0.14</w:t>
            </w:r>
          </w:p>
        </w:tc>
        <w:tc>
          <w:tcPr>
            <w:tcW w:w="233" w:type="dxa"/>
            <w:tcBorders>
              <w:top w:val="nil"/>
              <w:bottom w:val="nil"/>
            </w:tcBorders>
          </w:tcPr>
          <w:p w14:paraId="36391662"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p>
        </w:tc>
        <w:tc>
          <w:tcPr>
            <w:tcW w:w="1758" w:type="dxa"/>
          </w:tcPr>
          <w:p w14:paraId="471C814C"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0.42</w:t>
            </w:r>
          </w:p>
        </w:tc>
        <w:tc>
          <w:tcPr>
            <w:tcW w:w="1230" w:type="dxa"/>
          </w:tcPr>
          <w:p w14:paraId="2B991654"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0.28</w:t>
            </w:r>
          </w:p>
        </w:tc>
        <w:tc>
          <w:tcPr>
            <w:tcW w:w="1206" w:type="dxa"/>
          </w:tcPr>
          <w:p w14:paraId="2AFA6690"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0.30</w:t>
            </w:r>
          </w:p>
        </w:tc>
      </w:tr>
      <w:tr w:rsidR="00A14EE6" w:rsidRPr="00A14EE6" w14:paraId="5A46C685" w14:textId="77777777" w:rsidTr="00A55182">
        <w:tc>
          <w:tcPr>
            <w:tcW w:w="1831" w:type="dxa"/>
            <w:tcBorders>
              <w:top w:val="nil"/>
              <w:bottom w:val="nil"/>
            </w:tcBorders>
          </w:tcPr>
          <w:p w14:paraId="48385CB2" w14:textId="77777777" w:rsidR="001A2CB1" w:rsidRPr="00A14EE6" w:rsidRDefault="001A2CB1" w:rsidP="00A55182">
            <w:pPr>
              <w:autoSpaceDE w:val="0"/>
              <w:autoSpaceDN w:val="0"/>
              <w:adjustRightInd w:val="0"/>
              <w:rPr>
                <w:rFonts w:ascii="Times New Roman" w:hAnsi="Times New Roman" w:cs="Times New Roman"/>
                <w:color w:val="000000" w:themeColor="text1"/>
              </w:rPr>
            </w:pPr>
            <w:r w:rsidRPr="00A14EE6">
              <w:rPr>
                <w:rFonts w:ascii="Times New Roman" w:hAnsi="Times New Roman" w:cs="Times New Roman"/>
                <w:color w:val="000000" w:themeColor="text1"/>
              </w:rPr>
              <w:t>MAE (mg L</w:t>
            </w:r>
            <w:r w:rsidRPr="00A14EE6">
              <w:rPr>
                <w:rFonts w:ascii="Times New Roman" w:hAnsi="Times New Roman" w:cs="Times New Roman"/>
                <w:color w:val="000000" w:themeColor="text1"/>
                <w:vertAlign w:val="superscript"/>
              </w:rPr>
              <w:t>–1</w:t>
            </w:r>
            <w:r w:rsidRPr="00A14EE6">
              <w:rPr>
                <w:rFonts w:ascii="Times New Roman" w:hAnsi="Times New Roman" w:cs="Times New Roman"/>
                <w:color w:val="000000" w:themeColor="text1"/>
              </w:rPr>
              <w:t>)</w:t>
            </w:r>
          </w:p>
        </w:tc>
        <w:tc>
          <w:tcPr>
            <w:tcW w:w="1296" w:type="dxa"/>
          </w:tcPr>
          <w:p w14:paraId="3548E64A"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0.22</w:t>
            </w:r>
          </w:p>
        </w:tc>
        <w:tc>
          <w:tcPr>
            <w:tcW w:w="1230" w:type="dxa"/>
          </w:tcPr>
          <w:p w14:paraId="48B7859D"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0.24</w:t>
            </w:r>
          </w:p>
        </w:tc>
        <w:tc>
          <w:tcPr>
            <w:tcW w:w="1206" w:type="dxa"/>
          </w:tcPr>
          <w:p w14:paraId="438DC4FB"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0.23</w:t>
            </w:r>
          </w:p>
        </w:tc>
        <w:tc>
          <w:tcPr>
            <w:tcW w:w="233" w:type="dxa"/>
            <w:tcBorders>
              <w:top w:val="nil"/>
              <w:bottom w:val="nil"/>
            </w:tcBorders>
          </w:tcPr>
          <w:p w14:paraId="30CAAF12"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p>
        </w:tc>
        <w:tc>
          <w:tcPr>
            <w:tcW w:w="1758" w:type="dxa"/>
          </w:tcPr>
          <w:p w14:paraId="6AAB0FDE"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0.64</w:t>
            </w:r>
          </w:p>
        </w:tc>
        <w:tc>
          <w:tcPr>
            <w:tcW w:w="1230" w:type="dxa"/>
          </w:tcPr>
          <w:p w14:paraId="3F8C98AE"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0.48</w:t>
            </w:r>
          </w:p>
        </w:tc>
        <w:tc>
          <w:tcPr>
            <w:tcW w:w="1206" w:type="dxa"/>
          </w:tcPr>
          <w:p w14:paraId="0FCA2DAC"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0.52</w:t>
            </w:r>
          </w:p>
        </w:tc>
      </w:tr>
      <w:tr w:rsidR="00A14EE6" w:rsidRPr="00A14EE6" w14:paraId="1E80CFE1" w14:textId="77777777" w:rsidTr="00A55182">
        <w:tc>
          <w:tcPr>
            <w:tcW w:w="1831" w:type="dxa"/>
            <w:tcBorders>
              <w:top w:val="nil"/>
              <w:bottom w:val="nil"/>
            </w:tcBorders>
          </w:tcPr>
          <w:p w14:paraId="683ACE81" w14:textId="77777777" w:rsidR="001A2CB1" w:rsidRPr="00A14EE6" w:rsidRDefault="001A2CB1" w:rsidP="00A55182">
            <w:pPr>
              <w:autoSpaceDE w:val="0"/>
              <w:autoSpaceDN w:val="0"/>
              <w:adjustRightInd w:val="0"/>
              <w:rPr>
                <w:rFonts w:ascii="Times New Roman" w:hAnsi="Times New Roman" w:cs="Times New Roman"/>
                <w:color w:val="000000" w:themeColor="text1"/>
              </w:rPr>
            </w:pPr>
            <w:r w:rsidRPr="00A14EE6">
              <w:rPr>
                <w:rFonts w:ascii="Times New Roman" w:hAnsi="Times New Roman" w:cs="Times New Roman"/>
                <w:color w:val="000000" w:themeColor="text1"/>
              </w:rPr>
              <w:t>NMAE</w:t>
            </w:r>
          </w:p>
        </w:tc>
        <w:tc>
          <w:tcPr>
            <w:tcW w:w="1296" w:type="dxa"/>
          </w:tcPr>
          <w:p w14:paraId="3311242C"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0.19</w:t>
            </w:r>
          </w:p>
        </w:tc>
        <w:tc>
          <w:tcPr>
            <w:tcW w:w="1230" w:type="dxa"/>
          </w:tcPr>
          <w:p w14:paraId="33A588BF"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0.23</w:t>
            </w:r>
          </w:p>
        </w:tc>
        <w:tc>
          <w:tcPr>
            <w:tcW w:w="1206" w:type="dxa"/>
          </w:tcPr>
          <w:p w14:paraId="707BDC47"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0.22</w:t>
            </w:r>
          </w:p>
        </w:tc>
        <w:tc>
          <w:tcPr>
            <w:tcW w:w="233" w:type="dxa"/>
            <w:tcBorders>
              <w:top w:val="nil"/>
              <w:bottom w:val="nil"/>
            </w:tcBorders>
          </w:tcPr>
          <w:p w14:paraId="5ABE8847"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p>
        </w:tc>
        <w:tc>
          <w:tcPr>
            <w:tcW w:w="1758" w:type="dxa"/>
          </w:tcPr>
          <w:p w14:paraId="5A7EE8A1"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0.66</w:t>
            </w:r>
          </w:p>
        </w:tc>
        <w:tc>
          <w:tcPr>
            <w:tcW w:w="1230" w:type="dxa"/>
          </w:tcPr>
          <w:p w14:paraId="51AF445A"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0.60</w:t>
            </w:r>
          </w:p>
        </w:tc>
        <w:tc>
          <w:tcPr>
            <w:tcW w:w="1206" w:type="dxa"/>
          </w:tcPr>
          <w:p w14:paraId="4BDDFEB2"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0.61</w:t>
            </w:r>
          </w:p>
        </w:tc>
      </w:tr>
      <w:tr w:rsidR="00A14EE6" w:rsidRPr="00A14EE6" w14:paraId="40AEC901" w14:textId="77777777" w:rsidTr="00A55182">
        <w:tc>
          <w:tcPr>
            <w:tcW w:w="1831" w:type="dxa"/>
            <w:tcBorders>
              <w:top w:val="nil"/>
              <w:bottom w:val="nil"/>
            </w:tcBorders>
          </w:tcPr>
          <w:p w14:paraId="4EB39CB7" w14:textId="77777777" w:rsidR="001A2CB1" w:rsidRPr="00A14EE6" w:rsidRDefault="001A2CB1" w:rsidP="00A55182">
            <w:pPr>
              <w:autoSpaceDE w:val="0"/>
              <w:autoSpaceDN w:val="0"/>
              <w:adjustRightInd w:val="0"/>
              <w:rPr>
                <w:rFonts w:ascii="Times New Roman" w:hAnsi="Times New Roman" w:cs="Times New Roman"/>
                <w:color w:val="000000" w:themeColor="text1"/>
              </w:rPr>
            </w:pPr>
            <w:r w:rsidRPr="00A14EE6">
              <w:rPr>
                <w:rFonts w:ascii="Times New Roman" w:hAnsi="Times New Roman" w:cs="Times New Roman"/>
                <w:color w:val="000000" w:themeColor="text1"/>
              </w:rPr>
              <w:t>R</w:t>
            </w:r>
            <w:r w:rsidRPr="00A14EE6">
              <w:rPr>
                <w:rFonts w:ascii="Times New Roman" w:hAnsi="Times New Roman" w:cs="Times New Roman"/>
                <w:color w:val="000000" w:themeColor="text1"/>
                <w:vertAlign w:val="superscript"/>
              </w:rPr>
              <w:t>2</w:t>
            </w:r>
          </w:p>
        </w:tc>
        <w:tc>
          <w:tcPr>
            <w:tcW w:w="1296" w:type="dxa"/>
          </w:tcPr>
          <w:p w14:paraId="5B8FF83D"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0.16</w:t>
            </w:r>
          </w:p>
        </w:tc>
        <w:tc>
          <w:tcPr>
            <w:tcW w:w="1230" w:type="dxa"/>
          </w:tcPr>
          <w:p w14:paraId="3D331B3F"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0.16</w:t>
            </w:r>
          </w:p>
        </w:tc>
        <w:tc>
          <w:tcPr>
            <w:tcW w:w="1206" w:type="dxa"/>
          </w:tcPr>
          <w:p w14:paraId="6CA9069E"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0.17</w:t>
            </w:r>
          </w:p>
        </w:tc>
        <w:tc>
          <w:tcPr>
            <w:tcW w:w="233" w:type="dxa"/>
            <w:tcBorders>
              <w:top w:val="nil"/>
              <w:bottom w:val="nil"/>
            </w:tcBorders>
          </w:tcPr>
          <w:p w14:paraId="2B6FC739"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p>
        </w:tc>
        <w:tc>
          <w:tcPr>
            <w:tcW w:w="1758" w:type="dxa"/>
          </w:tcPr>
          <w:p w14:paraId="7A3A97DE"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0.16</w:t>
            </w:r>
          </w:p>
        </w:tc>
        <w:tc>
          <w:tcPr>
            <w:tcW w:w="1230" w:type="dxa"/>
          </w:tcPr>
          <w:p w14:paraId="34E10866"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0.009</w:t>
            </w:r>
          </w:p>
        </w:tc>
        <w:tc>
          <w:tcPr>
            <w:tcW w:w="1206" w:type="dxa"/>
          </w:tcPr>
          <w:p w14:paraId="380C087F"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0.03</w:t>
            </w:r>
          </w:p>
        </w:tc>
      </w:tr>
      <w:tr w:rsidR="00A14EE6" w:rsidRPr="00A14EE6" w14:paraId="0C780192" w14:textId="77777777" w:rsidTr="00A55182">
        <w:tc>
          <w:tcPr>
            <w:tcW w:w="1831" w:type="dxa"/>
            <w:tcBorders>
              <w:top w:val="nil"/>
              <w:bottom w:val="nil"/>
            </w:tcBorders>
          </w:tcPr>
          <w:p w14:paraId="0C61EF2D" w14:textId="77777777" w:rsidR="001A2CB1" w:rsidRPr="00A14EE6" w:rsidRDefault="001A2CB1" w:rsidP="00A55182">
            <w:pPr>
              <w:autoSpaceDE w:val="0"/>
              <w:autoSpaceDN w:val="0"/>
              <w:adjustRightInd w:val="0"/>
              <w:rPr>
                <w:rFonts w:ascii="Times New Roman" w:hAnsi="Times New Roman" w:cs="Times New Roman"/>
                <w:color w:val="000000" w:themeColor="text1"/>
              </w:rPr>
            </w:pPr>
            <w:r w:rsidRPr="00A14EE6">
              <w:rPr>
                <w:rFonts w:ascii="Times New Roman" w:hAnsi="Times New Roman" w:cs="Times New Roman"/>
                <w:color w:val="000000" w:themeColor="text1"/>
              </w:rPr>
              <w:t>Bias (mg L</w:t>
            </w:r>
            <w:r w:rsidRPr="00A14EE6">
              <w:rPr>
                <w:rFonts w:ascii="Times New Roman" w:hAnsi="Times New Roman" w:cs="Times New Roman"/>
                <w:color w:val="000000" w:themeColor="text1"/>
                <w:vertAlign w:val="superscript"/>
              </w:rPr>
              <w:t>–1</w:t>
            </w:r>
            <w:r w:rsidRPr="00A14EE6">
              <w:rPr>
                <w:rFonts w:ascii="Times New Roman" w:hAnsi="Times New Roman" w:cs="Times New Roman"/>
                <w:color w:val="000000" w:themeColor="text1"/>
              </w:rPr>
              <w:t>)</w:t>
            </w:r>
          </w:p>
        </w:tc>
        <w:tc>
          <w:tcPr>
            <w:tcW w:w="1296" w:type="dxa"/>
          </w:tcPr>
          <w:p w14:paraId="24215396"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-0.04</w:t>
            </w:r>
          </w:p>
        </w:tc>
        <w:tc>
          <w:tcPr>
            <w:tcW w:w="1230" w:type="dxa"/>
          </w:tcPr>
          <w:p w14:paraId="2D906AD9"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-0.04</w:t>
            </w:r>
          </w:p>
        </w:tc>
        <w:tc>
          <w:tcPr>
            <w:tcW w:w="1206" w:type="dxa"/>
          </w:tcPr>
          <w:p w14:paraId="185FDA01"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-0.04</w:t>
            </w:r>
          </w:p>
        </w:tc>
        <w:tc>
          <w:tcPr>
            <w:tcW w:w="233" w:type="dxa"/>
            <w:tcBorders>
              <w:top w:val="nil"/>
              <w:bottom w:val="nil"/>
            </w:tcBorders>
          </w:tcPr>
          <w:p w14:paraId="303B23AB"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p>
        </w:tc>
        <w:tc>
          <w:tcPr>
            <w:tcW w:w="1758" w:type="dxa"/>
          </w:tcPr>
          <w:p w14:paraId="67D41FA6"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-0.64</w:t>
            </w:r>
          </w:p>
        </w:tc>
        <w:tc>
          <w:tcPr>
            <w:tcW w:w="1230" w:type="dxa"/>
          </w:tcPr>
          <w:p w14:paraId="4FCF1CEA"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-0.43</w:t>
            </w:r>
          </w:p>
        </w:tc>
        <w:tc>
          <w:tcPr>
            <w:tcW w:w="1206" w:type="dxa"/>
          </w:tcPr>
          <w:p w14:paraId="57950F47"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-0.49</w:t>
            </w:r>
          </w:p>
        </w:tc>
      </w:tr>
      <w:tr w:rsidR="00A14EE6" w:rsidRPr="00A14EE6" w14:paraId="047097A8" w14:textId="77777777" w:rsidTr="00A55182">
        <w:tc>
          <w:tcPr>
            <w:tcW w:w="1831" w:type="dxa"/>
            <w:tcBorders>
              <w:top w:val="nil"/>
              <w:bottom w:val="nil"/>
            </w:tcBorders>
          </w:tcPr>
          <w:p w14:paraId="72E0EB4B" w14:textId="77777777" w:rsidR="001A2CB1" w:rsidRPr="00A14EE6" w:rsidRDefault="001A2CB1" w:rsidP="00A55182">
            <w:pPr>
              <w:autoSpaceDE w:val="0"/>
              <w:autoSpaceDN w:val="0"/>
              <w:adjustRightInd w:val="0"/>
              <w:rPr>
                <w:rFonts w:ascii="Times New Roman" w:hAnsi="Times New Roman" w:cs="Times New Roman"/>
                <w:color w:val="000000" w:themeColor="text1"/>
              </w:rPr>
            </w:pPr>
            <w:r w:rsidRPr="00A14EE6">
              <w:rPr>
                <w:rFonts w:ascii="Times New Roman" w:hAnsi="Times New Roman" w:cs="Times New Roman"/>
                <w:color w:val="000000" w:themeColor="text1"/>
              </w:rPr>
              <w:t>NSE</w:t>
            </w:r>
          </w:p>
        </w:tc>
        <w:tc>
          <w:tcPr>
            <w:tcW w:w="1296" w:type="dxa"/>
            <w:tcBorders>
              <w:bottom w:val="single" w:sz="4" w:space="0" w:color="auto"/>
            </w:tcBorders>
          </w:tcPr>
          <w:p w14:paraId="39AF915C"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-0.66</w:t>
            </w:r>
          </w:p>
        </w:tc>
        <w:tc>
          <w:tcPr>
            <w:tcW w:w="1230" w:type="dxa"/>
            <w:tcBorders>
              <w:bottom w:val="single" w:sz="4" w:space="0" w:color="auto"/>
            </w:tcBorders>
          </w:tcPr>
          <w:p w14:paraId="1F684CAB"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-0.58</w:t>
            </w:r>
          </w:p>
        </w:tc>
        <w:tc>
          <w:tcPr>
            <w:tcW w:w="1206" w:type="dxa"/>
            <w:tcBorders>
              <w:bottom w:val="single" w:sz="4" w:space="0" w:color="auto"/>
            </w:tcBorders>
          </w:tcPr>
          <w:p w14:paraId="7F51F237"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0.28</w:t>
            </w:r>
          </w:p>
        </w:tc>
        <w:tc>
          <w:tcPr>
            <w:tcW w:w="233" w:type="dxa"/>
            <w:tcBorders>
              <w:top w:val="nil"/>
              <w:bottom w:val="nil"/>
            </w:tcBorders>
          </w:tcPr>
          <w:p w14:paraId="05C62DBB"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p>
        </w:tc>
        <w:tc>
          <w:tcPr>
            <w:tcW w:w="1758" w:type="dxa"/>
            <w:tcBorders>
              <w:bottom w:val="nil"/>
            </w:tcBorders>
          </w:tcPr>
          <w:p w14:paraId="1ED51B41"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-11.07</w:t>
            </w:r>
          </w:p>
        </w:tc>
        <w:tc>
          <w:tcPr>
            <w:tcW w:w="1230" w:type="dxa"/>
            <w:tcBorders>
              <w:bottom w:val="nil"/>
            </w:tcBorders>
          </w:tcPr>
          <w:p w14:paraId="7083488E"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-6.28</w:t>
            </w:r>
          </w:p>
        </w:tc>
        <w:tc>
          <w:tcPr>
            <w:tcW w:w="1206" w:type="dxa"/>
            <w:tcBorders>
              <w:bottom w:val="nil"/>
            </w:tcBorders>
          </w:tcPr>
          <w:p w14:paraId="77835569"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-5.63</w:t>
            </w:r>
          </w:p>
        </w:tc>
      </w:tr>
      <w:tr w:rsidR="00A14EE6" w:rsidRPr="00A14EE6" w14:paraId="24EAA572" w14:textId="77777777" w:rsidTr="00A55182">
        <w:tc>
          <w:tcPr>
            <w:tcW w:w="1831" w:type="dxa"/>
            <w:tcBorders>
              <w:top w:val="nil"/>
              <w:bottom w:val="nil"/>
            </w:tcBorders>
          </w:tcPr>
          <w:p w14:paraId="6E76BAE8" w14:textId="77777777" w:rsidR="001A2CB1" w:rsidRPr="00A14EE6" w:rsidRDefault="001A2CB1" w:rsidP="00A55182">
            <w:pPr>
              <w:autoSpaceDE w:val="0"/>
              <w:autoSpaceDN w:val="0"/>
              <w:adjustRightInd w:val="0"/>
              <w:rPr>
                <w:rFonts w:ascii="Times New Roman" w:hAnsi="Times New Roman" w:cs="Times New Roman"/>
                <w:color w:val="000000" w:themeColor="text1"/>
              </w:rPr>
            </w:pPr>
          </w:p>
        </w:tc>
        <w:tc>
          <w:tcPr>
            <w:tcW w:w="3732" w:type="dxa"/>
            <w:gridSpan w:val="3"/>
            <w:tcBorders>
              <w:top w:val="single" w:sz="4" w:space="0" w:color="auto"/>
              <w:bottom w:val="single" w:sz="4" w:space="0" w:color="auto"/>
            </w:tcBorders>
          </w:tcPr>
          <w:p w14:paraId="5BED3CEF" w14:textId="77777777" w:rsidR="001A2CB1" w:rsidRPr="00A14EE6" w:rsidRDefault="001A2CB1" w:rsidP="00A55182">
            <w:pPr>
              <w:autoSpaceDE w:val="0"/>
              <w:autoSpaceDN w:val="0"/>
              <w:adjustRightInd w:val="0"/>
              <w:jc w:val="center"/>
              <w:rPr>
                <w:rFonts w:ascii="Times New Roman" w:hAnsi="Times New Roman" w:cs="Times New Roman"/>
                <w:i/>
                <w:iCs/>
                <w:color w:val="000000" w:themeColor="text1"/>
              </w:rPr>
            </w:pPr>
            <w:proofErr w:type="spellStart"/>
            <w:r w:rsidRPr="00A14EE6">
              <w:rPr>
                <w:rFonts w:ascii="Times New Roman" w:hAnsi="Times New Roman" w:cs="Times New Roman"/>
                <w:i/>
                <w:iCs/>
                <w:color w:val="000000" w:themeColor="text1"/>
              </w:rPr>
              <w:t>Chl</w:t>
            </w:r>
            <w:proofErr w:type="spellEnd"/>
            <w:r w:rsidRPr="00A14EE6">
              <w:rPr>
                <w:rFonts w:ascii="Times New Roman" w:hAnsi="Times New Roman" w:cs="Times New Roman"/>
                <w:i/>
                <w:iCs/>
                <w:color w:val="000000" w:themeColor="text1"/>
              </w:rPr>
              <w:t>-a epilimnion</w:t>
            </w:r>
          </w:p>
        </w:tc>
        <w:tc>
          <w:tcPr>
            <w:tcW w:w="233" w:type="dxa"/>
            <w:tcBorders>
              <w:top w:val="nil"/>
              <w:bottom w:val="nil"/>
            </w:tcBorders>
          </w:tcPr>
          <w:p w14:paraId="374770F8"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p>
        </w:tc>
        <w:tc>
          <w:tcPr>
            <w:tcW w:w="1758" w:type="dxa"/>
            <w:tcBorders>
              <w:top w:val="nil"/>
              <w:bottom w:val="nil"/>
            </w:tcBorders>
          </w:tcPr>
          <w:p w14:paraId="4AC5B342"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p>
        </w:tc>
        <w:tc>
          <w:tcPr>
            <w:tcW w:w="1230" w:type="dxa"/>
            <w:tcBorders>
              <w:top w:val="nil"/>
              <w:bottom w:val="nil"/>
            </w:tcBorders>
          </w:tcPr>
          <w:p w14:paraId="1D7ACAAA"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p>
        </w:tc>
        <w:tc>
          <w:tcPr>
            <w:tcW w:w="1206" w:type="dxa"/>
            <w:tcBorders>
              <w:top w:val="nil"/>
              <w:bottom w:val="nil"/>
            </w:tcBorders>
          </w:tcPr>
          <w:p w14:paraId="0ABD8D84"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p>
        </w:tc>
      </w:tr>
      <w:tr w:rsidR="00A14EE6" w:rsidRPr="00A14EE6" w14:paraId="1D5BFF62" w14:textId="77777777" w:rsidTr="00A55182">
        <w:tc>
          <w:tcPr>
            <w:tcW w:w="1831" w:type="dxa"/>
            <w:tcBorders>
              <w:top w:val="nil"/>
              <w:bottom w:val="nil"/>
            </w:tcBorders>
          </w:tcPr>
          <w:p w14:paraId="58D9CB7F" w14:textId="5BD38A26" w:rsidR="001A2CB1" w:rsidRPr="00A14EE6" w:rsidRDefault="001A2CB1" w:rsidP="00A55182">
            <w:pPr>
              <w:autoSpaceDE w:val="0"/>
              <w:autoSpaceDN w:val="0"/>
              <w:adjustRightInd w:val="0"/>
              <w:rPr>
                <w:rFonts w:ascii="Times New Roman" w:hAnsi="Times New Roman" w:cs="Times New Roman"/>
                <w:color w:val="000000" w:themeColor="text1"/>
              </w:rPr>
            </w:pPr>
            <w:r w:rsidRPr="00A14EE6">
              <w:rPr>
                <w:rFonts w:ascii="Times New Roman" w:hAnsi="Times New Roman" w:cs="Times New Roman"/>
                <w:color w:val="000000" w:themeColor="text1"/>
              </w:rPr>
              <w:t>RMSE (</w:t>
            </w:r>
            <w:r w:rsidR="00C42ECB" w:rsidRPr="00A14EE6">
              <w:rPr>
                <w:color w:val="000000" w:themeColor="text1"/>
              </w:rPr>
              <w:t>µ</w:t>
            </w:r>
            <w:r w:rsidRPr="00A14EE6">
              <w:rPr>
                <w:rFonts w:ascii="Times New Roman" w:hAnsi="Times New Roman" w:cs="Times New Roman"/>
                <w:color w:val="000000" w:themeColor="text1"/>
              </w:rPr>
              <w:t>g L</w:t>
            </w:r>
            <w:r w:rsidRPr="00A14EE6">
              <w:rPr>
                <w:rFonts w:ascii="Times New Roman" w:hAnsi="Times New Roman" w:cs="Times New Roman"/>
                <w:color w:val="000000" w:themeColor="text1"/>
                <w:vertAlign w:val="superscript"/>
              </w:rPr>
              <w:t>–1</w:t>
            </w:r>
            <w:r w:rsidRPr="00A14EE6">
              <w:rPr>
                <w:rFonts w:ascii="Times New Roman" w:hAnsi="Times New Roman" w:cs="Times New Roman"/>
                <w:color w:val="000000" w:themeColor="text1"/>
              </w:rPr>
              <w:t>)</w:t>
            </w:r>
          </w:p>
        </w:tc>
        <w:tc>
          <w:tcPr>
            <w:tcW w:w="1296" w:type="dxa"/>
            <w:tcBorders>
              <w:top w:val="single" w:sz="4" w:space="0" w:color="auto"/>
            </w:tcBorders>
          </w:tcPr>
          <w:p w14:paraId="3660B31C"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3.85</w:t>
            </w:r>
          </w:p>
        </w:tc>
        <w:tc>
          <w:tcPr>
            <w:tcW w:w="1230" w:type="dxa"/>
            <w:tcBorders>
              <w:top w:val="single" w:sz="4" w:space="0" w:color="auto"/>
            </w:tcBorders>
          </w:tcPr>
          <w:p w14:paraId="36C40932"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3.32</w:t>
            </w:r>
          </w:p>
        </w:tc>
        <w:tc>
          <w:tcPr>
            <w:tcW w:w="1206" w:type="dxa"/>
            <w:tcBorders>
              <w:top w:val="single" w:sz="4" w:space="0" w:color="auto"/>
            </w:tcBorders>
          </w:tcPr>
          <w:p w14:paraId="19A19CB5"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3.44</w:t>
            </w:r>
          </w:p>
        </w:tc>
        <w:tc>
          <w:tcPr>
            <w:tcW w:w="233" w:type="dxa"/>
            <w:tcBorders>
              <w:top w:val="nil"/>
              <w:bottom w:val="nil"/>
            </w:tcBorders>
          </w:tcPr>
          <w:p w14:paraId="6805818D"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p>
        </w:tc>
        <w:tc>
          <w:tcPr>
            <w:tcW w:w="1758" w:type="dxa"/>
            <w:tcBorders>
              <w:top w:val="nil"/>
              <w:bottom w:val="nil"/>
            </w:tcBorders>
          </w:tcPr>
          <w:p w14:paraId="3647E819"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p>
        </w:tc>
        <w:tc>
          <w:tcPr>
            <w:tcW w:w="1230" w:type="dxa"/>
            <w:tcBorders>
              <w:top w:val="nil"/>
            </w:tcBorders>
          </w:tcPr>
          <w:p w14:paraId="7F9FD3CE"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p>
        </w:tc>
        <w:tc>
          <w:tcPr>
            <w:tcW w:w="1206" w:type="dxa"/>
            <w:tcBorders>
              <w:top w:val="nil"/>
            </w:tcBorders>
          </w:tcPr>
          <w:p w14:paraId="318D860A"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p>
        </w:tc>
      </w:tr>
      <w:tr w:rsidR="00A14EE6" w:rsidRPr="00A14EE6" w14:paraId="60CB4F91" w14:textId="77777777" w:rsidTr="00A55182">
        <w:tc>
          <w:tcPr>
            <w:tcW w:w="1831" w:type="dxa"/>
            <w:tcBorders>
              <w:top w:val="nil"/>
            </w:tcBorders>
          </w:tcPr>
          <w:p w14:paraId="6D610C98" w14:textId="77777777" w:rsidR="001A2CB1" w:rsidRPr="00A14EE6" w:rsidRDefault="001A2CB1" w:rsidP="00A55182">
            <w:pPr>
              <w:autoSpaceDE w:val="0"/>
              <w:autoSpaceDN w:val="0"/>
              <w:adjustRightInd w:val="0"/>
              <w:rPr>
                <w:rFonts w:ascii="Times New Roman" w:hAnsi="Times New Roman" w:cs="Times New Roman"/>
                <w:color w:val="000000" w:themeColor="text1"/>
              </w:rPr>
            </w:pPr>
            <w:r w:rsidRPr="00A14EE6">
              <w:rPr>
                <w:rFonts w:ascii="Times New Roman" w:hAnsi="Times New Roman" w:cs="Times New Roman"/>
                <w:color w:val="000000" w:themeColor="text1"/>
              </w:rPr>
              <w:t>RRMSE</w:t>
            </w:r>
          </w:p>
        </w:tc>
        <w:tc>
          <w:tcPr>
            <w:tcW w:w="1296" w:type="dxa"/>
          </w:tcPr>
          <w:p w14:paraId="3F2D13B0"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0.23</w:t>
            </w:r>
          </w:p>
        </w:tc>
        <w:tc>
          <w:tcPr>
            <w:tcW w:w="1230" w:type="dxa"/>
          </w:tcPr>
          <w:p w14:paraId="3F591324"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0.16</w:t>
            </w:r>
          </w:p>
        </w:tc>
        <w:tc>
          <w:tcPr>
            <w:tcW w:w="1206" w:type="dxa"/>
            <w:tcBorders>
              <w:top w:val="nil"/>
            </w:tcBorders>
          </w:tcPr>
          <w:p w14:paraId="57401B80"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0.16</w:t>
            </w:r>
          </w:p>
        </w:tc>
        <w:tc>
          <w:tcPr>
            <w:tcW w:w="233" w:type="dxa"/>
            <w:tcBorders>
              <w:top w:val="nil"/>
              <w:bottom w:val="nil"/>
            </w:tcBorders>
          </w:tcPr>
          <w:p w14:paraId="516BEC05"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p>
        </w:tc>
        <w:tc>
          <w:tcPr>
            <w:tcW w:w="1758" w:type="dxa"/>
            <w:tcBorders>
              <w:top w:val="nil"/>
            </w:tcBorders>
          </w:tcPr>
          <w:p w14:paraId="344A5296"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p>
        </w:tc>
        <w:tc>
          <w:tcPr>
            <w:tcW w:w="1230" w:type="dxa"/>
          </w:tcPr>
          <w:p w14:paraId="224F0502"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p>
        </w:tc>
        <w:tc>
          <w:tcPr>
            <w:tcW w:w="1206" w:type="dxa"/>
          </w:tcPr>
          <w:p w14:paraId="4C7FE043"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p>
        </w:tc>
      </w:tr>
      <w:tr w:rsidR="00A14EE6" w:rsidRPr="00A14EE6" w14:paraId="35ECF76D" w14:textId="77777777" w:rsidTr="00A55182">
        <w:tc>
          <w:tcPr>
            <w:tcW w:w="1831" w:type="dxa"/>
          </w:tcPr>
          <w:p w14:paraId="72B856B9" w14:textId="74B7025B" w:rsidR="001A2CB1" w:rsidRPr="00A14EE6" w:rsidRDefault="001A2CB1" w:rsidP="00A55182">
            <w:pPr>
              <w:autoSpaceDE w:val="0"/>
              <w:autoSpaceDN w:val="0"/>
              <w:adjustRightInd w:val="0"/>
              <w:rPr>
                <w:rFonts w:ascii="Times New Roman" w:hAnsi="Times New Roman" w:cs="Times New Roman"/>
                <w:color w:val="000000" w:themeColor="text1"/>
              </w:rPr>
            </w:pPr>
            <w:r w:rsidRPr="00A14EE6">
              <w:rPr>
                <w:rFonts w:ascii="Times New Roman" w:hAnsi="Times New Roman" w:cs="Times New Roman"/>
                <w:color w:val="000000" w:themeColor="text1"/>
              </w:rPr>
              <w:t>MAE (</w:t>
            </w:r>
            <w:r w:rsidR="00C42ECB" w:rsidRPr="00A14EE6">
              <w:rPr>
                <w:color w:val="000000" w:themeColor="text1"/>
              </w:rPr>
              <w:t>µ</w:t>
            </w:r>
            <w:r w:rsidRPr="00A14EE6">
              <w:rPr>
                <w:rFonts w:ascii="Times New Roman" w:hAnsi="Times New Roman" w:cs="Times New Roman"/>
                <w:color w:val="000000" w:themeColor="text1"/>
              </w:rPr>
              <w:t>g L</w:t>
            </w:r>
            <w:r w:rsidRPr="00A14EE6">
              <w:rPr>
                <w:rFonts w:ascii="Times New Roman" w:hAnsi="Times New Roman" w:cs="Times New Roman"/>
                <w:color w:val="000000" w:themeColor="text1"/>
                <w:vertAlign w:val="superscript"/>
              </w:rPr>
              <w:t>–1</w:t>
            </w:r>
            <w:r w:rsidRPr="00A14EE6">
              <w:rPr>
                <w:rFonts w:ascii="Times New Roman" w:hAnsi="Times New Roman" w:cs="Times New Roman"/>
                <w:color w:val="000000" w:themeColor="text1"/>
              </w:rPr>
              <w:t>)</w:t>
            </w:r>
          </w:p>
        </w:tc>
        <w:tc>
          <w:tcPr>
            <w:tcW w:w="1296" w:type="dxa"/>
          </w:tcPr>
          <w:p w14:paraId="24E3EA60"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2.88</w:t>
            </w:r>
          </w:p>
        </w:tc>
        <w:tc>
          <w:tcPr>
            <w:tcW w:w="1230" w:type="dxa"/>
          </w:tcPr>
          <w:p w14:paraId="56A31F65"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2.36</w:t>
            </w:r>
          </w:p>
        </w:tc>
        <w:tc>
          <w:tcPr>
            <w:tcW w:w="1206" w:type="dxa"/>
          </w:tcPr>
          <w:p w14:paraId="4AF83A36"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2.56</w:t>
            </w:r>
          </w:p>
        </w:tc>
        <w:tc>
          <w:tcPr>
            <w:tcW w:w="233" w:type="dxa"/>
            <w:tcBorders>
              <w:top w:val="nil"/>
              <w:bottom w:val="nil"/>
            </w:tcBorders>
          </w:tcPr>
          <w:p w14:paraId="2FDDFF43"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p>
        </w:tc>
        <w:tc>
          <w:tcPr>
            <w:tcW w:w="1758" w:type="dxa"/>
          </w:tcPr>
          <w:p w14:paraId="7296786A"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p>
        </w:tc>
        <w:tc>
          <w:tcPr>
            <w:tcW w:w="1230" w:type="dxa"/>
          </w:tcPr>
          <w:p w14:paraId="11967ADD"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p>
        </w:tc>
        <w:tc>
          <w:tcPr>
            <w:tcW w:w="1206" w:type="dxa"/>
          </w:tcPr>
          <w:p w14:paraId="54F4299B"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p>
        </w:tc>
      </w:tr>
      <w:tr w:rsidR="00A14EE6" w:rsidRPr="00A14EE6" w14:paraId="05252D4D" w14:textId="77777777" w:rsidTr="00A55182">
        <w:tc>
          <w:tcPr>
            <w:tcW w:w="1831" w:type="dxa"/>
          </w:tcPr>
          <w:p w14:paraId="5EDCDB73" w14:textId="77777777" w:rsidR="001A2CB1" w:rsidRPr="00A14EE6" w:rsidRDefault="001A2CB1" w:rsidP="00A55182">
            <w:pPr>
              <w:autoSpaceDE w:val="0"/>
              <w:autoSpaceDN w:val="0"/>
              <w:adjustRightInd w:val="0"/>
              <w:rPr>
                <w:rFonts w:ascii="Times New Roman" w:hAnsi="Times New Roman" w:cs="Times New Roman"/>
                <w:color w:val="000000" w:themeColor="text1"/>
              </w:rPr>
            </w:pPr>
            <w:r w:rsidRPr="00A14EE6">
              <w:rPr>
                <w:rFonts w:ascii="Times New Roman" w:hAnsi="Times New Roman" w:cs="Times New Roman"/>
                <w:color w:val="000000" w:themeColor="text1"/>
              </w:rPr>
              <w:t>NMAE</w:t>
            </w:r>
          </w:p>
        </w:tc>
        <w:tc>
          <w:tcPr>
            <w:tcW w:w="1296" w:type="dxa"/>
          </w:tcPr>
          <w:p w14:paraId="59DBB639"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0.80</w:t>
            </w:r>
          </w:p>
        </w:tc>
        <w:tc>
          <w:tcPr>
            <w:tcW w:w="1230" w:type="dxa"/>
          </w:tcPr>
          <w:p w14:paraId="5CEA94AD"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0.78</w:t>
            </w:r>
          </w:p>
        </w:tc>
        <w:tc>
          <w:tcPr>
            <w:tcW w:w="1206" w:type="dxa"/>
          </w:tcPr>
          <w:p w14:paraId="2E56A73C"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0.78</w:t>
            </w:r>
          </w:p>
        </w:tc>
        <w:tc>
          <w:tcPr>
            <w:tcW w:w="233" w:type="dxa"/>
            <w:tcBorders>
              <w:top w:val="nil"/>
              <w:bottom w:val="nil"/>
            </w:tcBorders>
          </w:tcPr>
          <w:p w14:paraId="4D5A8256" w14:textId="77777777" w:rsidR="001A2CB1" w:rsidRPr="00A14EE6" w:rsidRDefault="001A2CB1" w:rsidP="00A55182">
            <w:pPr>
              <w:autoSpaceDE w:val="0"/>
              <w:autoSpaceDN w:val="0"/>
              <w:adjustRightInd w:val="0"/>
              <w:rPr>
                <w:rFonts w:ascii="Times New Roman" w:hAnsi="Times New Roman" w:cs="Times New Roman"/>
                <w:color w:val="000000" w:themeColor="text1"/>
              </w:rPr>
            </w:pPr>
          </w:p>
        </w:tc>
        <w:tc>
          <w:tcPr>
            <w:tcW w:w="1758" w:type="dxa"/>
          </w:tcPr>
          <w:p w14:paraId="2446F968" w14:textId="77777777" w:rsidR="001A2CB1" w:rsidRPr="00A14EE6" w:rsidRDefault="001A2CB1" w:rsidP="00A55182">
            <w:pPr>
              <w:autoSpaceDE w:val="0"/>
              <w:autoSpaceDN w:val="0"/>
              <w:adjustRightInd w:val="0"/>
              <w:rPr>
                <w:rFonts w:ascii="Times New Roman" w:hAnsi="Times New Roman" w:cs="Times New Roman"/>
                <w:color w:val="000000" w:themeColor="text1"/>
              </w:rPr>
            </w:pPr>
          </w:p>
        </w:tc>
        <w:tc>
          <w:tcPr>
            <w:tcW w:w="1230" w:type="dxa"/>
          </w:tcPr>
          <w:p w14:paraId="51DACE4A" w14:textId="77777777" w:rsidR="001A2CB1" w:rsidRPr="00A14EE6" w:rsidRDefault="001A2CB1" w:rsidP="00A55182">
            <w:pPr>
              <w:autoSpaceDE w:val="0"/>
              <w:autoSpaceDN w:val="0"/>
              <w:adjustRightInd w:val="0"/>
              <w:rPr>
                <w:rFonts w:ascii="Times New Roman" w:hAnsi="Times New Roman" w:cs="Times New Roman"/>
                <w:color w:val="000000" w:themeColor="text1"/>
              </w:rPr>
            </w:pPr>
          </w:p>
        </w:tc>
        <w:tc>
          <w:tcPr>
            <w:tcW w:w="1206" w:type="dxa"/>
          </w:tcPr>
          <w:p w14:paraId="5228DFF9" w14:textId="77777777" w:rsidR="001A2CB1" w:rsidRPr="00A14EE6" w:rsidRDefault="001A2CB1" w:rsidP="00A55182">
            <w:pPr>
              <w:autoSpaceDE w:val="0"/>
              <w:autoSpaceDN w:val="0"/>
              <w:adjustRightInd w:val="0"/>
              <w:rPr>
                <w:rFonts w:ascii="Times New Roman" w:hAnsi="Times New Roman" w:cs="Times New Roman"/>
                <w:color w:val="000000" w:themeColor="text1"/>
              </w:rPr>
            </w:pPr>
          </w:p>
        </w:tc>
      </w:tr>
      <w:tr w:rsidR="00A14EE6" w:rsidRPr="00A14EE6" w14:paraId="73130697" w14:textId="77777777" w:rsidTr="00A55182">
        <w:tc>
          <w:tcPr>
            <w:tcW w:w="1831" w:type="dxa"/>
          </w:tcPr>
          <w:p w14:paraId="7E478E47" w14:textId="77777777" w:rsidR="001A2CB1" w:rsidRPr="00A14EE6" w:rsidRDefault="001A2CB1" w:rsidP="00A55182">
            <w:pPr>
              <w:autoSpaceDE w:val="0"/>
              <w:autoSpaceDN w:val="0"/>
              <w:adjustRightInd w:val="0"/>
              <w:rPr>
                <w:rFonts w:ascii="Times New Roman" w:hAnsi="Times New Roman" w:cs="Times New Roman"/>
                <w:color w:val="000000" w:themeColor="text1"/>
              </w:rPr>
            </w:pPr>
            <w:r w:rsidRPr="00A14EE6">
              <w:rPr>
                <w:rFonts w:ascii="Times New Roman" w:hAnsi="Times New Roman" w:cs="Times New Roman"/>
                <w:color w:val="000000" w:themeColor="text1"/>
              </w:rPr>
              <w:t>R</w:t>
            </w:r>
            <w:r w:rsidRPr="00A14EE6">
              <w:rPr>
                <w:rFonts w:ascii="Times New Roman" w:hAnsi="Times New Roman" w:cs="Times New Roman"/>
                <w:color w:val="000000" w:themeColor="text1"/>
                <w:vertAlign w:val="superscript"/>
              </w:rPr>
              <w:t>2</w:t>
            </w:r>
          </w:p>
        </w:tc>
        <w:tc>
          <w:tcPr>
            <w:tcW w:w="1296" w:type="dxa"/>
          </w:tcPr>
          <w:p w14:paraId="1A2A398C"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0.02</w:t>
            </w:r>
          </w:p>
        </w:tc>
        <w:tc>
          <w:tcPr>
            <w:tcW w:w="1230" w:type="dxa"/>
          </w:tcPr>
          <w:p w14:paraId="60EE7E28"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0.08</w:t>
            </w:r>
          </w:p>
        </w:tc>
        <w:tc>
          <w:tcPr>
            <w:tcW w:w="1206" w:type="dxa"/>
          </w:tcPr>
          <w:p w14:paraId="386ABD9E"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0.06</w:t>
            </w:r>
          </w:p>
        </w:tc>
        <w:tc>
          <w:tcPr>
            <w:tcW w:w="233" w:type="dxa"/>
            <w:tcBorders>
              <w:top w:val="nil"/>
              <w:bottom w:val="nil"/>
            </w:tcBorders>
          </w:tcPr>
          <w:p w14:paraId="71F91E40" w14:textId="77777777" w:rsidR="001A2CB1" w:rsidRPr="00A14EE6" w:rsidRDefault="001A2CB1" w:rsidP="00A55182">
            <w:pPr>
              <w:autoSpaceDE w:val="0"/>
              <w:autoSpaceDN w:val="0"/>
              <w:adjustRightInd w:val="0"/>
              <w:rPr>
                <w:rFonts w:ascii="Times New Roman" w:hAnsi="Times New Roman" w:cs="Times New Roman"/>
                <w:color w:val="000000" w:themeColor="text1"/>
              </w:rPr>
            </w:pPr>
          </w:p>
        </w:tc>
        <w:tc>
          <w:tcPr>
            <w:tcW w:w="1758" w:type="dxa"/>
          </w:tcPr>
          <w:p w14:paraId="7D0A84DE" w14:textId="77777777" w:rsidR="001A2CB1" w:rsidRPr="00A14EE6" w:rsidRDefault="001A2CB1" w:rsidP="00A55182">
            <w:pPr>
              <w:autoSpaceDE w:val="0"/>
              <w:autoSpaceDN w:val="0"/>
              <w:adjustRightInd w:val="0"/>
              <w:rPr>
                <w:rFonts w:ascii="Times New Roman" w:hAnsi="Times New Roman" w:cs="Times New Roman"/>
                <w:color w:val="000000" w:themeColor="text1"/>
              </w:rPr>
            </w:pPr>
          </w:p>
        </w:tc>
        <w:tc>
          <w:tcPr>
            <w:tcW w:w="1230" w:type="dxa"/>
          </w:tcPr>
          <w:p w14:paraId="17983029" w14:textId="77777777" w:rsidR="001A2CB1" w:rsidRPr="00A14EE6" w:rsidRDefault="001A2CB1" w:rsidP="00A55182">
            <w:pPr>
              <w:autoSpaceDE w:val="0"/>
              <w:autoSpaceDN w:val="0"/>
              <w:adjustRightInd w:val="0"/>
              <w:rPr>
                <w:rFonts w:ascii="Times New Roman" w:hAnsi="Times New Roman" w:cs="Times New Roman"/>
                <w:color w:val="000000" w:themeColor="text1"/>
              </w:rPr>
            </w:pPr>
          </w:p>
        </w:tc>
        <w:tc>
          <w:tcPr>
            <w:tcW w:w="1206" w:type="dxa"/>
          </w:tcPr>
          <w:p w14:paraId="447C63F2" w14:textId="77777777" w:rsidR="001A2CB1" w:rsidRPr="00A14EE6" w:rsidRDefault="001A2CB1" w:rsidP="00A55182">
            <w:pPr>
              <w:autoSpaceDE w:val="0"/>
              <w:autoSpaceDN w:val="0"/>
              <w:adjustRightInd w:val="0"/>
              <w:rPr>
                <w:rFonts w:ascii="Times New Roman" w:hAnsi="Times New Roman" w:cs="Times New Roman"/>
                <w:color w:val="000000" w:themeColor="text1"/>
              </w:rPr>
            </w:pPr>
          </w:p>
        </w:tc>
      </w:tr>
      <w:tr w:rsidR="00A14EE6" w:rsidRPr="00A14EE6" w14:paraId="7296C5FB" w14:textId="77777777" w:rsidTr="00A55182">
        <w:tc>
          <w:tcPr>
            <w:tcW w:w="1831" w:type="dxa"/>
          </w:tcPr>
          <w:p w14:paraId="3BF0BA3A" w14:textId="3B88FF5B" w:rsidR="001A2CB1" w:rsidRPr="00A14EE6" w:rsidRDefault="001A2CB1" w:rsidP="00A55182">
            <w:pPr>
              <w:autoSpaceDE w:val="0"/>
              <w:autoSpaceDN w:val="0"/>
              <w:adjustRightInd w:val="0"/>
              <w:rPr>
                <w:rFonts w:ascii="Times New Roman" w:hAnsi="Times New Roman" w:cs="Times New Roman"/>
                <w:color w:val="000000" w:themeColor="text1"/>
              </w:rPr>
            </w:pPr>
            <w:r w:rsidRPr="00A14EE6">
              <w:rPr>
                <w:rFonts w:ascii="Times New Roman" w:hAnsi="Times New Roman" w:cs="Times New Roman"/>
                <w:color w:val="000000" w:themeColor="text1"/>
              </w:rPr>
              <w:t>Bias (</w:t>
            </w:r>
            <w:r w:rsidR="00C42ECB" w:rsidRPr="00A14EE6">
              <w:rPr>
                <w:color w:val="000000" w:themeColor="text1"/>
              </w:rPr>
              <w:t>µ</w:t>
            </w:r>
            <w:r w:rsidRPr="00A14EE6">
              <w:rPr>
                <w:rFonts w:ascii="Times New Roman" w:hAnsi="Times New Roman" w:cs="Times New Roman"/>
                <w:color w:val="000000" w:themeColor="text1"/>
              </w:rPr>
              <w:t>g L</w:t>
            </w:r>
            <w:r w:rsidRPr="00A14EE6">
              <w:rPr>
                <w:rFonts w:ascii="Times New Roman" w:hAnsi="Times New Roman" w:cs="Times New Roman"/>
                <w:color w:val="000000" w:themeColor="text1"/>
                <w:vertAlign w:val="superscript"/>
              </w:rPr>
              <w:t>–1</w:t>
            </w:r>
            <w:r w:rsidRPr="00A14EE6">
              <w:rPr>
                <w:rFonts w:ascii="Times New Roman" w:hAnsi="Times New Roman" w:cs="Times New Roman"/>
                <w:color w:val="000000" w:themeColor="text1"/>
              </w:rPr>
              <w:t>)</w:t>
            </w:r>
          </w:p>
        </w:tc>
        <w:tc>
          <w:tcPr>
            <w:tcW w:w="1296" w:type="dxa"/>
          </w:tcPr>
          <w:p w14:paraId="1D252827"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-0.36</w:t>
            </w:r>
          </w:p>
        </w:tc>
        <w:tc>
          <w:tcPr>
            <w:tcW w:w="1230" w:type="dxa"/>
          </w:tcPr>
          <w:p w14:paraId="358214EB"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-0.21</w:t>
            </w:r>
          </w:p>
        </w:tc>
        <w:tc>
          <w:tcPr>
            <w:tcW w:w="1206" w:type="dxa"/>
          </w:tcPr>
          <w:p w14:paraId="5A69506A"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-0.11</w:t>
            </w:r>
          </w:p>
        </w:tc>
        <w:tc>
          <w:tcPr>
            <w:tcW w:w="233" w:type="dxa"/>
            <w:tcBorders>
              <w:top w:val="nil"/>
              <w:bottom w:val="nil"/>
            </w:tcBorders>
          </w:tcPr>
          <w:p w14:paraId="153ED292" w14:textId="77777777" w:rsidR="001A2CB1" w:rsidRPr="00A14EE6" w:rsidRDefault="001A2CB1" w:rsidP="00A55182">
            <w:pPr>
              <w:autoSpaceDE w:val="0"/>
              <w:autoSpaceDN w:val="0"/>
              <w:adjustRightInd w:val="0"/>
              <w:rPr>
                <w:rFonts w:ascii="Times New Roman" w:hAnsi="Times New Roman" w:cs="Times New Roman"/>
                <w:color w:val="000000" w:themeColor="text1"/>
              </w:rPr>
            </w:pPr>
          </w:p>
        </w:tc>
        <w:tc>
          <w:tcPr>
            <w:tcW w:w="1758" w:type="dxa"/>
          </w:tcPr>
          <w:p w14:paraId="2620D946" w14:textId="77777777" w:rsidR="001A2CB1" w:rsidRPr="00A14EE6" w:rsidRDefault="001A2CB1" w:rsidP="00A55182">
            <w:pPr>
              <w:autoSpaceDE w:val="0"/>
              <w:autoSpaceDN w:val="0"/>
              <w:adjustRightInd w:val="0"/>
              <w:rPr>
                <w:rFonts w:ascii="Times New Roman" w:hAnsi="Times New Roman" w:cs="Times New Roman"/>
                <w:color w:val="000000" w:themeColor="text1"/>
              </w:rPr>
            </w:pPr>
          </w:p>
        </w:tc>
        <w:tc>
          <w:tcPr>
            <w:tcW w:w="1230" w:type="dxa"/>
          </w:tcPr>
          <w:p w14:paraId="553C08AD" w14:textId="77777777" w:rsidR="001A2CB1" w:rsidRPr="00A14EE6" w:rsidRDefault="001A2CB1" w:rsidP="00A55182">
            <w:pPr>
              <w:autoSpaceDE w:val="0"/>
              <w:autoSpaceDN w:val="0"/>
              <w:adjustRightInd w:val="0"/>
              <w:rPr>
                <w:rFonts w:ascii="Times New Roman" w:hAnsi="Times New Roman" w:cs="Times New Roman"/>
                <w:color w:val="000000" w:themeColor="text1"/>
              </w:rPr>
            </w:pPr>
          </w:p>
        </w:tc>
        <w:tc>
          <w:tcPr>
            <w:tcW w:w="1206" w:type="dxa"/>
          </w:tcPr>
          <w:p w14:paraId="7B25C22A" w14:textId="77777777" w:rsidR="001A2CB1" w:rsidRPr="00A14EE6" w:rsidRDefault="001A2CB1" w:rsidP="00A55182">
            <w:pPr>
              <w:autoSpaceDE w:val="0"/>
              <w:autoSpaceDN w:val="0"/>
              <w:adjustRightInd w:val="0"/>
              <w:rPr>
                <w:rFonts w:ascii="Times New Roman" w:hAnsi="Times New Roman" w:cs="Times New Roman"/>
                <w:color w:val="000000" w:themeColor="text1"/>
              </w:rPr>
            </w:pPr>
          </w:p>
        </w:tc>
      </w:tr>
      <w:tr w:rsidR="00A14EE6" w:rsidRPr="00A14EE6" w14:paraId="785E9EE1" w14:textId="77777777" w:rsidTr="00A55182">
        <w:tc>
          <w:tcPr>
            <w:tcW w:w="1831" w:type="dxa"/>
          </w:tcPr>
          <w:p w14:paraId="1D3630C9" w14:textId="77777777" w:rsidR="001A2CB1" w:rsidRPr="00A14EE6" w:rsidRDefault="001A2CB1" w:rsidP="00A55182">
            <w:pPr>
              <w:autoSpaceDE w:val="0"/>
              <w:autoSpaceDN w:val="0"/>
              <w:adjustRightInd w:val="0"/>
              <w:rPr>
                <w:rFonts w:ascii="Times New Roman" w:hAnsi="Times New Roman" w:cs="Times New Roman"/>
                <w:color w:val="000000" w:themeColor="text1"/>
              </w:rPr>
            </w:pPr>
            <w:r w:rsidRPr="00A14EE6">
              <w:rPr>
                <w:rFonts w:ascii="Times New Roman" w:hAnsi="Times New Roman" w:cs="Times New Roman"/>
                <w:color w:val="000000" w:themeColor="text1"/>
              </w:rPr>
              <w:t>NSE</w:t>
            </w:r>
          </w:p>
        </w:tc>
        <w:tc>
          <w:tcPr>
            <w:tcW w:w="1296" w:type="dxa"/>
          </w:tcPr>
          <w:p w14:paraId="42FA5993"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-0.30</w:t>
            </w:r>
          </w:p>
        </w:tc>
        <w:tc>
          <w:tcPr>
            <w:tcW w:w="1230" w:type="dxa"/>
          </w:tcPr>
          <w:p w14:paraId="194B2BFB"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-0.22</w:t>
            </w:r>
          </w:p>
        </w:tc>
        <w:tc>
          <w:tcPr>
            <w:tcW w:w="1206" w:type="dxa"/>
          </w:tcPr>
          <w:p w14:paraId="73E2EBE9" w14:textId="77777777" w:rsidR="001A2CB1" w:rsidRPr="00A14EE6" w:rsidRDefault="001A2CB1" w:rsidP="00A55182">
            <w:pPr>
              <w:autoSpaceDE w:val="0"/>
              <w:autoSpaceDN w:val="0"/>
              <w:adjustRightInd w:val="0"/>
              <w:jc w:val="center"/>
              <w:rPr>
                <w:rFonts w:ascii="Times New Roman" w:hAnsi="Times New Roman" w:cs="Times New Roman"/>
                <w:color w:val="000000" w:themeColor="text1"/>
              </w:rPr>
            </w:pPr>
            <w:r w:rsidRPr="00A14EE6">
              <w:rPr>
                <w:rFonts w:ascii="Times New Roman" w:hAnsi="Times New Roman" w:cs="Times New Roman"/>
                <w:color w:val="000000" w:themeColor="text1"/>
              </w:rPr>
              <w:t>-0.41</w:t>
            </w:r>
          </w:p>
        </w:tc>
        <w:tc>
          <w:tcPr>
            <w:tcW w:w="233" w:type="dxa"/>
            <w:tcBorders>
              <w:top w:val="nil"/>
            </w:tcBorders>
          </w:tcPr>
          <w:p w14:paraId="63813E88" w14:textId="77777777" w:rsidR="001A2CB1" w:rsidRPr="00A14EE6" w:rsidRDefault="001A2CB1" w:rsidP="00A55182">
            <w:pPr>
              <w:autoSpaceDE w:val="0"/>
              <w:autoSpaceDN w:val="0"/>
              <w:adjustRightInd w:val="0"/>
              <w:rPr>
                <w:rFonts w:ascii="Times New Roman" w:hAnsi="Times New Roman" w:cs="Times New Roman"/>
                <w:color w:val="000000" w:themeColor="text1"/>
              </w:rPr>
            </w:pPr>
          </w:p>
        </w:tc>
        <w:tc>
          <w:tcPr>
            <w:tcW w:w="1758" w:type="dxa"/>
          </w:tcPr>
          <w:p w14:paraId="7048CF08" w14:textId="77777777" w:rsidR="001A2CB1" w:rsidRPr="00A14EE6" w:rsidRDefault="001A2CB1" w:rsidP="00A55182">
            <w:pPr>
              <w:autoSpaceDE w:val="0"/>
              <w:autoSpaceDN w:val="0"/>
              <w:adjustRightInd w:val="0"/>
              <w:rPr>
                <w:rFonts w:ascii="Times New Roman" w:hAnsi="Times New Roman" w:cs="Times New Roman"/>
                <w:color w:val="000000" w:themeColor="text1"/>
              </w:rPr>
            </w:pPr>
          </w:p>
        </w:tc>
        <w:tc>
          <w:tcPr>
            <w:tcW w:w="1230" w:type="dxa"/>
          </w:tcPr>
          <w:p w14:paraId="343B47C3" w14:textId="77777777" w:rsidR="001A2CB1" w:rsidRPr="00A14EE6" w:rsidRDefault="001A2CB1" w:rsidP="00A55182">
            <w:pPr>
              <w:autoSpaceDE w:val="0"/>
              <w:autoSpaceDN w:val="0"/>
              <w:adjustRightInd w:val="0"/>
              <w:rPr>
                <w:rFonts w:ascii="Times New Roman" w:hAnsi="Times New Roman" w:cs="Times New Roman"/>
                <w:color w:val="000000" w:themeColor="text1"/>
              </w:rPr>
            </w:pPr>
          </w:p>
        </w:tc>
        <w:tc>
          <w:tcPr>
            <w:tcW w:w="1206" w:type="dxa"/>
          </w:tcPr>
          <w:p w14:paraId="613CE65E" w14:textId="77777777" w:rsidR="001A2CB1" w:rsidRPr="00A14EE6" w:rsidRDefault="001A2CB1" w:rsidP="00A55182">
            <w:pPr>
              <w:autoSpaceDE w:val="0"/>
              <w:autoSpaceDN w:val="0"/>
              <w:adjustRightInd w:val="0"/>
              <w:rPr>
                <w:rFonts w:ascii="Times New Roman" w:hAnsi="Times New Roman" w:cs="Times New Roman"/>
                <w:color w:val="000000" w:themeColor="text1"/>
              </w:rPr>
            </w:pPr>
          </w:p>
        </w:tc>
      </w:tr>
    </w:tbl>
    <w:p w14:paraId="61020BCE" w14:textId="77777777" w:rsidR="001A2CB1" w:rsidRPr="00A14EE6" w:rsidRDefault="001A2CB1" w:rsidP="001A2CB1">
      <w:pPr>
        <w:pStyle w:val="NormalWeb"/>
        <w:spacing w:before="0" w:beforeAutospacing="0" w:after="240" w:afterAutospacing="0" w:line="360" w:lineRule="auto"/>
        <w:jc w:val="both"/>
        <w:rPr>
          <w:color w:val="000000" w:themeColor="text1"/>
        </w:rPr>
      </w:pPr>
    </w:p>
    <w:p w14:paraId="268BD799" w14:textId="77777777" w:rsidR="001A2CB1" w:rsidRPr="00A14EE6" w:rsidRDefault="001A2CB1" w:rsidP="001A2CB1">
      <w:pPr>
        <w:pStyle w:val="NormalWeb"/>
        <w:rPr>
          <w:color w:val="000000" w:themeColor="text1"/>
        </w:rPr>
      </w:pPr>
      <w:r w:rsidRPr="00A14EE6">
        <w:rPr>
          <w:noProof/>
          <w:color w:val="000000" w:themeColor="text1"/>
        </w:rPr>
        <w:lastRenderedPageBreak/>
        <w:drawing>
          <wp:inline distT="0" distB="0" distL="0" distR="0" wp14:anchorId="4C56FEAC" wp14:editId="4074F469">
            <wp:extent cx="6473952" cy="2878004"/>
            <wp:effectExtent l="12700" t="12700" r="15875" b="17780"/>
            <wp:docPr id="18766933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6693321" name=""/>
                    <pic:cNvPicPr/>
                  </pic:nvPicPr>
                  <pic:blipFill>
                    <a:blip r:embed="rId13"/>
                    <a:stretch>
                      <a:fillRect/>
                    </a:stretch>
                  </pic:blipFill>
                  <pic:spPr>
                    <a:xfrm>
                      <a:off x="0" y="0"/>
                      <a:ext cx="6473952" cy="2878004"/>
                    </a:xfrm>
                    <a:prstGeom prst="rect">
                      <a:avLst/>
                    </a:prstGeom>
                    <a:ln w="6350">
                      <a:solidFill>
                        <a:schemeClr val="tx1"/>
                      </a:solidFill>
                    </a:ln>
                  </pic:spPr>
                </pic:pic>
              </a:graphicData>
            </a:graphic>
          </wp:inline>
        </w:drawing>
      </w:r>
    </w:p>
    <w:p w14:paraId="5DDAC26D" w14:textId="20B7FD80" w:rsidR="001A2CB1" w:rsidRPr="00A14EE6" w:rsidRDefault="001A2CB1" w:rsidP="001A2CB1">
      <w:pPr>
        <w:pStyle w:val="NormalWeb"/>
        <w:spacing w:line="360" w:lineRule="auto"/>
        <w:jc w:val="both"/>
        <w:rPr>
          <w:b/>
          <w:bCs/>
          <w:color w:val="000000" w:themeColor="text1"/>
        </w:rPr>
      </w:pPr>
      <w:r w:rsidRPr="00A14EE6">
        <w:rPr>
          <w:b/>
          <w:bCs/>
          <w:color w:val="000000" w:themeColor="text1"/>
        </w:rPr>
        <w:t>Fig. S</w:t>
      </w:r>
      <w:r w:rsidR="00B2418E" w:rsidRPr="00A14EE6">
        <w:rPr>
          <w:b/>
          <w:bCs/>
          <w:color w:val="000000" w:themeColor="text1"/>
        </w:rPr>
        <w:t>4</w:t>
      </w:r>
      <w:r w:rsidRPr="00A14EE6">
        <w:rPr>
          <w:b/>
          <w:bCs/>
          <w:color w:val="000000" w:themeColor="text1"/>
        </w:rPr>
        <w:t xml:space="preserve"> | Focal state variables in depth-averaged epilimnion (0–30 m depth) and deep hypolimnion (270–300 m depth) modelled by GLM-AED2 in blue line and field measurements in red dots from the complete period of available data (1957–2020).</w:t>
      </w:r>
    </w:p>
    <w:p w14:paraId="2C61B221" w14:textId="57D7BA7D" w:rsidR="001A2CB1" w:rsidRPr="00A14EE6" w:rsidRDefault="001A2CB1" w:rsidP="001A2CB1">
      <w:pPr>
        <w:pStyle w:val="NormalWeb"/>
        <w:spacing w:before="0" w:beforeAutospacing="0" w:after="240" w:afterAutospacing="0" w:line="360" w:lineRule="auto"/>
        <w:ind w:firstLine="640"/>
        <w:jc w:val="both"/>
        <w:rPr>
          <w:color w:val="000000" w:themeColor="text1"/>
        </w:rPr>
      </w:pPr>
      <w:r w:rsidRPr="00A14EE6">
        <w:rPr>
          <w:color w:val="000000" w:themeColor="text1"/>
        </w:rPr>
        <w:t>The model errors in this study were relatively high compared to other studies that performed short-term simulations. The reason for this result is that many of the former model studies has covered shorter time scales</w:t>
      </w:r>
      <w:sdt>
        <w:sdtPr>
          <w:rPr>
            <w:color w:val="000000"/>
            <w:vertAlign w:val="superscript"/>
          </w:rPr>
          <w:tag w:val="MENDELEY_CITATION_v3_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"/>
          <w:id w:val="1720938433"/>
          <w:placeholder>
            <w:docPart w:val="DefaultPlaceholder_-1854013440"/>
          </w:placeholder>
        </w:sdtPr>
        <w:sdtContent>
          <w:r w:rsidR="008E32A9" w:rsidRPr="008E32A9">
            <w:rPr>
              <w:color w:val="000000"/>
              <w:vertAlign w:val="superscript"/>
            </w:rPr>
            <w:t>17</w:t>
          </w:r>
        </w:sdtContent>
      </w:sdt>
      <w:r w:rsidRPr="00A14EE6">
        <w:rPr>
          <w:color w:val="000000" w:themeColor="text1"/>
        </w:rPr>
        <w:t xml:space="preserve"> and systems that have not undergone such high nutrient variability (TP from 10 to 90 </w:t>
      </w:r>
      <w:r w:rsidR="00C42ECB" w:rsidRPr="00A14EE6">
        <w:rPr>
          <w:color w:val="000000" w:themeColor="text1"/>
        </w:rPr>
        <w:t>µ</w:t>
      </w:r>
      <w:r w:rsidRPr="00A14EE6">
        <w:rPr>
          <w:color w:val="000000" w:themeColor="text1"/>
        </w:rPr>
        <w:t>g L</w:t>
      </w:r>
      <w:r w:rsidRPr="00A14EE6">
        <w:rPr>
          <w:color w:val="000000" w:themeColor="text1"/>
          <w:vertAlign w:val="superscript"/>
        </w:rPr>
        <w:t>–1</w:t>
      </w:r>
      <w:r w:rsidRPr="00A14EE6">
        <w:rPr>
          <w:color w:val="000000" w:themeColor="text1"/>
        </w:rPr>
        <w:t>), which somewhat eases the ability to capture ecosystem dynamics. We can conclude that our simplified approach resulted in the inability of the model to fully capture short-term processes accurately. As the selection of performance metrics is highly dependent on the model's purpose, in this case, the traditional commonly applied metrics for short-term model performance assessment are considered unsuited for evaluating the ability of the model to capture long-term processes. In this manner, a complimentary analysis was implemented to quantitatively assess the model performance in replicating DO dynamics in the deep hypolimnion at long-term scales, the focus of the present study.</w:t>
      </w:r>
    </w:p>
    <w:p w14:paraId="3AFB705C" w14:textId="42DBF0A5" w:rsidR="001A2CB1" w:rsidRPr="00A14EE6" w:rsidRDefault="001A2CB1" w:rsidP="001A2CB1">
      <w:pPr>
        <w:pStyle w:val="NormalWeb"/>
        <w:spacing w:before="0" w:beforeAutospacing="0" w:after="240" w:afterAutospacing="0" w:line="360" w:lineRule="auto"/>
        <w:ind w:firstLine="640"/>
        <w:jc w:val="both"/>
        <w:rPr>
          <w:color w:val="000000" w:themeColor="text1"/>
        </w:rPr>
      </w:pPr>
      <w:r w:rsidRPr="00A14EE6">
        <w:rPr>
          <w:color w:val="000000" w:themeColor="text1"/>
        </w:rPr>
        <w:t xml:space="preserve">Cumulative distribution functions (CDF) of model concentrations and field measurements were assessed to describe the distribution of oxygen concentration in the deep hypolimnion, indicating a good agreement of the frequency of occurrence of a certain concentration value </w:t>
      </w:r>
      <w:r w:rsidR="008E32A9">
        <w:rPr>
          <w:color w:val="000000" w:themeColor="text1"/>
        </w:rPr>
        <w:br/>
      </w:r>
      <w:r w:rsidRPr="00A14EE6">
        <w:rPr>
          <w:color w:val="000000" w:themeColor="text1"/>
        </w:rPr>
        <w:t>(Fig. S</w:t>
      </w:r>
      <w:r w:rsidR="00C6405E" w:rsidRPr="00A14EE6">
        <w:rPr>
          <w:color w:val="000000" w:themeColor="text1"/>
        </w:rPr>
        <w:t>5</w:t>
      </w:r>
      <w:r w:rsidRPr="00A14EE6">
        <w:rPr>
          <w:color w:val="000000" w:themeColor="text1"/>
        </w:rPr>
        <w:t xml:space="preserve">a). In addition, interpolated simulated and observed quantiles reveal a coefficient of </w:t>
      </w:r>
      <w:r w:rsidRPr="00A14EE6">
        <w:rPr>
          <w:color w:val="000000" w:themeColor="text1"/>
        </w:rPr>
        <w:lastRenderedPageBreak/>
        <w:t>determination as high as 0.993 (Fig S</w:t>
      </w:r>
      <w:r w:rsidR="00C6405E" w:rsidRPr="00A14EE6">
        <w:rPr>
          <w:color w:val="000000" w:themeColor="text1"/>
        </w:rPr>
        <w:t>5</w:t>
      </w:r>
      <w:r w:rsidRPr="00A14EE6">
        <w:rPr>
          <w:color w:val="000000" w:themeColor="text1"/>
        </w:rPr>
        <w:t xml:space="preserve">b). Those results corroborate the understanding that, although the model is not suitable for representing </w:t>
      </w:r>
      <w:r w:rsidR="00B61AA4" w:rsidRPr="00A14EE6">
        <w:rPr>
          <w:color w:val="000000" w:themeColor="text1"/>
        </w:rPr>
        <w:t xml:space="preserve">certain </w:t>
      </w:r>
      <w:r w:rsidRPr="00A14EE6">
        <w:rPr>
          <w:color w:val="000000" w:themeColor="text1"/>
        </w:rPr>
        <w:t>short-term processes, the model performance is acceptable for representing processes at the decadal scale. For instance, the model correct</w:t>
      </w:r>
      <w:r w:rsidR="00313819" w:rsidRPr="00A14EE6">
        <w:rPr>
          <w:color w:val="000000" w:themeColor="text1"/>
        </w:rPr>
        <w:t>ly</w:t>
      </w:r>
      <w:r w:rsidRPr="00A14EE6">
        <w:rPr>
          <w:color w:val="000000" w:themeColor="text1"/>
        </w:rPr>
        <w:t xml:space="preserve"> predicted reoccurring long-term patterns of dissolved oxygen in the bottom of the lake, such as the decadal DO replenishment after complete mixing events followed by consumption under well-established thermal stratification (Fig. S</w:t>
      </w:r>
      <w:r w:rsidR="00C6405E" w:rsidRPr="00A14EE6">
        <w:rPr>
          <w:color w:val="000000" w:themeColor="text1"/>
        </w:rPr>
        <w:t>6</w:t>
      </w:r>
      <w:r w:rsidRPr="00A14EE6">
        <w:rPr>
          <w:color w:val="000000" w:themeColor="text1"/>
        </w:rPr>
        <w:t>).</w:t>
      </w:r>
    </w:p>
    <w:p w14:paraId="5B124120" w14:textId="77777777" w:rsidR="001A2CB1" w:rsidRPr="00A14EE6" w:rsidRDefault="001A2CB1" w:rsidP="001A2CB1">
      <w:pPr>
        <w:pStyle w:val="NormalWeb"/>
        <w:spacing w:before="0" w:beforeAutospacing="0" w:after="240" w:afterAutospacing="0" w:line="360" w:lineRule="auto"/>
        <w:jc w:val="both"/>
        <w:rPr>
          <w:color w:val="000000" w:themeColor="text1"/>
        </w:rPr>
      </w:pPr>
      <w:r w:rsidRPr="00A14EE6">
        <w:rPr>
          <w:noProof/>
          <w:color w:val="000000" w:themeColor="text1"/>
        </w:rPr>
        <w:drawing>
          <wp:inline distT="0" distB="0" distL="0" distR="0" wp14:anchorId="61D13782" wp14:editId="324B6E7D">
            <wp:extent cx="6473952" cy="2927803"/>
            <wp:effectExtent l="12700" t="12700" r="15875" b="19050"/>
            <wp:docPr id="8361136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113618" name=""/>
                    <pic:cNvPicPr/>
                  </pic:nvPicPr>
                  <pic:blipFill>
                    <a:blip r:embed="rId14"/>
                    <a:stretch>
                      <a:fillRect/>
                    </a:stretch>
                  </pic:blipFill>
                  <pic:spPr>
                    <a:xfrm>
                      <a:off x="0" y="0"/>
                      <a:ext cx="6473952" cy="2927803"/>
                    </a:xfrm>
                    <a:prstGeom prst="rect">
                      <a:avLst/>
                    </a:prstGeom>
                    <a:ln w="6350">
                      <a:solidFill>
                        <a:schemeClr val="tx1"/>
                      </a:solidFill>
                    </a:ln>
                  </pic:spPr>
                </pic:pic>
              </a:graphicData>
            </a:graphic>
          </wp:inline>
        </w:drawing>
      </w:r>
    </w:p>
    <w:p w14:paraId="6659624E" w14:textId="550E9B39" w:rsidR="001A2CB1" w:rsidRPr="00A14EE6" w:rsidRDefault="001A2CB1" w:rsidP="001A2CB1">
      <w:pPr>
        <w:pStyle w:val="NormalWeb"/>
        <w:spacing w:before="0" w:beforeAutospacing="0" w:after="240" w:afterAutospacing="0" w:line="360" w:lineRule="auto"/>
        <w:jc w:val="both"/>
        <w:rPr>
          <w:b/>
          <w:bCs/>
          <w:color w:val="000000" w:themeColor="text1"/>
        </w:rPr>
      </w:pPr>
      <w:r w:rsidRPr="00A14EE6">
        <w:rPr>
          <w:b/>
          <w:bCs/>
          <w:color w:val="000000" w:themeColor="text1"/>
        </w:rPr>
        <w:t>Fig. S</w:t>
      </w:r>
      <w:r w:rsidR="00B2418E" w:rsidRPr="00A14EE6">
        <w:rPr>
          <w:b/>
          <w:bCs/>
          <w:color w:val="000000" w:themeColor="text1"/>
        </w:rPr>
        <w:t>5</w:t>
      </w:r>
      <w:r w:rsidRPr="00A14EE6">
        <w:rPr>
          <w:b/>
          <w:bCs/>
          <w:color w:val="000000" w:themeColor="text1"/>
        </w:rPr>
        <w:t xml:space="preserve"> | Compl</w:t>
      </w:r>
      <w:r w:rsidR="00313819" w:rsidRPr="00A14EE6">
        <w:rPr>
          <w:b/>
          <w:bCs/>
          <w:color w:val="000000" w:themeColor="text1"/>
        </w:rPr>
        <w:t>e</w:t>
      </w:r>
      <w:r w:rsidRPr="00A14EE6">
        <w:rPr>
          <w:b/>
          <w:bCs/>
          <w:color w:val="000000" w:themeColor="text1"/>
        </w:rPr>
        <w:t>mentary model performance analysis for dissolved oxygen concentration in the deep hypolimnion: a) Cumulative distribution functions of model concentrations and field measurements. b) Correlation between interpolated simulated and observed quantiles.</w:t>
      </w:r>
    </w:p>
    <w:p w14:paraId="0E1D49F1" w14:textId="77777777" w:rsidR="001A2CB1" w:rsidRPr="00A14EE6" w:rsidRDefault="001A2CB1" w:rsidP="001A2CB1">
      <w:pPr>
        <w:pStyle w:val="NormalWeb"/>
        <w:rPr>
          <w:color w:val="000000" w:themeColor="text1"/>
        </w:rPr>
      </w:pPr>
      <w:r w:rsidRPr="00A14EE6">
        <w:rPr>
          <w:noProof/>
          <w:color w:val="000000" w:themeColor="text1"/>
        </w:rPr>
        <w:lastRenderedPageBreak/>
        <w:drawing>
          <wp:inline distT="0" distB="0" distL="0" distR="0" wp14:anchorId="12DA7958" wp14:editId="626DE6D4">
            <wp:extent cx="6473952" cy="3959762"/>
            <wp:effectExtent l="12700" t="12700" r="15875" b="15875"/>
            <wp:docPr id="14091551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9155179" name=""/>
                    <pic:cNvPicPr/>
                  </pic:nvPicPr>
                  <pic:blipFill>
                    <a:blip r:embed="rId15"/>
                    <a:stretch>
                      <a:fillRect/>
                    </a:stretch>
                  </pic:blipFill>
                  <pic:spPr>
                    <a:xfrm>
                      <a:off x="0" y="0"/>
                      <a:ext cx="6473952" cy="3959762"/>
                    </a:xfrm>
                    <a:prstGeom prst="rect">
                      <a:avLst/>
                    </a:prstGeom>
                    <a:ln w="6350">
                      <a:solidFill>
                        <a:schemeClr val="tx1"/>
                      </a:solidFill>
                    </a:ln>
                  </pic:spPr>
                </pic:pic>
              </a:graphicData>
            </a:graphic>
          </wp:inline>
        </w:drawing>
      </w:r>
    </w:p>
    <w:p w14:paraId="14AA62D8" w14:textId="129009ED" w:rsidR="001A2CB1" w:rsidRPr="00A14EE6" w:rsidRDefault="001A2CB1" w:rsidP="001A2CB1">
      <w:pPr>
        <w:pStyle w:val="NormalWeb"/>
        <w:spacing w:line="360" w:lineRule="auto"/>
        <w:jc w:val="both"/>
        <w:rPr>
          <w:b/>
          <w:bCs/>
          <w:color w:val="000000" w:themeColor="text1"/>
        </w:rPr>
      </w:pPr>
      <w:r w:rsidRPr="00A14EE6">
        <w:rPr>
          <w:b/>
          <w:bCs/>
          <w:color w:val="000000" w:themeColor="text1"/>
        </w:rPr>
        <w:t>Fig. S</w:t>
      </w:r>
      <w:r w:rsidR="00B2418E" w:rsidRPr="00A14EE6">
        <w:rPr>
          <w:b/>
          <w:bCs/>
          <w:color w:val="000000" w:themeColor="text1"/>
        </w:rPr>
        <w:t>6</w:t>
      </w:r>
      <w:r w:rsidRPr="00A14EE6">
        <w:rPr>
          <w:b/>
          <w:bCs/>
          <w:color w:val="000000" w:themeColor="text1"/>
        </w:rPr>
        <w:t xml:space="preserve"> | Dissolved oxygen simulation (blue line) against field measurements (red dots) in the depth-averaged deep hypolimnion (270–300 m depth) from 1957 to 2020. Events of complete mixing (Gaillard et al., 2022) are represented by green lines.</w:t>
      </w:r>
    </w:p>
    <w:p w14:paraId="679EA619" w14:textId="4CE8BC5F" w:rsidR="001A2CB1" w:rsidRPr="00A14EE6" w:rsidRDefault="001A2CB1" w:rsidP="001A2CB1">
      <w:pPr>
        <w:pStyle w:val="NormalWeb"/>
        <w:spacing w:before="0" w:beforeAutospacing="0" w:after="240" w:afterAutospacing="0" w:line="360" w:lineRule="auto"/>
        <w:ind w:firstLine="640"/>
        <w:jc w:val="both"/>
        <w:rPr>
          <w:color w:val="000000" w:themeColor="text1"/>
        </w:rPr>
      </w:pPr>
      <w:r w:rsidRPr="00A14EE6">
        <w:rPr>
          <w:color w:val="000000" w:themeColor="text1"/>
        </w:rPr>
        <w:t>The timing of DO replenishment in the deep hypolimnion was not always captured. Discrepancies between model results and observed data were attributed mostly to the inability of the hydrodynamic module to reproduce the timing of deep mixing by using ISIMIP climatic projections, instead of meteorological time series from a close station, as DO dynamics at the bottom of the lake are strongly associated with the occurrence of stochastic deep mixing events.</w:t>
      </w:r>
      <w:r w:rsidR="00313819" w:rsidRPr="00A14EE6">
        <w:rPr>
          <w:color w:val="000000" w:themeColor="text1"/>
        </w:rPr>
        <w:t xml:space="preserve"> </w:t>
      </w:r>
      <w:r w:rsidRPr="00A14EE6">
        <w:rPr>
          <w:color w:val="000000" w:themeColor="text1"/>
        </w:rPr>
        <w:t>Nevertheless, the coupled GLM-AED2 model was able to capture important long-term transitions in hypolimnetic DO of Lake Geneva at a decadal scale. Finally, the ability of the GLM-AED2 model to replicate deep oxygen in Lake Geneva over seasonal, decadal, and centennial temporal scales is summarized in Fig. S</w:t>
      </w:r>
      <w:r w:rsidR="00C6405E" w:rsidRPr="00A14EE6">
        <w:rPr>
          <w:color w:val="000000" w:themeColor="text1"/>
        </w:rPr>
        <w:t>7</w:t>
      </w:r>
      <w:r w:rsidRPr="00A14EE6">
        <w:rPr>
          <w:color w:val="000000" w:themeColor="text1"/>
        </w:rPr>
        <w:t>.</w:t>
      </w:r>
    </w:p>
    <w:p w14:paraId="6B6B0947" w14:textId="1CFA6E6F" w:rsidR="001A2CB1" w:rsidRPr="00A14EE6" w:rsidRDefault="001A2CB1" w:rsidP="001A2CB1">
      <w:pPr>
        <w:pStyle w:val="NormalWeb"/>
        <w:spacing w:before="0" w:beforeAutospacing="0" w:after="240" w:afterAutospacing="0" w:line="360" w:lineRule="auto"/>
        <w:jc w:val="both"/>
        <w:rPr>
          <w:color w:val="000000" w:themeColor="text1"/>
        </w:rPr>
      </w:pPr>
      <w:r w:rsidRPr="00A14EE6">
        <w:rPr>
          <w:noProof/>
          <w:color w:val="000000" w:themeColor="text1"/>
        </w:rPr>
        <w:lastRenderedPageBreak/>
        <w:drawing>
          <wp:inline distT="0" distB="0" distL="0" distR="0" wp14:anchorId="4E6B56BD" wp14:editId="7AAABE05">
            <wp:extent cx="6473952" cy="2541320"/>
            <wp:effectExtent l="12700" t="12700" r="15875" b="11430"/>
            <wp:docPr id="2702419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241927" name=""/>
                    <pic:cNvPicPr/>
                  </pic:nvPicPr>
                  <pic:blipFill>
                    <a:blip r:embed="rId16"/>
                    <a:stretch>
                      <a:fillRect/>
                    </a:stretch>
                  </pic:blipFill>
                  <pic:spPr>
                    <a:xfrm>
                      <a:off x="0" y="0"/>
                      <a:ext cx="6473952" cy="2541320"/>
                    </a:xfrm>
                    <a:prstGeom prst="rect">
                      <a:avLst/>
                    </a:prstGeom>
                    <a:ln w="6350">
                      <a:solidFill>
                        <a:schemeClr val="tx1"/>
                      </a:solidFill>
                    </a:ln>
                  </pic:spPr>
                </pic:pic>
              </a:graphicData>
            </a:graphic>
          </wp:inline>
        </w:drawing>
      </w:r>
    </w:p>
    <w:p w14:paraId="49206C17" w14:textId="5ACB85CA" w:rsidR="00883061" w:rsidRPr="00A14EE6" w:rsidRDefault="001A2CB1" w:rsidP="007F241F">
      <w:pPr>
        <w:pStyle w:val="NormalWeb"/>
        <w:spacing w:before="0" w:beforeAutospacing="0" w:after="240" w:afterAutospacing="0" w:line="360" w:lineRule="auto"/>
        <w:jc w:val="both"/>
        <w:rPr>
          <w:color w:val="000000" w:themeColor="text1"/>
        </w:rPr>
      </w:pPr>
      <w:r w:rsidRPr="00A14EE6">
        <w:rPr>
          <w:b/>
          <w:bCs/>
          <w:color w:val="000000" w:themeColor="text1"/>
        </w:rPr>
        <w:t>Fig. S</w:t>
      </w:r>
      <w:r w:rsidR="00B2418E" w:rsidRPr="00A14EE6">
        <w:rPr>
          <w:b/>
          <w:bCs/>
          <w:color w:val="000000" w:themeColor="text1"/>
        </w:rPr>
        <w:t>7</w:t>
      </w:r>
      <w:r w:rsidRPr="00A14EE6">
        <w:rPr>
          <w:b/>
          <w:bCs/>
          <w:color w:val="000000" w:themeColor="text1"/>
        </w:rPr>
        <w:t xml:space="preserve"> | Summary of GLM-AED2 model ability to replicate deep oxygen in Lake Geneva over seasonal, decadal, and centennial temporal scales.</w:t>
      </w:r>
      <w:r w:rsidR="00883061" w:rsidRPr="00A14EE6">
        <w:rPr>
          <w:color w:val="000000" w:themeColor="text1"/>
        </w:rPr>
        <w:t xml:space="preserve"> The green signs indicate that the oxygen dynamics are well simulated.</w:t>
      </w:r>
    </w:p>
    <w:p w14:paraId="777BE6AA" w14:textId="77777777" w:rsidR="007F241F" w:rsidRPr="00A14EE6" w:rsidRDefault="007F241F">
      <w:pPr>
        <w:rPr>
          <w:rFonts w:ascii="Times New Roman" w:hAnsi="Times New Roman" w:cs="Times New Roman"/>
          <w:b/>
          <w:bCs/>
          <w:color w:val="000000" w:themeColor="text1"/>
        </w:rPr>
      </w:pPr>
      <w:r w:rsidRPr="00A14EE6">
        <w:rPr>
          <w:rFonts w:ascii="Times New Roman" w:hAnsi="Times New Roman" w:cs="Times New Roman"/>
          <w:b/>
          <w:bCs/>
          <w:color w:val="000000" w:themeColor="text1"/>
        </w:rPr>
        <w:br w:type="page"/>
      </w:r>
    </w:p>
    <w:p w14:paraId="696C298B" w14:textId="4AA2DF94" w:rsidR="00D92E94" w:rsidRPr="00A14EE6" w:rsidRDefault="007F241F" w:rsidP="007F241F">
      <w:pPr>
        <w:pStyle w:val="NormalWeb"/>
        <w:spacing w:before="0" w:beforeAutospacing="0" w:after="240" w:afterAutospacing="0" w:line="360" w:lineRule="auto"/>
        <w:jc w:val="both"/>
        <w:rPr>
          <w:b/>
          <w:bCs/>
          <w:color w:val="000000" w:themeColor="text1"/>
        </w:rPr>
      </w:pPr>
      <w:r w:rsidRPr="00A14EE6">
        <w:rPr>
          <w:b/>
          <w:bCs/>
          <w:color w:val="000000" w:themeColor="text1"/>
        </w:rPr>
        <w:lastRenderedPageBreak/>
        <w:t>Future simulation of deep hypoxia</w:t>
      </w:r>
    </w:p>
    <w:p w14:paraId="0D54A6DD" w14:textId="77777777" w:rsidR="007F241F" w:rsidRPr="00A14EE6" w:rsidRDefault="007F241F" w:rsidP="007F241F">
      <w:pPr>
        <w:pStyle w:val="NormalWeb"/>
        <w:spacing w:before="0" w:beforeAutospacing="0" w:after="240" w:afterAutospacing="0" w:line="360" w:lineRule="auto"/>
        <w:jc w:val="both"/>
        <w:rPr>
          <w:color w:val="000000" w:themeColor="text1"/>
        </w:rPr>
      </w:pPr>
      <w:r w:rsidRPr="00A14EE6">
        <w:rPr>
          <w:noProof/>
          <w:color w:val="000000" w:themeColor="text1"/>
        </w:rPr>
        <w:drawing>
          <wp:inline distT="0" distB="0" distL="0" distR="0" wp14:anchorId="767569F5" wp14:editId="53EB832C">
            <wp:extent cx="6473952" cy="2078396"/>
            <wp:effectExtent l="0" t="0" r="3175" b="4445"/>
            <wp:docPr id="1133351546" name="Picture 1" descr="A picture containing plot, line, diagram,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351546" name="Picture 1" descr="A picture containing plot, line, diagram, screenshot&#10;&#10;Description automatically generated"/>
                    <pic:cNvPicPr/>
                  </pic:nvPicPr>
                  <pic:blipFill>
                    <a:blip r:embed="rId17"/>
                    <a:stretch>
                      <a:fillRect/>
                    </a:stretch>
                  </pic:blipFill>
                  <pic:spPr>
                    <a:xfrm>
                      <a:off x="0" y="0"/>
                      <a:ext cx="6473952" cy="2078396"/>
                    </a:xfrm>
                    <a:prstGeom prst="rect">
                      <a:avLst/>
                    </a:prstGeom>
                  </pic:spPr>
                </pic:pic>
              </a:graphicData>
            </a:graphic>
          </wp:inline>
        </w:drawing>
      </w:r>
    </w:p>
    <w:p w14:paraId="03922CBA" w14:textId="3A6B7478" w:rsidR="007F241F" w:rsidRDefault="007F241F" w:rsidP="007F241F">
      <w:pPr>
        <w:pStyle w:val="NormalWeb"/>
        <w:spacing w:before="0" w:beforeAutospacing="0" w:after="240" w:afterAutospacing="0" w:line="360" w:lineRule="auto"/>
        <w:jc w:val="both"/>
        <w:rPr>
          <w:color w:val="000000" w:themeColor="text1"/>
        </w:rPr>
      </w:pPr>
      <w:r w:rsidRPr="00A14EE6">
        <w:rPr>
          <w:b/>
          <w:bCs/>
          <w:color w:val="000000" w:themeColor="text1"/>
        </w:rPr>
        <w:t>Fig. S</w:t>
      </w:r>
      <w:r w:rsidR="00B2418E" w:rsidRPr="00A14EE6">
        <w:rPr>
          <w:b/>
          <w:bCs/>
          <w:color w:val="000000" w:themeColor="text1"/>
        </w:rPr>
        <w:t>8</w:t>
      </w:r>
      <w:r w:rsidRPr="00A14EE6">
        <w:rPr>
          <w:b/>
          <w:bCs/>
          <w:color w:val="000000" w:themeColor="text1"/>
        </w:rPr>
        <w:t xml:space="preserve"> | Fictional future scenarios of phosphorus input load for varying it to represent different management strategies from 2020 to 2100.</w:t>
      </w:r>
      <w:r w:rsidRPr="00A14EE6">
        <w:rPr>
          <w:color w:val="000000" w:themeColor="text1"/>
        </w:rPr>
        <w:t xml:space="preserve"> Phosphorus input load in 2019 gradually increase or decrease until 2030, when the average annual value was assumed constant up to 2100. The minimum and maximum phosphorus input loads were between 2 and 100 </w:t>
      </w:r>
      <w:r w:rsidR="00C42ECB" w:rsidRPr="00A14EE6">
        <w:rPr>
          <w:color w:val="000000" w:themeColor="text1"/>
        </w:rPr>
        <w:t>µ</w:t>
      </w:r>
      <w:r w:rsidRPr="00A14EE6">
        <w:rPr>
          <w:color w:val="000000" w:themeColor="text1"/>
        </w:rPr>
        <w:t>g L</w:t>
      </w:r>
      <w:r w:rsidRPr="00A14EE6">
        <w:rPr>
          <w:color w:val="000000" w:themeColor="text1"/>
          <w:vertAlign w:val="superscript"/>
        </w:rPr>
        <w:t>–1</w:t>
      </w:r>
      <w:r w:rsidRPr="00A14EE6">
        <w:rPr>
          <w:color w:val="000000" w:themeColor="text1"/>
        </w:rPr>
        <w:t xml:space="preserve">, respectively, to cover the entire range of loads based on the historical condition. The step sizes between the minimum and maximum phosphorus input load varied, with a step size of 1 </w:t>
      </w:r>
      <w:r w:rsidR="00C42ECB" w:rsidRPr="00A14EE6">
        <w:rPr>
          <w:color w:val="000000" w:themeColor="text1"/>
        </w:rPr>
        <w:t>µ</w:t>
      </w:r>
      <w:r w:rsidRPr="00A14EE6">
        <w:rPr>
          <w:color w:val="000000" w:themeColor="text1"/>
        </w:rPr>
        <w:t>g L</w:t>
      </w:r>
      <w:r w:rsidRPr="00A14EE6">
        <w:rPr>
          <w:color w:val="000000" w:themeColor="text1"/>
          <w:vertAlign w:val="superscript"/>
        </w:rPr>
        <w:t>–1</w:t>
      </w:r>
      <w:r w:rsidRPr="00A14EE6">
        <w:rPr>
          <w:color w:val="000000" w:themeColor="text1"/>
        </w:rPr>
        <w:t xml:space="preserve"> between 2 and 25 </w:t>
      </w:r>
      <w:r w:rsidR="00C42ECB" w:rsidRPr="00A14EE6">
        <w:rPr>
          <w:color w:val="000000" w:themeColor="text1"/>
        </w:rPr>
        <w:t>µ</w:t>
      </w:r>
      <w:r w:rsidRPr="00A14EE6">
        <w:rPr>
          <w:color w:val="000000" w:themeColor="text1"/>
        </w:rPr>
        <w:t>g L</w:t>
      </w:r>
      <w:r w:rsidRPr="00A14EE6">
        <w:rPr>
          <w:color w:val="000000" w:themeColor="text1"/>
          <w:vertAlign w:val="superscript"/>
        </w:rPr>
        <w:t xml:space="preserve">–1 </w:t>
      </w:r>
      <w:r w:rsidRPr="00A14EE6">
        <w:rPr>
          <w:color w:val="000000" w:themeColor="text1"/>
        </w:rPr>
        <w:t xml:space="preserve">and a step size of 5 </w:t>
      </w:r>
      <w:r w:rsidR="00C42ECB" w:rsidRPr="00A14EE6">
        <w:rPr>
          <w:color w:val="000000" w:themeColor="text1"/>
        </w:rPr>
        <w:t>µ</w:t>
      </w:r>
      <w:r w:rsidRPr="00A14EE6">
        <w:rPr>
          <w:color w:val="000000" w:themeColor="text1"/>
        </w:rPr>
        <w:t>g L</w:t>
      </w:r>
      <w:r w:rsidRPr="00A14EE6">
        <w:rPr>
          <w:color w:val="000000" w:themeColor="text1"/>
          <w:vertAlign w:val="superscript"/>
        </w:rPr>
        <w:t xml:space="preserve">–1 </w:t>
      </w:r>
      <w:r w:rsidRPr="00A14EE6">
        <w:rPr>
          <w:color w:val="000000" w:themeColor="text1"/>
        </w:rPr>
        <w:t xml:space="preserve">between 25 and 100 </w:t>
      </w:r>
      <w:r w:rsidR="00C42ECB" w:rsidRPr="00A14EE6">
        <w:rPr>
          <w:color w:val="000000" w:themeColor="text1"/>
        </w:rPr>
        <w:t>µ</w:t>
      </w:r>
      <w:r w:rsidRPr="00A14EE6">
        <w:rPr>
          <w:color w:val="000000" w:themeColor="text1"/>
        </w:rPr>
        <w:t>g L</w:t>
      </w:r>
      <w:r w:rsidRPr="00A14EE6">
        <w:rPr>
          <w:color w:val="000000" w:themeColor="text1"/>
          <w:vertAlign w:val="superscript"/>
        </w:rPr>
        <w:t>–1</w:t>
      </w:r>
      <w:r w:rsidRPr="00A14EE6">
        <w:rPr>
          <w:color w:val="000000" w:themeColor="text1"/>
        </w:rPr>
        <w:t>.</w:t>
      </w:r>
    </w:p>
    <w:p w14:paraId="1CB0FEFA" w14:textId="77777777" w:rsidR="00A14EE6" w:rsidRPr="00A14EE6" w:rsidRDefault="00A14EE6" w:rsidP="007F241F">
      <w:pPr>
        <w:pStyle w:val="NormalWeb"/>
        <w:spacing w:before="0" w:beforeAutospacing="0" w:after="240" w:afterAutospacing="0" w:line="360" w:lineRule="auto"/>
        <w:jc w:val="both"/>
        <w:rPr>
          <w:color w:val="000000" w:themeColor="text1"/>
        </w:rPr>
      </w:pPr>
    </w:p>
    <w:p w14:paraId="19CA9724" w14:textId="77777777" w:rsidR="007F241F" w:rsidRPr="00A14EE6" w:rsidRDefault="007F241F" w:rsidP="007F241F">
      <w:pPr>
        <w:pStyle w:val="NormalWeb"/>
        <w:spacing w:before="0" w:beforeAutospacing="0" w:after="240" w:afterAutospacing="0" w:line="360" w:lineRule="auto"/>
        <w:jc w:val="both"/>
        <w:rPr>
          <w:color w:val="000000" w:themeColor="text1"/>
        </w:rPr>
      </w:pPr>
      <w:r w:rsidRPr="00A14EE6">
        <w:rPr>
          <w:noProof/>
          <w:color w:val="000000" w:themeColor="text1"/>
        </w:rPr>
        <w:drawing>
          <wp:inline distT="0" distB="0" distL="0" distR="0" wp14:anchorId="64DA70CF" wp14:editId="2B26A8E4">
            <wp:extent cx="6473952" cy="1602580"/>
            <wp:effectExtent l="0" t="0" r="3175" b="0"/>
            <wp:docPr id="16733371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3337131" name=""/>
                    <pic:cNvPicPr/>
                  </pic:nvPicPr>
                  <pic:blipFill>
                    <a:blip r:embed="rId18"/>
                    <a:stretch>
                      <a:fillRect/>
                    </a:stretch>
                  </pic:blipFill>
                  <pic:spPr>
                    <a:xfrm>
                      <a:off x="0" y="0"/>
                      <a:ext cx="6473952" cy="1602580"/>
                    </a:xfrm>
                    <a:prstGeom prst="rect">
                      <a:avLst/>
                    </a:prstGeom>
                  </pic:spPr>
                </pic:pic>
              </a:graphicData>
            </a:graphic>
          </wp:inline>
        </w:drawing>
      </w:r>
    </w:p>
    <w:p w14:paraId="1A87D2B5" w14:textId="5B9F6520" w:rsidR="005265FF" w:rsidRPr="00A14EE6" w:rsidRDefault="007F241F" w:rsidP="007F241F">
      <w:pPr>
        <w:pStyle w:val="NormalWeb"/>
        <w:spacing w:before="0" w:beforeAutospacing="0" w:after="240" w:afterAutospacing="0" w:line="360" w:lineRule="auto"/>
        <w:jc w:val="both"/>
        <w:rPr>
          <w:b/>
          <w:bCs/>
          <w:color w:val="000000" w:themeColor="text1"/>
        </w:rPr>
      </w:pPr>
      <w:r w:rsidRPr="00A14EE6">
        <w:rPr>
          <w:b/>
          <w:bCs/>
          <w:color w:val="000000" w:themeColor="text1"/>
        </w:rPr>
        <w:t>Fig. S</w:t>
      </w:r>
      <w:r w:rsidR="00B2418E" w:rsidRPr="00A14EE6">
        <w:rPr>
          <w:b/>
          <w:bCs/>
          <w:color w:val="000000" w:themeColor="text1"/>
        </w:rPr>
        <w:t>9</w:t>
      </w:r>
      <w:r w:rsidR="00D92E94" w:rsidRPr="00A14EE6">
        <w:rPr>
          <w:b/>
          <w:bCs/>
          <w:color w:val="000000" w:themeColor="text1"/>
        </w:rPr>
        <w:t xml:space="preserve"> </w:t>
      </w:r>
      <w:r w:rsidRPr="00A14EE6">
        <w:rPr>
          <w:b/>
          <w:bCs/>
          <w:color w:val="000000" w:themeColor="text1"/>
        </w:rPr>
        <w:t xml:space="preserve">| Investigating the temporal inertia of the lake and its effects on intensity and duration of hypoxia in Lake Geneva by setting phosphorus input load as absent from 1969 (year of the peak of TP input load) based on modelled a) TP concentration in the lake, which started to decrease also in 1969 and took 52 years to reach near-0 </w:t>
      </w:r>
      <w:r w:rsidR="00C42ECB" w:rsidRPr="00A14EE6">
        <w:rPr>
          <w:b/>
          <w:bCs/>
          <w:color w:val="000000" w:themeColor="text1"/>
        </w:rPr>
        <w:t>µ</w:t>
      </w:r>
      <w:r w:rsidRPr="00A14EE6">
        <w:rPr>
          <w:b/>
          <w:bCs/>
          <w:color w:val="000000" w:themeColor="text1"/>
        </w:rPr>
        <w:t>g L</w:t>
      </w:r>
      <w:r w:rsidRPr="00A14EE6">
        <w:rPr>
          <w:b/>
          <w:bCs/>
          <w:color w:val="000000" w:themeColor="text1"/>
          <w:vertAlign w:val="superscript"/>
        </w:rPr>
        <w:t>–1</w:t>
      </w:r>
      <w:r w:rsidRPr="00A14EE6">
        <w:rPr>
          <w:b/>
          <w:bCs/>
          <w:color w:val="000000" w:themeColor="text1"/>
        </w:rPr>
        <w:t xml:space="preserve"> in 2020, b) minimum oxygen concentration, and c) hypoxia duration over the historical period (1850–2020).</w:t>
      </w:r>
    </w:p>
    <w:p w14:paraId="5967DA46" w14:textId="77777777" w:rsidR="00B2418E" w:rsidRPr="00A14EE6" w:rsidRDefault="00B2418E" w:rsidP="00B2418E">
      <w:pPr>
        <w:pStyle w:val="NormalWeb"/>
        <w:spacing w:before="0" w:beforeAutospacing="0" w:after="240" w:afterAutospacing="0" w:line="360" w:lineRule="auto"/>
        <w:jc w:val="both"/>
        <w:rPr>
          <w:color w:val="000000" w:themeColor="text1"/>
        </w:rPr>
      </w:pPr>
      <w:r w:rsidRPr="00A14EE6">
        <w:rPr>
          <w:noProof/>
          <w:color w:val="000000" w:themeColor="text1"/>
        </w:rPr>
        <w:lastRenderedPageBreak/>
        <w:drawing>
          <wp:inline distT="0" distB="0" distL="0" distR="0" wp14:anchorId="7095AF9A" wp14:editId="397EA594">
            <wp:extent cx="6473952" cy="2858637"/>
            <wp:effectExtent l="0" t="0" r="3175" b="0"/>
            <wp:docPr id="11520982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2098211" name=""/>
                    <pic:cNvPicPr/>
                  </pic:nvPicPr>
                  <pic:blipFill>
                    <a:blip r:embed="rId19"/>
                    <a:stretch>
                      <a:fillRect/>
                    </a:stretch>
                  </pic:blipFill>
                  <pic:spPr>
                    <a:xfrm>
                      <a:off x="0" y="0"/>
                      <a:ext cx="6473952" cy="2858637"/>
                    </a:xfrm>
                    <a:prstGeom prst="rect">
                      <a:avLst/>
                    </a:prstGeom>
                  </pic:spPr>
                </pic:pic>
              </a:graphicData>
            </a:graphic>
          </wp:inline>
        </w:drawing>
      </w:r>
    </w:p>
    <w:p w14:paraId="002D9ABB" w14:textId="025857C0" w:rsidR="00B2418E" w:rsidRPr="00A14EE6" w:rsidRDefault="00B2418E" w:rsidP="00B2418E">
      <w:pPr>
        <w:pStyle w:val="NormalWeb"/>
        <w:spacing w:before="0" w:beforeAutospacing="0" w:after="240" w:afterAutospacing="0" w:line="360" w:lineRule="auto"/>
        <w:jc w:val="both"/>
        <w:rPr>
          <w:b/>
          <w:bCs/>
          <w:color w:val="000000" w:themeColor="text1"/>
        </w:rPr>
      </w:pPr>
      <w:r w:rsidRPr="00A14EE6">
        <w:rPr>
          <w:b/>
          <w:bCs/>
          <w:color w:val="000000" w:themeColor="text1"/>
        </w:rPr>
        <w:t xml:space="preserve">Fig. S10 | Future projected changes of a) hypoxia duration and b) minimum oxygen concentration under future climatic forcing (SSP1–RCP2.6, SSP3–RCP7.0, and SSP5–RCP8.5) and </w:t>
      </w:r>
      <w:r w:rsidR="00883061" w:rsidRPr="00A14EE6">
        <w:rPr>
          <w:b/>
          <w:bCs/>
          <w:color w:val="000000" w:themeColor="text1"/>
        </w:rPr>
        <w:t>prospective</w:t>
      </w:r>
      <w:r w:rsidRPr="00A14EE6">
        <w:rPr>
          <w:b/>
          <w:bCs/>
          <w:color w:val="000000" w:themeColor="text1"/>
        </w:rPr>
        <w:t xml:space="preserve"> scenarios of phosphorus input load over 2050–2100 period. </w:t>
      </w:r>
    </w:p>
    <w:p w14:paraId="15FEE20C" w14:textId="3C984897" w:rsidR="0006495A" w:rsidRPr="00A14EE6" w:rsidRDefault="0006495A" w:rsidP="00B2418E">
      <w:pPr>
        <w:pStyle w:val="NormalWeb"/>
        <w:spacing w:before="0" w:beforeAutospacing="0" w:after="240" w:afterAutospacing="0" w:line="360" w:lineRule="auto"/>
        <w:jc w:val="both"/>
        <w:rPr>
          <w:b/>
          <w:bCs/>
          <w:color w:val="000000" w:themeColor="text1"/>
        </w:rPr>
      </w:pPr>
      <w:r w:rsidRPr="00A14EE6">
        <w:rPr>
          <w:b/>
          <w:bCs/>
          <w:noProof/>
          <w:color w:val="000000" w:themeColor="text1"/>
        </w:rPr>
        <w:lastRenderedPageBreak/>
        <w:drawing>
          <wp:inline distT="0" distB="0" distL="0" distR="0" wp14:anchorId="3925A71E" wp14:editId="62C8D68E">
            <wp:extent cx="5212080" cy="6712227"/>
            <wp:effectExtent l="0" t="0" r="0" b="6350"/>
            <wp:docPr id="11602893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0289338" name=""/>
                    <pic:cNvPicPr/>
                  </pic:nvPicPr>
                  <pic:blipFill>
                    <a:blip r:embed="rId20"/>
                    <a:stretch>
                      <a:fillRect/>
                    </a:stretch>
                  </pic:blipFill>
                  <pic:spPr>
                    <a:xfrm>
                      <a:off x="0" y="0"/>
                      <a:ext cx="5212080" cy="6712227"/>
                    </a:xfrm>
                    <a:prstGeom prst="rect">
                      <a:avLst/>
                    </a:prstGeom>
                  </pic:spPr>
                </pic:pic>
              </a:graphicData>
            </a:graphic>
          </wp:inline>
        </w:drawing>
      </w:r>
    </w:p>
    <w:p w14:paraId="17DED0F6" w14:textId="4DDBF155" w:rsidR="0006495A" w:rsidRPr="00A14EE6" w:rsidRDefault="0006495A" w:rsidP="00B2418E">
      <w:pPr>
        <w:pStyle w:val="NormalWeb"/>
        <w:spacing w:before="0" w:beforeAutospacing="0" w:after="240" w:afterAutospacing="0" w:line="360" w:lineRule="auto"/>
        <w:jc w:val="both"/>
        <w:rPr>
          <w:b/>
          <w:bCs/>
          <w:color w:val="000000" w:themeColor="text1"/>
        </w:rPr>
      </w:pPr>
      <w:r w:rsidRPr="00A14EE6">
        <w:rPr>
          <w:b/>
          <w:bCs/>
          <w:color w:val="000000" w:themeColor="text1"/>
        </w:rPr>
        <w:t>Fig. S11 | Elucidating shifts in hypoxia duration and annual minimum oxygen concentration throughout the water column</w:t>
      </w:r>
      <w:r w:rsidRPr="00A14EE6">
        <w:rPr>
          <w:rFonts w:eastAsiaTheme="minorHAnsi"/>
          <w:b/>
          <w:bCs/>
          <w:color w:val="000000" w:themeColor="text1"/>
        </w:rPr>
        <w:t xml:space="preserve"> from natural conditions, </w:t>
      </w:r>
      <w:proofErr w:type="gramStart"/>
      <w:r w:rsidRPr="00A14EE6">
        <w:rPr>
          <w:rFonts w:eastAsiaTheme="minorHAnsi"/>
          <w:b/>
          <w:bCs/>
          <w:color w:val="000000" w:themeColor="text1"/>
        </w:rPr>
        <w:t>i.e.</w:t>
      </w:r>
      <w:proofErr w:type="gramEnd"/>
      <w:r w:rsidRPr="00A14EE6">
        <w:rPr>
          <w:rFonts w:eastAsiaTheme="minorHAnsi"/>
          <w:b/>
          <w:bCs/>
          <w:color w:val="000000" w:themeColor="text1"/>
        </w:rPr>
        <w:t xml:space="preserve"> pre-1950 (blue dots and area) to a) nutrient-altered condition, i.e., from 1950 to 2020 (yellow dots and area) and b) climate-altered condition, i.e., from 2050 to 2100, for the </w:t>
      </w:r>
      <w:r w:rsidRPr="00A14EE6">
        <w:rPr>
          <w:b/>
          <w:bCs/>
          <w:color w:val="000000" w:themeColor="text1"/>
        </w:rPr>
        <w:t>SSP5–RCP8.5 scenario</w:t>
      </w:r>
      <w:r w:rsidRPr="00A14EE6">
        <w:rPr>
          <w:rFonts w:eastAsiaTheme="minorHAnsi"/>
          <w:b/>
          <w:bCs/>
          <w:color w:val="000000" w:themeColor="text1"/>
        </w:rPr>
        <w:t xml:space="preserve"> (red dots and area). c) Conceptual diagram of hypoxia state transition.</w:t>
      </w:r>
    </w:p>
    <w:p w14:paraId="6C896B30" w14:textId="09C62B5D" w:rsidR="00D477FE" w:rsidRPr="00A14EE6" w:rsidRDefault="00D477FE" w:rsidP="00A14EE6">
      <w:pPr>
        <w:rPr>
          <w:rFonts w:ascii="Times New Roman" w:eastAsia="Times New Roman" w:hAnsi="Times New Roman" w:cs="Times New Roman"/>
          <w:b/>
          <w:bCs/>
          <w:color w:val="000000" w:themeColor="text1"/>
        </w:rPr>
      </w:pPr>
      <w:r w:rsidRPr="00A14EE6">
        <w:rPr>
          <w:b/>
          <w:bCs/>
          <w:color w:val="000000" w:themeColor="text1"/>
        </w:rPr>
        <w:br w:type="page"/>
      </w:r>
      <w:r w:rsidRPr="00313819">
        <w:rPr>
          <w:b/>
          <w:bCs/>
          <w:color w:val="000000" w:themeColor="text1"/>
        </w:rPr>
        <w:lastRenderedPageBreak/>
        <w:t>References</w:t>
      </w:r>
    </w:p>
    <w:sdt>
      <w:sdtPr>
        <w:rPr>
          <w:rFonts w:ascii="Times New Roman" w:eastAsia="Times New Roman" w:hAnsi="Times New Roman" w:cs="Times New Roman"/>
          <w:b/>
          <w:bCs/>
          <w:color w:val="0070C0"/>
        </w:rPr>
        <w:tag w:val="MENDELEY_BIBLIOGRAPHY"/>
        <w:id w:val="-1476602151"/>
        <w:placeholder>
          <w:docPart w:val="DefaultPlaceholder_-1854013440"/>
        </w:placeholder>
      </w:sdtPr>
      <w:sdtContent>
        <w:p w14:paraId="02E77F00" w14:textId="77777777" w:rsidR="008E32A9" w:rsidRPr="008E32A9" w:rsidRDefault="008E32A9">
          <w:pPr>
            <w:autoSpaceDE w:val="0"/>
            <w:autoSpaceDN w:val="0"/>
            <w:ind w:hanging="640"/>
            <w:divId w:val="169486970"/>
            <w:rPr>
              <w:rFonts w:eastAsia="Times New Roman"/>
              <w:lang w:val="fr-FR"/>
            </w:rPr>
          </w:pPr>
          <w:r>
            <w:rPr>
              <w:rFonts w:eastAsia="Times New Roman"/>
            </w:rPr>
            <w:t>1.</w:t>
          </w:r>
          <w:r>
            <w:rPr>
              <w:rFonts w:eastAsia="Times New Roman"/>
            </w:rPr>
            <w:tab/>
          </w:r>
          <w:proofErr w:type="spellStart"/>
          <w:r>
            <w:rPr>
              <w:rFonts w:eastAsia="Times New Roman"/>
            </w:rPr>
            <w:t>Eawag</w:t>
          </w:r>
          <w:proofErr w:type="spellEnd"/>
          <w:r>
            <w:rPr>
              <w:rFonts w:eastAsia="Times New Roman"/>
            </w:rPr>
            <w:t xml:space="preserve"> &amp; FOEN. NADUF - National long-term surveillance of Swiss rivers (2022-1) (Version 2022-1) [Data set]. </w:t>
          </w:r>
          <w:r w:rsidRPr="008E32A9">
            <w:rPr>
              <w:rFonts w:eastAsia="Times New Roman"/>
              <w:lang w:val="fr-FR"/>
            </w:rPr>
            <w:t xml:space="preserve">(2022) </w:t>
          </w:r>
          <w:proofErr w:type="spellStart"/>
          <w:proofErr w:type="gramStart"/>
          <w:r w:rsidRPr="008E32A9">
            <w:rPr>
              <w:rFonts w:eastAsia="Times New Roman"/>
              <w:lang w:val="fr-FR"/>
            </w:rPr>
            <w:t>doi:https</w:t>
          </w:r>
          <w:proofErr w:type="spellEnd"/>
          <w:r w:rsidRPr="008E32A9">
            <w:rPr>
              <w:rFonts w:eastAsia="Times New Roman"/>
              <w:lang w:val="fr-FR"/>
            </w:rPr>
            <w:t>://doi.org/10.25678/00069G</w:t>
          </w:r>
          <w:proofErr w:type="gramEnd"/>
          <w:r w:rsidRPr="008E32A9">
            <w:rPr>
              <w:rFonts w:eastAsia="Times New Roman"/>
              <w:lang w:val="fr-FR"/>
            </w:rPr>
            <w:t>.</w:t>
          </w:r>
        </w:p>
        <w:p w14:paraId="05FFE637" w14:textId="77777777" w:rsidR="008E32A9" w:rsidRDefault="008E32A9">
          <w:pPr>
            <w:autoSpaceDE w:val="0"/>
            <w:autoSpaceDN w:val="0"/>
            <w:ind w:hanging="640"/>
            <w:divId w:val="696662489"/>
            <w:rPr>
              <w:rFonts w:eastAsia="Times New Roman"/>
            </w:rPr>
          </w:pPr>
          <w:r w:rsidRPr="008E32A9">
            <w:rPr>
              <w:rFonts w:eastAsia="Times New Roman"/>
              <w:lang w:val="fr-FR"/>
            </w:rPr>
            <w:t>2.</w:t>
          </w:r>
          <w:r w:rsidRPr="008E32A9">
            <w:rPr>
              <w:rFonts w:eastAsia="Times New Roman"/>
              <w:lang w:val="fr-FR"/>
            </w:rPr>
            <w:tab/>
          </w:r>
          <w:proofErr w:type="spellStart"/>
          <w:r w:rsidRPr="008E32A9">
            <w:rPr>
              <w:rFonts w:eastAsia="Times New Roman"/>
              <w:lang w:val="fr-FR"/>
            </w:rPr>
            <w:t>Jalinoux</w:t>
          </w:r>
          <w:proofErr w:type="spellEnd"/>
          <w:r w:rsidRPr="008E32A9">
            <w:rPr>
              <w:rFonts w:eastAsia="Times New Roman"/>
              <w:lang w:val="fr-FR"/>
            </w:rPr>
            <w:t xml:space="preserve">, R., Pasquini, F. &amp; SILA. Comment et pourquoi le niveau des lacs est-il régulé ? in </w:t>
          </w:r>
          <w:r w:rsidRPr="008E32A9">
            <w:rPr>
              <w:rFonts w:eastAsia="Times New Roman"/>
              <w:i/>
              <w:iCs/>
              <w:lang w:val="fr-FR"/>
            </w:rPr>
            <w:t>Le tour des grands lacs alpins naturels en 80 questions</w:t>
          </w:r>
          <w:r w:rsidRPr="008E32A9">
            <w:rPr>
              <w:rFonts w:eastAsia="Times New Roman"/>
              <w:lang w:val="fr-FR"/>
            </w:rPr>
            <w:t xml:space="preserve"> (</w:t>
          </w:r>
          <w:proofErr w:type="spellStart"/>
          <w:r w:rsidRPr="008E32A9">
            <w:rPr>
              <w:rFonts w:eastAsia="Times New Roman"/>
              <w:lang w:val="fr-FR"/>
            </w:rPr>
            <w:t>eds</w:t>
          </w:r>
          <w:proofErr w:type="spellEnd"/>
          <w:r w:rsidRPr="008E32A9">
            <w:rPr>
              <w:rFonts w:eastAsia="Times New Roman"/>
              <w:lang w:val="fr-FR"/>
            </w:rPr>
            <w:t xml:space="preserve">. </w:t>
          </w:r>
          <w:proofErr w:type="spellStart"/>
          <w:r>
            <w:rPr>
              <w:rFonts w:eastAsia="Times New Roman"/>
            </w:rPr>
            <w:t>Montuelle</w:t>
          </w:r>
          <w:proofErr w:type="spellEnd"/>
          <w:r>
            <w:rPr>
              <w:rFonts w:eastAsia="Times New Roman"/>
            </w:rPr>
            <w:t>, B. &amp; Clemens, A.) (2015).</w:t>
          </w:r>
        </w:p>
        <w:p w14:paraId="452F7CD6" w14:textId="77777777" w:rsidR="008E32A9" w:rsidRDefault="008E32A9">
          <w:pPr>
            <w:autoSpaceDE w:val="0"/>
            <w:autoSpaceDN w:val="0"/>
            <w:ind w:hanging="640"/>
            <w:divId w:val="1156922520"/>
            <w:rPr>
              <w:rFonts w:eastAsia="Times New Roman"/>
            </w:rPr>
          </w:pPr>
          <w:r>
            <w:rPr>
              <w:rFonts w:eastAsia="Times New Roman"/>
            </w:rPr>
            <w:t>3.</w:t>
          </w:r>
          <w:r>
            <w:rPr>
              <w:rFonts w:eastAsia="Times New Roman"/>
            </w:rPr>
            <w:tab/>
          </w:r>
          <w:proofErr w:type="spellStart"/>
          <w:r>
            <w:rPr>
              <w:rFonts w:eastAsia="Times New Roman"/>
            </w:rPr>
            <w:t>Schwefel</w:t>
          </w:r>
          <w:proofErr w:type="spellEnd"/>
          <w:r>
            <w:rPr>
              <w:rFonts w:eastAsia="Times New Roman"/>
            </w:rPr>
            <w:t xml:space="preserve">, R., </w:t>
          </w:r>
          <w:proofErr w:type="spellStart"/>
          <w:r>
            <w:rPr>
              <w:rFonts w:eastAsia="Times New Roman"/>
            </w:rPr>
            <w:t>Gaudard</w:t>
          </w:r>
          <w:proofErr w:type="spellEnd"/>
          <w:r>
            <w:rPr>
              <w:rFonts w:eastAsia="Times New Roman"/>
            </w:rPr>
            <w:t xml:space="preserve">, A., </w:t>
          </w:r>
          <w:proofErr w:type="spellStart"/>
          <w:r>
            <w:rPr>
              <w:rFonts w:eastAsia="Times New Roman"/>
            </w:rPr>
            <w:t>Wüest</w:t>
          </w:r>
          <w:proofErr w:type="spellEnd"/>
          <w:r>
            <w:rPr>
              <w:rFonts w:eastAsia="Times New Roman"/>
            </w:rPr>
            <w:t xml:space="preserve">, A. &amp; Bouffard, D. Effects of climate change on </w:t>
          </w:r>
          <w:proofErr w:type="spellStart"/>
          <w:r>
            <w:rPr>
              <w:rFonts w:eastAsia="Times New Roman"/>
            </w:rPr>
            <w:t>deepwater</w:t>
          </w:r>
          <w:proofErr w:type="spellEnd"/>
          <w:r>
            <w:rPr>
              <w:rFonts w:eastAsia="Times New Roman"/>
            </w:rPr>
            <w:t xml:space="preserve"> oxygen and winter mixing in a deep lake (Lake Geneva): Comparing observational findings and modeling. </w:t>
          </w:r>
          <w:r>
            <w:rPr>
              <w:rFonts w:eastAsia="Times New Roman"/>
              <w:i/>
              <w:iCs/>
            </w:rPr>
            <w:t xml:space="preserve">Water </w:t>
          </w:r>
          <w:proofErr w:type="spellStart"/>
          <w:r>
            <w:rPr>
              <w:rFonts w:eastAsia="Times New Roman"/>
              <w:i/>
              <w:iCs/>
            </w:rPr>
            <w:t>Resour</w:t>
          </w:r>
          <w:proofErr w:type="spellEnd"/>
          <w:r>
            <w:rPr>
              <w:rFonts w:eastAsia="Times New Roman"/>
              <w:i/>
              <w:iCs/>
            </w:rPr>
            <w:t xml:space="preserve"> Res</w:t>
          </w:r>
          <w:r>
            <w:rPr>
              <w:rFonts w:eastAsia="Times New Roman"/>
            </w:rPr>
            <w:t xml:space="preserve"> </w:t>
          </w:r>
          <w:r>
            <w:rPr>
              <w:rFonts w:eastAsia="Times New Roman"/>
              <w:b/>
              <w:bCs/>
            </w:rPr>
            <w:t>52</w:t>
          </w:r>
          <w:r>
            <w:rPr>
              <w:rFonts w:eastAsia="Times New Roman"/>
            </w:rPr>
            <w:t>, 8811–8826 (2016).</w:t>
          </w:r>
        </w:p>
        <w:p w14:paraId="49D4F8B3" w14:textId="77777777" w:rsidR="008E32A9" w:rsidRDefault="008E32A9">
          <w:pPr>
            <w:autoSpaceDE w:val="0"/>
            <w:autoSpaceDN w:val="0"/>
            <w:ind w:hanging="640"/>
            <w:divId w:val="883717285"/>
            <w:rPr>
              <w:rFonts w:eastAsia="Times New Roman"/>
            </w:rPr>
          </w:pPr>
          <w:r>
            <w:rPr>
              <w:rFonts w:eastAsia="Times New Roman"/>
            </w:rPr>
            <w:t>4.</w:t>
          </w:r>
          <w:r>
            <w:rPr>
              <w:rFonts w:eastAsia="Times New Roman"/>
            </w:rPr>
            <w:tab/>
          </w:r>
          <w:proofErr w:type="spellStart"/>
          <w:r>
            <w:rPr>
              <w:rFonts w:eastAsia="Times New Roman"/>
            </w:rPr>
            <w:t>Desgué-Itier</w:t>
          </w:r>
          <w:proofErr w:type="spellEnd"/>
          <w:r>
            <w:rPr>
              <w:rFonts w:eastAsia="Times New Roman"/>
            </w:rPr>
            <w:t xml:space="preserve">, O. </w:t>
          </w:r>
          <w:r>
            <w:rPr>
              <w:rFonts w:eastAsia="Times New Roman"/>
              <w:i/>
              <w:iCs/>
            </w:rPr>
            <w:t>et al.</w:t>
          </w:r>
          <w:r>
            <w:rPr>
              <w:rFonts w:eastAsia="Times New Roman"/>
            </w:rPr>
            <w:t xml:space="preserve"> Past and future climate change effects on the thermal regime and oxygen solubility of four peri-alpine lakes. </w:t>
          </w:r>
          <w:proofErr w:type="spellStart"/>
          <w:r>
            <w:rPr>
              <w:rFonts w:eastAsia="Times New Roman"/>
              <w:i/>
              <w:iCs/>
            </w:rPr>
            <w:t>Hydrol</w:t>
          </w:r>
          <w:proofErr w:type="spellEnd"/>
          <w:r>
            <w:rPr>
              <w:rFonts w:eastAsia="Times New Roman"/>
              <w:i/>
              <w:iCs/>
            </w:rPr>
            <w:t xml:space="preserve"> Earth Syst Sci</w:t>
          </w:r>
          <w:r>
            <w:rPr>
              <w:rFonts w:eastAsia="Times New Roman"/>
            </w:rPr>
            <w:t xml:space="preserve"> </w:t>
          </w:r>
          <w:r>
            <w:rPr>
              <w:rFonts w:eastAsia="Times New Roman"/>
              <w:b/>
              <w:bCs/>
            </w:rPr>
            <w:t>27</w:t>
          </w:r>
          <w:r>
            <w:rPr>
              <w:rFonts w:eastAsia="Times New Roman"/>
            </w:rPr>
            <w:t>, 837–859 (2023).</w:t>
          </w:r>
        </w:p>
        <w:p w14:paraId="0A55D0DC" w14:textId="77777777" w:rsidR="008E32A9" w:rsidRDefault="008E32A9">
          <w:pPr>
            <w:autoSpaceDE w:val="0"/>
            <w:autoSpaceDN w:val="0"/>
            <w:ind w:hanging="640"/>
            <w:divId w:val="179778944"/>
            <w:rPr>
              <w:rFonts w:eastAsia="Times New Roman"/>
            </w:rPr>
          </w:pPr>
          <w:r>
            <w:rPr>
              <w:rFonts w:eastAsia="Times New Roman"/>
            </w:rPr>
            <w:t>5.</w:t>
          </w:r>
          <w:r>
            <w:rPr>
              <w:rFonts w:eastAsia="Times New Roman"/>
            </w:rPr>
            <w:tab/>
          </w:r>
          <w:proofErr w:type="spellStart"/>
          <w:r>
            <w:rPr>
              <w:rFonts w:eastAsia="Times New Roman"/>
            </w:rPr>
            <w:t>Toffolon</w:t>
          </w:r>
          <w:proofErr w:type="spellEnd"/>
          <w:r>
            <w:rPr>
              <w:rFonts w:eastAsia="Times New Roman"/>
            </w:rPr>
            <w:t xml:space="preserve">, M. &amp; </w:t>
          </w:r>
          <w:proofErr w:type="spellStart"/>
          <w:r>
            <w:rPr>
              <w:rFonts w:eastAsia="Times New Roman"/>
            </w:rPr>
            <w:t>Piccolroaz</w:t>
          </w:r>
          <w:proofErr w:type="spellEnd"/>
          <w:r>
            <w:rPr>
              <w:rFonts w:eastAsia="Times New Roman"/>
            </w:rPr>
            <w:t xml:space="preserve">, S. A hybrid model for river water temperature as a function of air temperature and discharge. </w:t>
          </w:r>
          <w:r>
            <w:rPr>
              <w:rFonts w:eastAsia="Times New Roman"/>
              <w:i/>
              <w:iCs/>
            </w:rPr>
            <w:t>Environmental Research Letters</w:t>
          </w:r>
          <w:r>
            <w:rPr>
              <w:rFonts w:eastAsia="Times New Roman"/>
            </w:rPr>
            <w:t xml:space="preserve"> </w:t>
          </w:r>
          <w:r>
            <w:rPr>
              <w:rFonts w:eastAsia="Times New Roman"/>
              <w:b/>
              <w:bCs/>
            </w:rPr>
            <w:t>10</w:t>
          </w:r>
          <w:r>
            <w:rPr>
              <w:rFonts w:eastAsia="Times New Roman"/>
            </w:rPr>
            <w:t>, (2015).</w:t>
          </w:r>
        </w:p>
        <w:p w14:paraId="193A35A1" w14:textId="77777777" w:rsidR="008E32A9" w:rsidRDefault="008E32A9">
          <w:pPr>
            <w:autoSpaceDE w:val="0"/>
            <w:autoSpaceDN w:val="0"/>
            <w:ind w:hanging="640"/>
            <w:divId w:val="86074385"/>
            <w:rPr>
              <w:rFonts w:eastAsia="Times New Roman"/>
            </w:rPr>
          </w:pPr>
          <w:r>
            <w:rPr>
              <w:rFonts w:eastAsia="Times New Roman"/>
            </w:rPr>
            <w:t>6.</w:t>
          </w:r>
          <w:r>
            <w:rPr>
              <w:rFonts w:eastAsia="Times New Roman"/>
            </w:rPr>
            <w:tab/>
            <w:t xml:space="preserve">Jones, H. F. E. </w:t>
          </w:r>
          <w:r>
            <w:rPr>
              <w:rFonts w:eastAsia="Times New Roman"/>
              <w:i/>
              <w:iCs/>
            </w:rPr>
            <w:t>et al.</w:t>
          </w:r>
          <w:r>
            <w:rPr>
              <w:rFonts w:eastAsia="Times New Roman"/>
            </w:rPr>
            <w:t xml:space="preserve"> Modelling interactive effects of multiple disturbances on a coastal lake ecosystem: Implications for management. </w:t>
          </w:r>
          <w:r>
            <w:rPr>
              <w:rFonts w:eastAsia="Times New Roman"/>
              <w:i/>
              <w:iCs/>
            </w:rPr>
            <w:t>J Environ Manage</w:t>
          </w:r>
          <w:r>
            <w:rPr>
              <w:rFonts w:eastAsia="Times New Roman"/>
            </w:rPr>
            <w:t xml:space="preserve"> </w:t>
          </w:r>
          <w:r>
            <w:rPr>
              <w:rFonts w:eastAsia="Times New Roman"/>
              <w:b/>
              <w:bCs/>
            </w:rPr>
            <w:t>207</w:t>
          </w:r>
          <w:r>
            <w:rPr>
              <w:rFonts w:eastAsia="Times New Roman"/>
            </w:rPr>
            <w:t>, 444–455 (2018).</w:t>
          </w:r>
        </w:p>
        <w:p w14:paraId="692833AF" w14:textId="77777777" w:rsidR="008E32A9" w:rsidRDefault="008E32A9">
          <w:pPr>
            <w:autoSpaceDE w:val="0"/>
            <w:autoSpaceDN w:val="0"/>
            <w:ind w:hanging="640"/>
            <w:divId w:val="176190411"/>
            <w:rPr>
              <w:rFonts w:eastAsia="Times New Roman"/>
            </w:rPr>
          </w:pPr>
          <w:r>
            <w:rPr>
              <w:rFonts w:eastAsia="Times New Roman"/>
            </w:rPr>
            <w:t>7.</w:t>
          </w:r>
          <w:r>
            <w:rPr>
              <w:rFonts w:eastAsia="Times New Roman"/>
            </w:rPr>
            <w:tab/>
          </w:r>
          <w:proofErr w:type="spellStart"/>
          <w:r>
            <w:rPr>
              <w:rFonts w:eastAsia="Times New Roman"/>
            </w:rPr>
            <w:t>Calamita</w:t>
          </w:r>
          <w:proofErr w:type="spellEnd"/>
          <w:r>
            <w:rPr>
              <w:rFonts w:eastAsia="Times New Roman"/>
            </w:rPr>
            <w:t xml:space="preserve">, E. </w:t>
          </w:r>
          <w:r>
            <w:rPr>
              <w:rFonts w:eastAsia="Times New Roman"/>
              <w:i/>
              <w:iCs/>
            </w:rPr>
            <w:t>et al.</w:t>
          </w:r>
          <w:r>
            <w:rPr>
              <w:rFonts w:eastAsia="Times New Roman"/>
            </w:rPr>
            <w:t xml:space="preserve"> Sixty years since the creation of Lake Kariba: Thermal and oxygen dynamics in the riverine and lacustrine sub-basins. </w:t>
          </w:r>
          <w:proofErr w:type="spellStart"/>
          <w:r>
            <w:rPr>
              <w:rFonts w:eastAsia="Times New Roman"/>
              <w:i/>
              <w:iCs/>
            </w:rPr>
            <w:t>PLoS</w:t>
          </w:r>
          <w:proofErr w:type="spellEnd"/>
          <w:r>
            <w:rPr>
              <w:rFonts w:eastAsia="Times New Roman"/>
              <w:i/>
              <w:iCs/>
            </w:rPr>
            <w:t xml:space="preserve"> One</w:t>
          </w:r>
          <w:r>
            <w:rPr>
              <w:rFonts w:eastAsia="Times New Roman"/>
            </w:rPr>
            <w:t xml:space="preserve"> </w:t>
          </w:r>
          <w:r>
            <w:rPr>
              <w:rFonts w:eastAsia="Times New Roman"/>
              <w:b/>
              <w:bCs/>
            </w:rPr>
            <w:t>14</w:t>
          </w:r>
          <w:r>
            <w:rPr>
              <w:rFonts w:eastAsia="Times New Roman"/>
            </w:rPr>
            <w:t>, 1–22 (2019).</w:t>
          </w:r>
        </w:p>
        <w:p w14:paraId="4653A461" w14:textId="77777777" w:rsidR="008E32A9" w:rsidRDefault="008E32A9">
          <w:pPr>
            <w:autoSpaceDE w:val="0"/>
            <w:autoSpaceDN w:val="0"/>
            <w:ind w:hanging="640"/>
            <w:divId w:val="1771899557"/>
            <w:rPr>
              <w:rFonts w:eastAsia="Times New Roman"/>
            </w:rPr>
          </w:pPr>
          <w:r>
            <w:rPr>
              <w:rFonts w:eastAsia="Times New Roman"/>
            </w:rPr>
            <w:t>8.</w:t>
          </w:r>
          <w:r>
            <w:rPr>
              <w:rFonts w:eastAsia="Times New Roman"/>
            </w:rPr>
            <w:tab/>
            <w:t xml:space="preserve">Burger, D. F., Hamilton, D. P. &amp; </w:t>
          </w:r>
          <w:proofErr w:type="spellStart"/>
          <w:r>
            <w:rPr>
              <w:rFonts w:eastAsia="Times New Roman"/>
            </w:rPr>
            <w:t>Pilditch</w:t>
          </w:r>
          <w:proofErr w:type="spellEnd"/>
          <w:r>
            <w:rPr>
              <w:rFonts w:eastAsia="Times New Roman"/>
            </w:rPr>
            <w:t xml:space="preserve">, C. A. Modelling the relative importance of internal and external nutrient loads on water column nutrient concentrations and phytoplankton biomass in a shallow polymictic lake. </w:t>
          </w:r>
          <w:proofErr w:type="spellStart"/>
          <w:r>
            <w:rPr>
              <w:rFonts w:eastAsia="Times New Roman"/>
              <w:i/>
              <w:iCs/>
            </w:rPr>
            <w:t>Ecol</w:t>
          </w:r>
          <w:proofErr w:type="spellEnd"/>
          <w:r>
            <w:rPr>
              <w:rFonts w:eastAsia="Times New Roman"/>
              <w:i/>
              <w:iCs/>
            </w:rPr>
            <w:t xml:space="preserve"> Modell</w:t>
          </w:r>
          <w:r>
            <w:rPr>
              <w:rFonts w:eastAsia="Times New Roman"/>
            </w:rPr>
            <w:t xml:space="preserve"> </w:t>
          </w:r>
          <w:r>
            <w:rPr>
              <w:rFonts w:eastAsia="Times New Roman"/>
              <w:b/>
              <w:bCs/>
            </w:rPr>
            <w:t>211</w:t>
          </w:r>
          <w:r>
            <w:rPr>
              <w:rFonts w:eastAsia="Times New Roman"/>
            </w:rPr>
            <w:t>, 411–423 (2008).</w:t>
          </w:r>
        </w:p>
        <w:p w14:paraId="11D5F4FC" w14:textId="77777777" w:rsidR="008E32A9" w:rsidRPr="008E32A9" w:rsidRDefault="008E32A9">
          <w:pPr>
            <w:autoSpaceDE w:val="0"/>
            <w:autoSpaceDN w:val="0"/>
            <w:ind w:hanging="640"/>
            <w:divId w:val="1761871288"/>
            <w:rPr>
              <w:rFonts w:eastAsia="Times New Roman"/>
              <w:lang w:val="pt-BR"/>
            </w:rPr>
          </w:pPr>
          <w:r>
            <w:rPr>
              <w:rFonts w:eastAsia="Times New Roman"/>
            </w:rPr>
            <w:t>9.</w:t>
          </w:r>
          <w:r>
            <w:rPr>
              <w:rFonts w:eastAsia="Times New Roman"/>
            </w:rPr>
            <w:tab/>
          </w:r>
          <w:proofErr w:type="spellStart"/>
          <w:r>
            <w:rPr>
              <w:rFonts w:eastAsia="Times New Roman"/>
            </w:rPr>
            <w:t>Özkundakci</w:t>
          </w:r>
          <w:proofErr w:type="spellEnd"/>
          <w:r>
            <w:rPr>
              <w:rFonts w:eastAsia="Times New Roman"/>
            </w:rPr>
            <w:t xml:space="preserve">, D., Hamilton, D. P. &amp; </w:t>
          </w:r>
          <w:proofErr w:type="spellStart"/>
          <w:r>
            <w:rPr>
              <w:rFonts w:eastAsia="Times New Roman"/>
            </w:rPr>
            <w:t>Trolle</w:t>
          </w:r>
          <w:proofErr w:type="spellEnd"/>
          <w:r>
            <w:rPr>
              <w:rFonts w:eastAsia="Times New Roman"/>
            </w:rPr>
            <w:t xml:space="preserve">, D. Modelling the response of a highly eutrophic lake to reductions in external and internal nutrient loading. </w:t>
          </w:r>
          <w:r w:rsidRPr="008E32A9">
            <w:rPr>
              <w:rFonts w:eastAsia="Times New Roman"/>
              <w:i/>
              <w:iCs/>
              <w:lang w:val="pt-BR"/>
            </w:rPr>
            <w:t xml:space="preserve">N Z J Mar </w:t>
          </w:r>
          <w:proofErr w:type="spellStart"/>
          <w:r w:rsidRPr="008E32A9">
            <w:rPr>
              <w:rFonts w:eastAsia="Times New Roman"/>
              <w:i/>
              <w:iCs/>
              <w:lang w:val="pt-BR"/>
            </w:rPr>
            <w:t>Freshwater</w:t>
          </w:r>
          <w:proofErr w:type="spellEnd"/>
          <w:r w:rsidRPr="008E32A9">
            <w:rPr>
              <w:rFonts w:eastAsia="Times New Roman"/>
              <w:i/>
              <w:iCs/>
              <w:lang w:val="pt-BR"/>
            </w:rPr>
            <w:t xml:space="preserve"> Res</w:t>
          </w:r>
          <w:r w:rsidRPr="008E32A9">
            <w:rPr>
              <w:rFonts w:eastAsia="Times New Roman"/>
              <w:lang w:val="pt-BR"/>
            </w:rPr>
            <w:t xml:space="preserve"> </w:t>
          </w:r>
          <w:r w:rsidRPr="008E32A9">
            <w:rPr>
              <w:rFonts w:eastAsia="Times New Roman"/>
              <w:b/>
              <w:bCs/>
              <w:lang w:val="pt-BR"/>
            </w:rPr>
            <w:t>45</w:t>
          </w:r>
          <w:r w:rsidRPr="008E32A9">
            <w:rPr>
              <w:rFonts w:eastAsia="Times New Roman"/>
              <w:lang w:val="pt-BR"/>
            </w:rPr>
            <w:t>, 165–185 (2011).</w:t>
          </w:r>
        </w:p>
        <w:p w14:paraId="58240F8F" w14:textId="77777777" w:rsidR="008E32A9" w:rsidRDefault="008E32A9">
          <w:pPr>
            <w:autoSpaceDE w:val="0"/>
            <w:autoSpaceDN w:val="0"/>
            <w:ind w:hanging="640"/>
            <w:divId w:val="2038694096"/>
            <w:rPr>
              <w:rFonts w:eastAsia="Times New Roman"/>
            </w:rPr>
          </w:pPr>
          <w:r w:rsidRPr="008E32A9">
            <w:rPr>
              <w:rFonts w:eastAsia="Times New Roman"/>
              <w:lang w:val="pt-BR"/>
            </w:rPr>
            <w:t>10.</w:t>
          </w:r>
          <w:r w:rsidRPr="008E32A9">
            <w:rPr>
              <w:rFonts w:eastAsia="Times New Roman"/>
              <w:lang w:val="pt-BR"/>
            </w:rPr>
            <w:tab/>
          </w:r>
          <w:proofErr w:type="spellStart"/>
          <w:r w:rsidRPr="008E32A9">
            <w:rPr>
              <w:rFonts w:eastAsia="Times New Roman"/>
              <w:lang w:val="pt-BR"/>
            </w:rPr>
            <w:t>Hipsey</w:t>
          </w:r>
          <w:proofErr w:type="spellEnd"/>
          <w:r w:rsidRPr="008E32A9">
            <w:rPr>
              <w:rFonts w:eastAsia="Times New Roman"/>
              <w:lang w:val="pt-BR"/>
            </w:rPr>
            <w:t xml:space="preserve">, M. R. </w:t>
          </w:r>
          <w:r w:rsidRPr="008E32A9">
            <w:rPr>
              <w:rFonts w:eastAsia="Times New Roman"/>
              <w:i/>
              <w:iCs/>
              <w:lang w:val="pt-BR"/>
            </w:rPr>
            <w:t>et al.</w:t>
          </w:r>
          <w:r w:rsidRPr="008E32A9">
            <w:rPr>
              <w:rFonts w:eastAsia="Times New Roman"/>
              <w:lang w:val="pt-BR"/>
            </w:rPr>
            <w:t xml:space="preserve"> </w:t>
          </w:r>
          <w:r>
            <w:rPr>
              <w:rFonts w:eastAsia="Times New Roman"/>
            </w:rPr>
            <w:t xml:space="preserve">A system of metrics for the assessment and improvement of aquatic ecosystem models. </w:t>
          </w:r>
          <w:r>
            <w:rPr>
              <w:rFonts w:eastAsia="Times New Roman"/>
              <w:i/>
              <w:iCs/>
            </w:rPr>
            <w:t>Environmental Modelling and Software</w:t>
          </w:r>
          <w:r>
            <w:rPr>
              <w:rFonts w:eastAsia="Times New Roman"/>
            </w:rPr>
            <w:t xml:space="preserve"> </w:t>
          </w:r>
          <w:r>
            <w:rPr>
              <w:rFonts w:eastAsia="Times New Roman"/>
              <w:b/>
              <w:bCs/>
            </w:rPr>
            <w:t>128</w:t>
          </w:r>
          <w:r>
            <w:rPr>
              <w:rFonts w:eastAsia="Times New Roman"/>
            </w:rPr>
            <w:t>, (2020).</w:t>
          </w:r>
        </w:p>
        <w:p w14:paraId="7A75BAA3" w14:textId="77777777" w:rsidR="008E32A9" w:rsidRDefault="008E32A9">
          <w:pPr>
            <w:autoSpaceDE w:val="0"/>
            <w:autoSpaceDN w:val="0"/>
            <w:ind w:hanging="640"/>
            <w:divId w:val="1086459952"/>
            <w:rPr>
              <w:rFonts w:eastAsia="Times New Roman"/>
            </w:rPr>
          </w:pPr>
          <w:r>
            <w:rPr>
              <w:rFonts w:eastAsia="Times New Roman"/>
            </w:rPr>
            <w:t>11.</w:t>
          </w:r>
          <w:r>
            <w:rPr>
              <w:rFonts w:eastAsia="Times New Roman"/>
            </w:rPr>
            <w:tab/>
          </w:r>
          <w:proofErr w:type="spellStart"/>
          <w:r>
            <w:rPr>
              <w:rFonts w:eastAsia="Times New Roman"/>
            </w:rPr>
            <w:t>Hipsey</w:t>
          </w:r>
          <w:proofErr w:type="spellEnd"/>
          <w:r>
            <w:rPr>
              <w:rFonts w:eastAsia="Times New Roman"/>
            </w:rPr>
            <w:t>, M. R. Modelling Aquatic Eco-Dynamics: Overview of the AED modular simulation platform. Preprint at (2022).</w:t>
          </w:r>
        </w:p>
        <w:p w14:paraId="1185E951" w14:textId="77777777" w:rsidR="008E32A9" w:rsidRDefault="008E32A9">
          <w:pPr>
            <w:autoSpaceDE w:val="0"/>
            <w:autoSpaceDN w:val="0"/>
            <w:ind w:hanging="640"/>
            <w:divId w:val="40640281"/>
            <w:rPr>
              <w:rFonts w:eastAsia="Times New Roman"/>
            </w:rPr>
          </w:pPr>
          <w:r>
            <w:rPr>
              <w:rFonts w:eastAsia="Times New Roman"/>
            </w:rPr>
            <w:t>12.</w:t>
          </w:r>
          <w:r>
            <w:rPr>
              <w:rFonts w:eastAsia="Times New Roman"/>
            </w:rPr>
            <w:tab/>
            <w:t xml:space="preserve">Hansen, N. The CMA Evolution Strategy: A Tutorial. </w:t>
          </w:r>
          <w:r>
            <w:rPr>
              <w:rFonts w:eastAsia="Times New Roman"/>
              <w:i/>
              <w:iCs/>
            </w:rPr>
            <w:t>https://arxiv.org/abs/1604.00772</w:t>
          </w:r>
          <w:r>
            <w:rPr>
              <w:rFonts w:eastAsia="Times New Roman"/>
            </w:rPr>
            <w:t xml:space="preserve"> (2016).</w:t>
          </w:r>
        </w:p>
        <w:p w14:paraId="595483B1" w14:textId="77777777" w:rsidR="008E32A9" w:rsidRDefault="008E32A9">
          <w:pPr>
            <w:autoSpaceDE w:val="0"/>
            <w:autoSpaceDN w:val="0"/>
            <w:ind w:hanging="640"/>
            <w:divId w:val="230239457"/>
            <w:rPr>
              <w:rFonts w:eastAsia="Times New Roman"/>
            </w:rPr>
          </w:pPr>
          <w:r>
            <w:rPr>
              <w:rFonts w:eastAsia="Times New Roman"/>
            </w:rPr>
            <w:t>13.</w:t>
          </w:r>
          <w:r>
            <w:rPr>
              <w:rFonts w:eastAsia="Times New Roman"/>
            </w:rPr>
            <w:tab/>
          </w:r>
          <w:proofErr w:type="spellStart"/>
          <w:r>
            <w:rPr>
              <w:rFonts w:eastAsia="Times New Roman"/>
            </w:rPr>
            <w:t>Fenocchi</w:t>
          </w:r>
          <w:proofErr w:type="spellEnd"/>
          <w:r>
            <w:rPr>
              <w:rFonts w:eastAsia="Times New Roman"/>
            </w:rPr>
            <w:t xml:space="preserve">, A. </w:t>
          </w:r>
          <w:r>
            <w:rPr>
              <w:rFonts w:eastAsia="Times New Roman"/>
              <w:i/>
              <w:iCs/>
            </w:rPr>
            <w:t>et al.</w:t>
          </w:r>
          <w:r>
            <w:rPr>
              <w:rFonts w:eastAsia="Times New Roman"/>
            </w:rPr>
            <w:t xml:space="preserve"> Applicability of a one-dimensional coupled ecological-hydrodynamic numerical model to future projections in a very deep large lake (Lake Maggiore, Northern Italy/Southern Switzerland). </w:t>
          </w:r>
          <w:proofErr w:type="spellStart"/>
          <w:r>
            <w:rPr>
              <w:rFonts w:eastAsia="Times New Roman"/>
              <w:i/>
              <w:iCs/>
            </w:rPr>
            <w:t>Ecol</w:t>
          </w:r>
          <w:proofErr w:type="spellEnd"/>
          <w:r>
            <w:rPr>
              <w:rFonts w:eastAsia="Times New Roman"/>
              <w:i/>
              <w:iCs/>
            </w:rPr>
            <w:t xml:space="preserve"> Modell</w:t>
          </w:r>
          <w:r>
            <w:rPr>
              <w:rFonts w:eastAsia="Times New Roman"/>
            </w:rPr>
            <w:t xml:space="preserve"> </w:t>
          </w:r>
          <w:r>
            <w:rPr>
              <w:rFonts w:eastAsia="Times New Roman"/>
              <w:b/>
              <w:bCs/>
            </w:rPr>
            <w:t>392</w:t>
          </w:r>
          <w:r>
            <w:rPr>
              <w:rFonts w:eastAsia="Times New Roman"/>
            </w:rPr>
            <w:t>, 38–51 (2019).</w:t>
          </w:r>
        </w:p>
        <w:p w14:paraId="1A4D1124" w14:textId="77777777" w:rsidR="008E32A9" w:rsidRDefault="008E32A9">
          <w:pPr>
            <w:autoSpaceDE w:val="0"/>
            <w:autoSpaceDN w:val="0"/>
            <w:ind w:hanging="640"/>
            <w:divId w:val="1132987851"/>
            <w:rPr>
              <w:rFonts w:eastAsia="Times New Roman"/>
            </w:rPr>
          </w:pPr>
          <w:r>
            <w:rPr>
              <w:rFonts w:eastAsia="Times New Roman"/>
            </w:rPr>
            <w:t>14.</w:t>
          </w:r>
          <w:r>
            <w:rPr>
              <w:rFonts w:eastAsia="Times New Roman"/>
            </w:rPr>
            <w:tab/>
          </w:r>
          <w:proofErr w:type="spellStart"/>
          <w:r>
            <w:rPr>
              <w:rFonts w:eastAsia="Times New Roman"/>
            </w:rPr>
            <w:t>Ladwig</w:t>
          </w:r>
          <w:proofErr w:type="spellEnd"/>
          <w:r>
            <w:rPr>
              <w:rFonts w:eastAsia="Times New Roman"/>
            </w:rPr>
            <w:t xml:space="preserve">, R. </w:t>
          </w:r>
          <w:r>
            <w:rPr>
              <w:rFonts w:eastAsia="Times New Roman"/>
              <w:i/>
              <w:iCs/>
            </w:rPr>
            <w:t>et al.</w:t>
          </w:r>
          <w:r>
            <w:rPr>
              <w:rFonts w:eastAsia="Times New Roman"/>
            </w:rPr>
            <w:t xml:space="preserve"> Lake thermal structure drives interannual variability in summer anoxia dynamics in a eutrophic lake over 37 years. </w:t>
          </w:r>
          <w:proofErr w:type="spellStart"/>
          <w:r>
            <w:rPr>
              <w:rFonts w:eastAsia="Times New Roman"/>
              <w:i/>
              <w:iCs/>
            </w:rPr>
            <w:t>Hydrol</w:t>
          </w:r>
          <w:proofErr w:type="spellEnd"/>
          <w:r>
            <w:rPr>
              <w:rFonts w:eastAsia="Times New Roman"/>
              <w:i/>
              <w:iCs/>
            </w:rPr>
            <w:t xml:space="preserve"> Earth Syst Sci</w:t>
          </w:r>
          <w:r>
            <w:rPr>
              <w:rFonts w:eastAsia="Times New Roman"/>
            </w:rPr>
            <w:t xml:space="preserve"> </w:t>
          </w:r>
          <w:r>
            <w:rPr>
              <w:rFonts w:eastAsia="Times New Roman"/>
              <w:b/>
              <w:bCs/>
            </w:rPr>
            <w:t>25</w:t>
          </w:r>
          <w:r>
            <w:rPr>
              <w:rFonts w:eastAsia="Times New Roman"/>
            </w:rPr>
            <w:t>, 1009–1032 (2021).</w:t>
          </w:r>
        </w:p>
        <w:p w14:paraId="199764E0" w14:textId="77777777" w:rsidR="008E32A9" w:rsidRDefault="008E32A9">
          <w:pPr>
            <w:autoSpaceDE w:val="0"/>
            <w:autoSpaceDN w:val="0"/>
            <w:ind w:hanging="640"/>
            <w:divId w:val="1419330685"/>
            <w:rPr>
              <w:rFonts w:eastAsia="Times New Roman"/>
            </w:rPr>
          </w:pPr>
          <w:r>
            <w:rPr>
              <w:rFonts w:eastAsia="Times New Roman"/>
            </w:rPr>
            <w:t>15.</w:t>
          </w:r>
          <w:r>
            <w:rPr>
              <w:rFonts w:eastAsia="Times New Roman"/>
            </w:rPr>
            <w:tab/>
            <w:t xml:space="preserve">Mi, C. </w:t>
          </w:r>
          <w:r>
            <w:rPr>
              <w:rFonts w:eastAsia="Times New Roman"/>
              <w:i/>
              <w:iCs/>
            </w:rPr>
            <w:t>et al.</w:t>
          </w:r>
          <w:r>
            <w:rPr>
              <w:rFonts w:eastAsia="Times New Roman"/>
            </w:rPr>
            <w:t xml:space="preserve"> Ensemble warming projections in Germany’s largest drinking water reservoir and potential adaptation strategies. </w:t>
          </w:r>
          <w:r>
            <w:rPr>
              <w:rFonts w:eastAsia="Times New Roman"/>
              <w:i/>
              <w:iCs/>
            </w:rPr>
            <w:t>Science of the Total Environment</w:t>
          </w:r>
          <w:r>
            <w:rPr>
              <w:rFonts w:eastAsia="Times New Roman"/>
            </w:rPr>
            <w:t xml:space="preserve"> </w:t>
          </w:r>
          <w:r>
            <w:rPr>
              <w:rFonts w:eastAsia="Times New Roman"/>
              <w:b/>
              <w:bCs/>
            </w:rPr>
            <w:t>748</w:t>
          </w:r>
          <w:r>
            <w:rPr>
              <w:rFonts w:eastAsia="Times New Roman"/>
            </w:rPr>
            <w:t>, 141366 (2020).</w:t>
          </w:r>
        </w:p>
        <w:p w14:paraId="6005B433" w14:textId="77777777" w:rsidR="008E32A9" w:rsidRDefault="008E32A9">
          <w:pPr>
            <w:autoSpaceDE w:val="0"/>
            <w:autoSpaceDN w:val="0"/>
            <w:ind w:hanging="640"/>
            <w:divId w:val="2123456375"/>
            <w:rPr>
              <w:rFonts w:eastAsia="Times New Roman"/>
            </w:rPr>
          </w:pPr>
          <w:r>
            <w:rPr>
              <w:rFonts w:eastAsia="Times New Roman"/>
            </w:rPr>
            <w:t>16.</w:t>
          </w:r>
          <w:r>
            <w:rPr>
              <w:rFonts w:eastAsia="Times New Roman"/>
            </w:rPr>
            <w:tab/>
          </w:r>
          <w:proofErr w:type="spellStart"/>
          <w:r>
            <w:rPr>
              <w:rFonts w:eastAsia="Times New Roman"/>
            </w:rPr>
            <w:t>Soulignac</w:t>
          </w:r>
          <w:proofErr w:type="spellEnd"/>
          <w:r>
            <w:rPr>
              <w:rFonts w:eastAsia="Times New Roman"/>
            </w:rPr>
            <w:t xml:space="preserve">, F. </w:t>
          </w:r>
          <w:r>
            <w:rPr>
              <w:rFonts w:eastAsia="Times New Roman"/>
              <w:i/>
              <w:iCs/>
            </w:rPr>
            <w:t>et al.</w:t>
          </w:r>
          <w:r>
            <w:rPr>
              <w:rFonts w:eastAsia="Times New Roman"/>
            </w:rPr>
            <w:t xml:space="preserve"> Contribution of 3D coupled hydrodynamic-ecological modeling to assess the representativeness of a sampling protocol for lake water quality assessment. </w:t>
          </w:r>
          <w:proofErr w:type="spellStart"/>
          <w:r>
            <w:rPr>
              <w:rFonts w:eastAsia="Times New Roman"/>
              <w:i/>
              <w:iCs/>
            </w:rPr>
            <w:t>Knowl</w:t>
          </w:r>
          <w:proofErr w:type="spellEnd"/>
          <w:r>
            <w:rPr>
              <w:rFonts w:eastAsia="Times New Roman"/>
              <w:i/>
              <w:iCs/>
            </w:rPr>
            <w:t xml:space="preserve"> </w:t>
          </w:r>
          <w:proofErr w:type="spellStart"/>
          <w:r>
            <w:rPr>
              <w:rFonts w:eastAsia="Times New Roman"/>
              <w:i/>
              <w:iCs/>
            </w:rPr>
            <w:t>Manag</w:t>
          </w:r>
          <w:proofErr w:type="spellEnd"/>
          <w:r>
            <w:rPr>
              <w:rFonts w:eastAsia="Times New Roman"/>
              <w:i/>
              <w:iCs/>
            </w:rPr>
            <w:t xml:space="preserve"> </w:t>
          </w:r>
          <w:proofErr w:type="spellStart"/>
          <w:r>
            <w:rPr>
              <w:rFonts w:eastAsia="Times New Roman"/>
              <w:i/>
              <w:iCs/>
            </w:rPr>
            <w:t>Aquat</w:t>
          </w:r>
          <w:proofErr w:type="spellEnd"/>
          <w:r>
            <w:rPr>
              <w:rFonts w:eastAsia="Times New Roman"/>
              <w:i/>
              <w:iCs/>
            </w:rPr>
            <w:t xml:space="preserve"> </w:t>
          </w:r>
          <w:proofErr w:type="spellStart"/>
          <w:r>
            <w:rPr>
              <w:rFonts w:eastAsia="Times New Roman"/>
              <w:i/>
              <w:iCs/>
            </w:rPr>
            <w:t>Ecosyst</w:t>
          </w:r>
          <w:proofErr w:type="spellEnd"/>
          <w:r>
            <w:rPr>
              <w:rFonts w:eastAsia="Times New Roman"/>
            </w:rPr>
            <w:t xml:space="preserve"> 42 (2019) doi:10.1051/</w:t>
          </w:r>
          <w:proofErr w:type="spellStart"/>
          <w:r>
            <w:rPr>
              <w:rFonts w:eastAsia="Times New Roman"/>
            </w:rPr>
            <w:t>kmae</w:t>
          </w:r>
          <w:proofErr w:type="spellEnd"/>
          <w:r>
            <w:rPr>
              <w:rFonts w:eastAsia="Times New Roman"/>
            </w:rPr>
            <w:t>/2019034.</w:t>
          </w:r>
        </w:p>
        <w:p w14:paraId="55DEE5AA" w14:textId="77777777" w:rsidR="008E32A9" w:rsidRDefault="008E32A9">
          <w:pPr>
            <w:autoSpaceDE w:val="0"/>
            <w:autoSpaceDN w:val="0"/>
            <w:ind w:hanging="640"/>
            <w:divId w:val="1915358180"/>
            <w:rPr>
              <w:rFonts w:eastAsia="Times New Roman"/>
            </w:rPr>
          </w:pPr>
          <w:r>
            <w:rPr>
              <w:rFonts w:eastAsia="Times New Roman"/>
            </w:rPr>
            <w:t>17.</w:t>
          </w:r>
          <w:r>
            <w:rPr>
              <w:rFonts w:eastAsia="Times New Roman"/>
            </w:rPr>
            <w:tab/>
            <w:t xml:space="preserve">Soares, L. M. V. &amp; </w:t>
          </w:r>
          <w:proofErr w:type="spellStart"/>
          <w:r>
            <w:rPr>
              <w:rFonts w:eastAsia="Times New Roman"/>
            </w:rPr>
            <w:t>Calijuri</w:t>
          </w:r>
          <w:proofErr w:type="spellEnd"/>
          <w:r>
            <w:rPr>
              <w:rFonts w:eastAsia="Times New Roman"/>
            </w:rPr>
            <w:t xml:space="preserve">, M. do C. Deterministic modelling of freshwater lakes and reservoirs: Current trends and recent progress. </w:t>
          </w:r>
          <w:r>
            <w:rPr>
              <w:rFonts w:eastAsia="Times New Roman"/>
              <w:i/>
              <w:iCs/>
            </w:rPr>
            <w:t>Environmental Modelling and Software</w:t>
          </w:r>
          <w:r>
            <w:rPr>
              <w:rFonts w:eastAsia="Times New Roman"/>
            </w:rPr>
            <w:t xml:space="preserve"> vol. 144 Preprint at https://doi.org/10.1016/j.envsoft.2021.105143 (2021).</w:t>
          </w:r>
        </w:p>
        <w:p w14:paraId="150E1C7E" w14:textId="631D7C21" w:rsidR="00B2418E" w:rsidRPr="007F241F" w:rsidRDefault="008E32A9" w:rsidP="007F241F">
          <w:pPr>
            <w:pStyle w:val="NormalWeb"/>
            <w:spacing w:before="0" w:beforeAutospacing="0" w:after="240" w:afterAutospacing="0" w:line="360" w:lineRule="auto"/>
            <w:jc w:val="both"/>
            <w:rPr>
              <w:b/>
              <w:bCs/>
              <w:color w:val="0070C0"/>
            </w:rPr>
          </w:pPr>
          <w:r>
            <w:t> </w:t>
          </w:r>
        </w:p>
      </w:sdtContent>
    </w:sdt>
    <w:sectPr w:rsidR="00B2418E" w:rsidRPr="007F241F">
      <w:footerReference w:type="even" r:id="rId21"/>
      <w:foot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A4FB7D" w14:textId="77777777" w:rsidR="00684FA5" w:rsidRDefault="00684FA5" w:rsidP="00DE4871">
      <w:r>
        <w:separator/>
      </w:r>
    </w:p>
  </w:endnote>
  <w:endnote w:type="continuationSeparator" w:id="0">
    <w:p w14:paraId="0BFCA831" w14:textId="77777777" w:rsidR="00684FA5" w:rsidRDefault="00684FA5" w:rsidP="00DE48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13506210"/>
      <w:docPartObj>
        <w:docPartGallery w:val="Page Numbers (Bottom of Page)"/>
        <w:docPartUnique/>
      </w:docPartObj>
    </w:sdtPr>
    <w:sdtContent>
      <w:p w14:paraId="5320CDB0" w14:textId="77777777" w:rsidR="00B2418E" w:rsidRDefault="00B2418E" w:rsidP="00314F4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2C7FBEC4" w14:textId="77777777" w:rsidR="00B2418E" w:rsidRDefault="00B2418E" w:rsidP="00DE487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31065653"/>
      <w:docPartObj>
        <w:docPartGallery w:val="Page Numbers (Bottom of Page)"/>
        <w:docPartUnique/>
      </w:docPartObj>
    </w:sdtPr>
    <w:sdtContent>
      <w:p w14:paraId="3E9004A0" w14:textId="77777777" w:rsidR="00B2418E" w:rsidRDefault="00B2418E" w:rsidP="00314F4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60E51EE" w14:textId="77777777" w:rsidR="00B2418E" w:rsidRDefault="00B2418E" w:rsidP="00DE4871">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40749764"/>
      <w:docPartObj>
        <w:docPartGallery w:val="Page Numbers (Bottom of Page)"/>
        <w:docPartUnique/>
      </w:docPartObj>
    </w:sdtPr>
    <w:sdtContent>
      <w:p w14:paraId="31AD0F0F" w14:textId="493B5BD9" w:rsidR="00DE4871" w:rsidRDefault="00DE4871" w:rsidP="00314F4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FB08361" w14:textId="77777777" w:rsidR="00DE4871" w:rsidRDefault="00DE4871" w:rsidP="00DE4871">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41409724"/>
      <w:docPartObj>
        <w:docPartGallery w:val="Page Numbers (Bottom of Page)"/>
        <w:docPartUnique/>
      </w:docPartObj>
    </w:sdtPr>
    <w:sdtContent>
      <w:p w14:paraId="2086BFAC" w14:textId="4D428507" w:rsidR="00DE4871" w:rsidRDefault="00DE4871" w:rsidP="00314F4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464225A" w14:textId="77777777" w:rsidR="00DE4871" w:rsidRDefault="00DE4871" w:rsidP="00DE487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31EA35" w14:textId="77777777" w:rsidR="00684FA5" w:rsidRDefault="00684FA5" w:rsidP="00DE4871">
      <w:r>
        <w:separator/>
      </w:r>
    </w:p>
  </w:footnote>
  <w:footnote w:type="continuationSeparator" w:id="0">
    <w:p w14:paraId="04620FFF" w14:textId="77777777" w:rsidR="00684FA5" w:rsidRDefault="00684FA5" w:rsidP="00DE48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8602F2"/>
    <w:multiLevelType w:val="hybridMultilevel"/>
    <w:tmpl w:val="20B41A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474680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09CD"/>
    <w:rsid w:val="000009CD"/>
    <w:rsid w:val="00006DD1"/>
    <w:rsid w:val="000106FB"/>
    <w:rsid w:val="0001719F"/>
    <w:rsid w:val="000377DC"/>
    <w:rsid w:val="00037F9B"/>
    <w:rsid w:val="0006495A"/>
    <w:rsid w:val="00071790"/>
    <w:rsid w:val="000A1CC3"/>
    <w:rsid w:val="000C6BE6"/>
    <w:rsid w:val="00107D42"/>
    <w:rsid w:val="001363AB"/>
    <w:rsid w:val="00143295"/>
    <w:rsid w:val="00147296"/>
    <w:rsid w:val="00177578"/>
    <w:rsid w:val="001870D9"/>
    <w:rsid w:val="001A2CB1"/>
    <w:rsid w:val="001C46D5"/>
    <w:rsid w:val="002125F6"/>
    <w:rsid w:val="002A5777"/>
    <w:rsid w:val="00313819"/>
    <w:rsid w:val="003342FF"/>
    <w:rsid w:val="00356BB9"/>
    <w:rsid w:val="00356FDD"/>
    <w:rsid w:val="00366E8D"/>
    <w:rsid w:val="00386931"/>
    <w:rsid w:val="003A6DAE"/>
    <w:rsid w:val="003B53EA"/>
    <w:rsid w:val="003C0D0E"/>
    <w:rsid w:val="003E19C8"/>
    <w:rsid w:val="00422BB2"/>
    <w:rsid w:val="00423052"/>
    <w:rsid w:val="00424833"/>
    <w:rsid w:val="00441BDF"/>
    <w:rsid w:val="004773F5"/>
    <w:rsid w:val="0048285A"/>
    <w:rsid w:val="004E6313"/>
    <w:rsid w:val="005077E4"/>
    <w:rsid w:val="005265FF"/>
    <w:rsid w:val="005311DD"/>
    <w:rsid w:val="005564A7"/>
    <w:rsid w:val="00581E04"/>
    <w:rsid w:val="005B572C"/>
    <w:rsid w:val="005B663B"/>
    <w:rsid w:val="005C00BB"/>
    <w:rsid w:val="005F54EA"/>
    <w:rsid w:val="006054B0"/>
    <w:rsid w:val="00622A07"/>
    <w:rsid w:val="0065603A"/>
    <w:rsid w:val="006722AD"/>
    <w:rsid w:val="00684FA5"/>
    <w:rsid w:val="006A1E5C"/>
    <w:rsid w:val="006C3542"/>
    <w:rsid w:val="006C5643"/>
    <w:rsid w:val="006F6EE5"/>
    <w:rsid w:val="0072340B"/>
    <w:rsid w:val="0073121A"/>
    <w:rsid w:val="00761776"/>
    <w:rsid w:val="007638AF"/>
    <w:rsid w:val="007D1744"/>
    <w:rsid w:val="007F241F"/>
    <w:rsid w:val="0083726F"/>
    <w:rsid w:val="00883061"/>
    <w:rsid w:val="0088689F"/>
    <w:rsid w:val="008A3B48"/>
    <w:rsid w:val="008B13BC"/>
    <w:rsid w:val="008B406B"/>
    <w:rsid w:val="008E32A9"/>
    <w:rsid w:val="009237C7"/>
    <w:rsid w:val="00923ED0"/>
    <w:rsid w:val="00942A14"/>
    <w:rsid w:val="00950555"/>
    <w:rsid w:val="009823DD"/>
    <w:rsid w:val="00983205"/>
    <w:rsid w:val="009C388A"/>
    <w:rsid w:val="009F0DDD"/>
    <w:rsid w:val="009F285A"/>
    <w:rsid w:val="009F4566"/>
    <w:rsid w:val="00A064CB"/>
    <w:rsid w:val="00A14AB1"/>
    <w:rsid w:val="00A14EE6"/>
    <w:rsid w:val="00A23FBD"/>
    <w:rsid w:val="00A3021E"/>
    <w:rsid w:val="00A35CFE"/>
    <w:rsid w:val="00A44976"/>
    <w:rsid w:val="00A70478"/>
    <w:rsid w:val="00A7159B"/>
    <w:rsid w:val="00A717F9"/>
    <w:rsid w:val="00AC6F64"/>
    <w:rsid w:val="00AF12A9"/>
    <w:rsid w:val="00B07C1C"/>
    <w:rsid w:val="00B2336B"/>
    <w:rsid w:val="00B2418E"/>
    <w:rsid w:val="00B61AA4"/>
    <w:rsid w:val="00B658D5"/>
    <w:rsid w:val="00BB15CD"/>
    <w:rsid w:val="00BB59ED"/>
    <w:rsid w:val="00C22FF8"/>
    <w:rsid w:val="00C25255"/>
    <w:rsid w:val="00C32DBD"/>
    <w:rsid w:val="00C40762"/>
    <w:rsid w:val="00C42ECB"/>
    <w:rsid w:val="00C43C86"/>
    <w:rsid w:val="00C57501"/>
    <w:rsid w:val="00C6405E"/>
    <w:rsid w:val="00CA2C4C"/>
    <w:rsid w:val="00CB0E5F"/>
    <w:rsid w:val="00CC091B"/>
    <w:rsid w:val="00CC3344"/>
    <w:rsid w:val="00CC499D"/>
    <w:rsid w:val="00CD0F4F"/>
    <w:rsid w:val="00CD338E"/>
    <w:rsid w:val="00CE70A3"/>
    <w:rsid w:val="00D13A6D"/>
    <w:rsid w:val="00D477FE"/>
    <w:rsid w:val="00D64BD1"/>
    <w:rsid w:val="00D6670B"/>
    <w:rsid w:val="00D75310"/>
    <w:rsid w:val="00D92E94"/>
    <w:rsid w:val="00DA0B07"/>
    <w:rsid w:val="00DA1424"/>
    <w:rsid w:val="00DD7B56"/>
    <w:rsid w:val="00DE4871"/>
    <w:rsid w:val="00DE6258"/>
    <w:rsid w:val="00DF0D54"/>
    <w:rsid w:val="00E52A8E"/>
    <w:rsid w:val="00E5558E"/>
    <w:rsid w:val="00E7375B"/>
    <w:rsid w:val="00E77D67"/>
    <w:rsid w:val="00E8381E"/>
    <w:rsid w:val="00E96D52"/>
    <w:rsid w:val="00EA48C1"/>
    <w:rsid w:val="00EC4596"/>
    <w:rsid w:val="00EE2CE3"/>
    <w:rsid w:val="00F00917"/>
    <w:rsid w:val="00F11FF3"/>
    <w:rsid w:val="00F24A7C"/>
    <w:rsid w:val="00F36620"/>
    <w:rsid w:val="00F6768E"/>
    <w:rsid w:val="00F84704"/>
    <w:rsid w:val="00F866F2"/>
    <w:rsid w:val="00F871F6"/>
    <w:rsid w:val="00F90832"/>
    <w:rsid w:val="00FA1FEA"/>
    <w:rsid w:val="00FA5E34"/>
    <w:rsid w:val="00FB0586"/>
    <w:rsid w:val="00FC5B0D"/>
    <w:rsid w:val="00FD49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6F5F06"/>
  <w15:chartTrackingRefBased/>
  <w15:docId w15:val="{0A1AFF37-BC75-EF49-9D50-27DE462F8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qFormat/>
    <w:rsid w:val="000009CD"/>
    <w:pPr>
      <w:spacing w:before="100" w:beforeAutospacing="1" w:after="100" w:afterAutospacing="1"/>
    </w:pPr>
    <w:rPr>
      <w:rFonts w:ascii="Times New Roman" w:eastAsia="Times New Roman" w:hAnsi="Times New Roman" w:cs="Times New Roman"/>
    </w:rPr>
  </w:style>
  <w:style w:type="table" w:styleId="TableGrid">
    <w:name w:val="Table Grid"/>
    <w:basedOn w:val="TableNormal"/>
    <w:uiPriority w:val="39"/>
    <w:rsid w:val="00000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1719F"/>
    <w:rPr>
      <w:color w:val="0563C1" w:themeColor="hyperlink"/>
      <w:u w:val="single"/>
    </w:rPr>
  </w:style>
  <w:style w:type="paragraph" w:styleId="ListParagraph">
    <w:name w:val="List Paragraph"/>
    <w:basedOn w:val="Normal"/>
    <w:uiPriority w:val="34"/>
    <w:qFormat/>
    <w:rsid w:val="00A7159B"/>
    <w:pPr>
      <w:ind w:left="720"/>
      <w:contextualSpacing/>
    </w:pPr>
  </w:style>
  <w:style w:type="character" w:styleId="LineNumber">
    <w:name w:val="line number"/>
    <w:basedOn w:val="DefaultParagraphFont"/>
    <w:uiPriority w:val="99"/>
    <w:semiHidden/>
    <w:unhideWhenUsed/>
    <w:rsid w:val="00071790"/>
  </w:style>
  <w:style w:type="paragraph" w:styleId="Footer">
    <w:name w:val="footer"/>
    <w:basedOn w:val="Normal"/>
    <w:link w:val="FooterChar"/>
    <w:uiPriority w:val="99"/>
    <w:unhideWhenUsed/>
    <w:rsid w:val="00DE4871"/>
    <w:pPr>
      <w:tabs>
        <w:tab w:val="center" w:pos="4680"/>
        <w:tab w:val="right" w:pos="9360"/>
      </w:tabs>
    </w:pPr>
  </w:style>
  <w:style w:type="character" w:customStyle="1" w:styleId="FooterChar">
    <w:name w:val="Footer Char"/>
    <w:basedOn w:val="DefaultParagraphFont"/>
    <w:link w:val="Footer"/>
    <w:uiPriority w:val="99"/>
    <w:rsid w:val="00DE4871"/>
  </w:style>
  <w:style w:type="character" w:styleId="PageNumber">
    <w:name w:val="page number"/>
    <w:basedOn w:val="DefaultParagraphFont"/>
    <w:uiPriority w:val="99"/>
    <w:semiHidden/>
    <w:unhideWhenUsed/>
    <w:rsid w:val="00DE4871"/>
  </w:style>
  <w:style w:type="paragraph" w:styleId="Header">
    <w:name w:val="header"/>
    <w:basedOn w:val="Normal"/>
    <w:link w:val="HeaderChar"/>
    <w:uiPriority w:val="99"/>
    <w:unhideWhenUsed/>
    <w:rsid w:val="00DE4871"/>
    <w:pPr>
      <w:tabs>
        <w:tab w:val="center" w:pos="4680"/>
        <w:tab w:val="right" w:pos="9360"/>
      </w:tabs>
    </w:pPr>
  </w:style>
  <w:style w:type="character" w:customStyle="1" w:styleId="HeaderChar">
    <w:name w:val="Header Char"/>
    <w:basedOn w:val="DefaultParagraphFont"/>
    <w:link w:val="Header"/>
    <w:uiPriority w:val="99"/>
    <w:rsid w:val="00DE4871"/>
  </w:style>
  <w:style w:type="character" w:styleId="PlaceholderText">
    <w:name w:val="Placeholder Text"/>
    <w:basedOn w:val="DefaultParagraphFont"/>
    <w:uiPriority w:val="99"/>
    <w:semiHidden/>
    <w:rsid w:val="00C25255"/>
    <w:rPr>
      <w:color w:val="808080"/>
    </w:rPr>
  </w:style>
  <w:style w:type="character" w:customStyle="1" w:styleId="apple-converted-space">
    <w:name w:val="apple-converted-space"/>
    <w:basedOn w:val="DefaultParagraphFont"/>
    <w:rsid w:val="00EE2CE3"/>
  </w:style>
  <w:style w:type="character" w:customStyle="1" w:styleId="mwe-math-mathml-inline">
    <w:name w:val="mwe-math-mathml-inline"/>
    <w:basedOn w:val="DefaultParagraphFont"/>
    <w:rsid w:val="00EE2CE3"/>
  </w:style>
  <w:style w:type="paragraph" w:customStyle="1" w:styleId="msonormal0">
    <w:name w:val="msonormal"/>
    <w:basedOn w:val="Normal"/>
    <w:rsid w:val="00D477FE"/>
    <w:pPr>
      <w:spacing w:before="100" w:beforeAutospacing="1" w:after="100" w:afterAutospacing="1"/>
    </w:pPr>
    <w:rPr>
      <w:rFonts w:ascii="Times New Roman" w:eastAsiaTheme="minorEastAsia" w:hAnsi="Times New Roman" w:cs="Times New Roman"/>
    </w:rPr>
  </w:style>
  <w:style w:type="character" w:styleId="CommentReference">
    <w:name w:val="annotation reference"/>
    <w:basedOn w:val="DefaultParagraphFont"/>
    <w:unhideWhenUsed/>
    <w:rsid w:val="0006495A"/>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490401">
      <w:bodyDiv w:val="1"/>
      <w:marLeft w:val="0"/>
      <w:marRight w:val="0"/>
      <w:marTop w:val="0"/>
      <w:marBottom w:val="0"/>
      <w:divBdr>
        <w:top w:val="none" w:sz="0" w:space="0" w:color="auto"/>
        <w:left w:val="none" w:sz="0" w:space="0" w:color="auto"/>
        <w:bottom w:val="none" w:sz="0" w:space="0" w:color="auto"/>
        <w:right w:val="none" w:sz="0" w:space="0" w:color="auto"/>
      </w:divBdr>
      <w:divsChild>
        <w:div w:id="71509972">
          <w:marLeft w:val="640"/>
          <w:marRight w:val="0"/>
          <w:marTop w:val="0"/>
          <w:marBottom w:val="0"/>
          <w:divBdr>
            <w:top w:val="none" w:sz="0" w:space="0" w:color="auto"/>
            <w:left w:val="none" w:sz="0" w:space="0" w:color="auto"/>
            <w:bottom w:val="none" w:sz="0" w:space="0" w:color="auto"/>
            <w:right w:val="none" w:sz="0" w:space="0" w:color="auto"/>
          </w:divBdr>
        </w:div>
        <w:div w:id="1921790528">
          <w:marLeft w:val="640"/>
          <w:marRight w:val="0"/>
          <w:marTop w:val="0"/>
          <w:marBottom w:val="0"/>
          <w:divBdr>
            <w:top w:val="none" w:sz="0" w:space="0" w:color="auto"/>
            <w:left w:val="none" w:sz="0" w:space="0" w:color="auto"/>
            <w:bottom w:val="none" w:sz="0" w:space="0" w:color="auto"/>
            <w:right w:val="none" w:sz="0" w:space="0" w:color="auto"/>
          </w:divBdr>
        </w:div>
        <w:div w:id="1175655733">
          <w:marLeft w:val="640"/>
          <w:marRight w:val="0"/>
          <w:marTop w:val="0"/>
          <w:marBottom w:val="0"/>
          <w:divBdr>
            <w:top w:val="none" w:sz="0" w:space="0" w:color="auto"/>
            <w:left w:val="none" w:sz="0" w:space="0" w:color="auto"/>
            <w:bottom w:val="none" w:sz="0" w:space="0" w:color="auto"/>
            <w:right w:val="none" w:sz="0" w:space="0" w:color="auto"/>
          </w:divBdr>
        </w:div>
        <w:div w:id="740912147">
          <w:marLeft w:val="640"/>
          <w:marRight w:val="0"/>
          <w:marTop w:val="0"/>
          <w:marBottom w:val="0"/>
          <w:divBdr>
            <w:top w:val="none" w:sz="0" w:space="0" w:color="auto"/>
            <w:left w:val="none" w:sz="0" w:space="0" w:color="auto"/>
            <w:bottom w:val="none" w:sz="0" w:space="0" w:color="auto"/>
            <w:right w:val="none" w:sz="0" w:space="0" w:color="auto"/>
          </w:divBdr>
        </w:div>
        <w:div w:id="1231883469">
          <w:marLeft w:val="640"/>
          <w:marRight w:val="0"/>
          <w:marTop w:val="0"/>
          <w:marBottom w:val="0"/>
          <w:divBdr>
            <w:top w:val="none" w:sz="0" w:space="0" w:color="auto"/>
            <w:left w:val="none" w:sz="0" w:space="0" w:color="auto"/>
            <w:bottom w:val="none" w:sz="0" w:space="0" w:color="auto"/>
            <w:right w:val="none" w:sz="0" w:space="0" w:color="auto"/>
          </w:divBdr>
        </w:div>
        <w:div w:id="543760431">
          <w:marLeft w:val="640"/>
          <w:marRight w:val="0"/>
          <w:marTop w:val="0"/>
          <w:marBottom w:val="0"/>
          <w:divBdr>
            <w:top w:val="none" w:sz="0" w:space="0" w:color="auto"/>
            <w:left w:val="none" w:sz="0" w:space="0" w:color="auto"/>
            <w:bottom w:val="none" w:sz="0" w:space="0" w:color="auto"/>
            <w:right w:val="none" w:sz="0" w:space="0" w:color="auto"/>
          </w:divBdr>
        </w:div>
        <w:div w:id="1189103833">
          <w:marLeft w:val="640"/>
          <w:marRight w:val="0"/>
          <w:marTop w:val="0"/>
          <w:marBottom w:val="0"/>
          <w:divBdr>
            <w:top w:val="none" w:sz="0" w:space="0" w:color="auto"/>
            <w:left w:val="none" w:sz="0" w:space="0" w:color="auto"/>
            <w:bottom w:val="none" w:sz="0" w:space="0" w:color="auto"/>
            <w:right w:val="none" w:sz="0" w:space="0" w:color="auto"/>
          </w:divBdr>
        </w:div>
        <w:div w:id="1372144000">
          <w:marLeft w:val="640"/>
          <w:marRight w:val="0"/>
          <w:marTop w:val="0"/>
          <w:marBottom w:val="0"/>
          <w:divBdr>
            <w:top w:val="none" w:sz="0" w:space="0" w:color="auto"/>
            <w:left w:val="none" w:sz="0" w:space="0" w:color="auto"/>
            <w:bottom w:val="none" w:sz="0" w:space="0" w:color="auto"/>
            <w:right w:val="none" w:sz="0" w:space="0" w:color="auto"/>
          </w:divBdr>
        </w:div>
        <w:div w:id="1656496785">
          <w:marLeft w:val="640"/>
          <w:marRight w:val="0"/>
          <w:marTop w:val="0"/>
          <w:marBottom w:val="0"/>
          <w:divBdr>
            <w:top w:val="none" w:sz="0" w:space="0" w:color="auto"/>
            <w:left w:val="none" w:sz="0" w:space="0" w:color="auto"/>
            <w:bottom w:val="none" w:sz="0" w:space="0" w:color="auto"/>
            <w:right w:val="none" w:sz="0" w:space="0" w:color="auto"/>
          </w:divBdr>
        </w:div>
        <w:div w:id="543951427">
          <w:marLeft w:val="640"/>
          <w:marRight w:val="0"/>
          <w:marTop w:val="0"/>
          <w:marBottom w:val="0"/>
          <w:divBdr>
            <w:top w:val="none" w:sz="0" w:space="0" w:color="auto"/>
            <w:left w:val="none" w:sz="0" w:space="0" w:color="auto"/>
            <w:bottom w:val="none" w:sz="0" w:space="0" w:color="auto"/>
            <w:right w:val="none" w:sz="0" w:space="0" w:color="auto"/>
          </w:divBdr>
        </w:div>
        <w:div w:id="1196966113">
          <w:marLeft w:val="640"/>
          <w:marRight w:val="0"/>
          <w:marTop w:val="0"/>
          <w:marBottom w:val="0"/>
          <w:divBdr>
            <w:top w:val="none" w:sz="0" w:space="0" w:color="auto"/>
            <w:left w:val="none" w:sz="0" w:space="0" w:color="auto"/>
            <w:bottom w:val="none" w:sz="0" w:space="0" w:color="auto"/>
            <w:right w:val="none" w:sz="0" w:space="0" w:color="auto"/>
          </w:divBdr>
        </w:div>
        <w:div w:id="7366232">
          <w:marLeft w:val="640"/>
          <w:marRight w:val="0"/>
          <w:marTop w:val="0"/>
          <w:marBottom w:val="0"/>
          <w:divBdr>
            <w:top w:val="none" w:sz="0" w:space="0" w:color="auto"/>
            <w:left w:val="none" w:sz="0" w:space="0" w:color="auto"/>
            <w:bottom w:val="none" w:sz="0" w:space="0" w:color="auto"/>
            <w:right w:val="none" w:sz="0" w:space="0" w:color="auto"/>
          </w:divBdr>
        </w:div>
        <w:div w:id="1555656338">
          <w:marLeft w:val="640"/>
          <w:marRight w:val="0"/>
          <w:marTop w:val="0"/>
          <w:marBottom w:val="0"/>
          <w:divBdr>
            <w:top w:val="none" w:sz="0" w:space="0" w:color="auto"/>
            <w:left w:val="none" w:sz="0" w:space="0" w:color="auto"/>
            <w:bottom w:val="none" w:sz="0" w:space="0" w:color="auto"/>
            <w:right w:val="none" w:sz="0" w:space="0" w:color="auto"/>
          </w:divBdr>
        </w:div>
        <w:div w:id="1885435740">
          <w:marLeft w:val="640"/>
          <w:marRight w:val="0"/>
          <w:marTop w:val="0"/>
          <w:marBottom w:val="0"/>
          <w:divBdr>
            <w:top w:val="none" w:sz="0" w:space="0" w:color="auto"/>
            <w:left w:val="none" w:sz="0" w:space="0" w:color="auto"/>
            <w:bottom w:val="none" w:sz="0" w:space="0" w:color="auto"/>
            <w:right w:val="none" w:sz="0" w:space="0" w:color="auto"/>
          </w:divBdr>
        </w:div>
        <w:div w:id="1024356887">
          <w:marLeft w:val="640"/>
          <w:marRight w:val="0"/>
          <w:marTop w:val="0"/>
          <w:marBottom w:val="0"/>
          <w:divBdr>
            <w:top w:val="none" w:sz="0" w:space="0" w:color="auto"/>
            <w:left w:val="none" w:sz="0" w:space="0" w:color="auto"/>
            <w:bottom w:val="none" w:sz="0" w:space="0" w:color="auto"/>
            <w:right w:val="none" w:sz="0" w:space="0" w:color="auto"/>
          </w:divBdr>
        </w:div>
      </w:divsChild>
    </w:div>
    <w:div w:id="219293519">
      <w:bodyDiv w:val="1"/>
      <w:marLeft w:val="0"/>
      <w:marRight w:val="0"/>
      <w:marTop w:val="0"/>
      <w:marBottom w:val="0"/>
      <w:divBdr>
        <w:top w:val="none" w:sz="0" w:space="0" w:color="auto"/>
        <w:left w:val="none" w:sz="0" w:space="0" w:color="auto"/>
        <w:bottom w:val="none" w:sz="0" w:space="0" w:color="auto"/>
        <w:right w:val="none" w:sz="0" w:space="0" w:color="auto"/>
      </w:divBdr>
      <w:divsChild>
        <w:div w:id="1661887005">
          <w:marLeft w:val="0"/>
          <w:marRight w:val="0"/>
          <w:marTop w:val="0"/>
          <w:marBottom w:val="0"/>
          <w:divBdr>
            <w:top w:val="none" w:sz="0" w:space="0" w:color="auto"/>
            <w:left w:val="none" w:sz="0" w:space="0" w:color="auto"/>
            <w:bottom w:val="none" w:sz="0" w:space="0" w:color="auto"/>
            <w:right w:val="none" w:sz="0" w:space="0" w:color="auto"/>
          </w:divBdr>
          <w:divsChild>
            <w:div w:id="467012672">
              <w:marLeft w:val="0"/>
              <w:marRight w:val="0"/>
              <w:marTop w:val="0"/>
              <w:marBottom w:val="0"/>
              <w:divBdr>
                <w:top w:val="none" w:sz="0" w:space="0" w:color="auto"/>
                <w:left w:val="none" w:sz="0" w:space="0" w:color="auto"/>
                <w:bottom w:val="none" w:sz="0" w:space="0" w:color="auto"/>
                <w:right w:val="none" w:sz="0" w:space="0" w:color="auto"/>
              </w:divBdr>
              <w:divsChild>
                <w:div w:id="569920831">
                  <w:marLeft w:val="0"/>
                  <w:marRight w:val="0"/>
                  <w:marTop w:val="0"/>
                  <w:marBottom w:val="0"/>
                  <w:divBdr>
                    <w:top w:val="none" w:sz="0" w:space="0" w:color="auto"/>
                    <w:left w:val="none" w:sz="0" w:space="0" w:color="auto"/>
                    <w:bottom w:val="none" w:sz="0" w:space="0" w:color="auto"/>
                    <w:right w:val="none" w:sz="0" w:space="0" w:color="auto"/>
                  </w:divBdr>
                </w:div>
              </w:divsChild>
            </w:div>
            <w:div w:id="1328483551">
              <w:marLeft w:val="0"/>
              <w:marRight w:val="0"/>
              <w:marTop w:val="0"/>
              <w:marBottom w:val="0"/>
              <w:divBdr>
                <w:top w:val="none" w:sz="0" w:space="0" w:color="auto"/>
                <w:left w:val="none" w:sz="0" w:space="0" w:color="auto"/>
                <w:bottom w:val="none" w:sz="0" w:space="0" w:color="auto"/>
                <w:right w:val="none" w:sz="0" w:space="0" w:color="auto"/>
              </w:divBdr>
              <w:divsChild>
                <w:div w:id="1961296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1893524">
      <w:bodyDiv w:val="1"/>
      <w:marLeft w:val="0"/>
      <w:marRight w:val="0"/>
      <w:marTop w:val="0"/>
      <w:marBottom w:val="0"/>
      <w:divBdr>
        <w:top w:val="none" w:sz="0" w:space="0" w:color="auto"/>
        <w:left w:val="none" w:sz="0" w:space="0" w:color="auto"/>
        <w:bottom w:val="none" w:sz="0" w:space="0" w:color="auto"/>
        <w:right w:val="none" w:sz="0" w:space="0" w:color="auto"/>
      </w:divBdr>
      <w:divsChild>
        <w:div w:id="1146043784">
          <w:marLeft w:val="640"/>
          <w:marRight w:val="0"/>
          <w:marTop w:val="0"/>
          <w:marBottom w:val="0"/>
          <w:divBdr>
            <w:top w:val="none" w:sz="0" w:space="0" w:color="auto"/>
            <w:left w:val="none" w:sz="0" w:space="0" w:color="auto"/>
            <w:bottom w:val="none" w:sz="0" w:space="0" w:color="auto"/>
            <w:right w:val="none" w:sz="0" w:space="0" w:color="auto"/>
          </w:divBdr>
        </w:div>
        <w:div w:id="465394687">
          <w:marLeft w:val="640"/>
          <w:marRight w:val="0"/>
          <w:marTop w:val="0"/>
          <w:marBottom w:val="0"/>
          <w:divBdr>
            <w:top w:val="none" w:sz="0" w:space="0" w:color="auto"/>
            <w:left w:val="none" w:sz="0" w:space="0" w:color="auto"/>
            <w:bottom w:val="none" w:sz="0" w:space="0" w:color="auto"/>
            <w:right w:val="none" w:sz="0" w:space="0" w:color="auto"/>
          </w:divBdr>
        </w:div>
        <w:div w:id="1771195127">
          <w:marLeft w:val="640"/>
          <w:marRight w:val="0"/>
          <w:marTop w:val="0"/>
          <w:marBottom w:val="0"/>
          <w:divBdr>
            <w:top w:val="none" w:sz="0" w:space="0" w:color="auto"/>
            <w:left w:val="none" w:sz="0" w:space="0" w:color="auto"/>
            <w:bottom w:val="none" w:sz="0" w:space="0" w:color="auto"/>
            <w:right w:val="none" w:sz="0" w:space="0" w:color="auto"/>
          </w:divBdr>
        </w:div>
        <w:div w:id="216164669">
          <w:marLeft w:val="640"/>
          <w:marRight w:val="0"/>
          <w:marTop w:val="0"/>
          <w:marBottom w:val="0"/>
          <w:divBdr>
            <w:top w:val="none" w:sz="0" w:space="0" w:color="auto"/>
            <w:left w:val="none" w:sz="0" w:space="0" w:color="auto"/>
            <w:bottom w:val="none" w:sz="0" w:space="0" w:color="auto"/>
            <w:right w:val="none" w:sz="0" w:space="0" w:color="auto"/>
          </w:divBdr>
        </w:div>
        <w:div w:id="1569002594">
          <w:marLeft w:val="640"/>
          <w:marRight w:val="0"/>
          <w:marTop w:val="0"/>
          <w:marBottom w:val="0"/>
          <w:divBdr>
            <w:top w:val="none" w:sz="0" w:space="0" w:color="auto"/>
            <w:left w:val="none" w:sz="0" w:space="0" w:color="auto"/>
            <w:bottom w:val="none" w:sz="0" w:space="0" w:color="auto"/>
            <w:right w:val="none" w:sz="0" w:space="0" w:color="auto"/>
          </w:divBdr>
        </w:div>
        <w:div w:id="1925258785">
          <w:marLeft w:val="640"/>
          <w:marRight w:val="0"/>
          <w:marTop w:val="0"/>
          <w:marBottom w:val="0"/>
          <w:divBdr>
            <w:top w:val="none" w:sz="0" w:space="0" w:color="auto"/>
            <w:left w:val="none" w:sz="0" w:space="0" w:color="auto"/>
            <w:bottom w:val="none" w:sz="0" w:space="0" w:color="auto"/>
            <w:right w:val="none" w:sz="0" w:space="0" w:color="auto"/>
          </w:divBdr>
        </w:div>
        <w:div w:id="1542861155">
          <w:marLeft w:val="640"/>
          <w:marRight w:val="0"/>
          <w:marTop w:val="0"/>
          <w:marBottom w:val="0"/>
          <w:divBdr>
            <w:top w:val="none" w:sz="0" w:space="0" w:color="auto"/>
            <w:left w:val="none" w:sz="0" w:space="0" w:color="auto"/>
            <w:bottom w:val="none" w:sz="0" w:space="0" w:color="auto"/>
            <w:right w:val="none" w:sz="0" w:space="0" w:color="auto"/>
          </w:divBdr>
        </w:div>
        <w:div w:id="657536920">
          <w:marLeft w:val="640"/>
          <w:marRight w:val="0"/>
          <w:marTop w:val="0"/>
          <w:marBottom w:val="0"/>
          <w:divBdr>
            <w:top w:val="none" w:sz="0" w:space="0" w:color="auto"/>
            <w:left w:val="none" w:sz="0" w:space="0" w:color="auto"/>
            <w:bottom w:val="none" w:sz="0" w:space="0" w:color="auto"/>
            <w:right w:val="none" w:sz="0" w:space="0" w:color="auto"/>
          </w:divBdr>
        </w:div>
        <w:div w:id="1368749876">
          <w:marLeft w:val="640"/>
          <w:marRight w:val="0"/>
          <w:marTop w:val="0"/>
          <w:marBottom w:val="0"/>
          <w:divBdr>
            <w:top w:val="none" w:sz="0" w:space="0" w:color="auto"/>
            <w:left w:val="none" w:sz="0" w:space="0" w:color="auto"/>
            <w:bottom w:val="none" w:sz="0" w:space="0" w:color="auto"/>
            <w:right w:val="none" w:sz="0" w:space="0" w:color="auto"/>
          </w:divBdr>
        </w:div>
        <w:div w:id="922685122">
          <w:marLeft w:val="640"/>
          <w:marRight w:val="0"/>
          <w:marTop w:val="0"/>
          <w:marBottom w:val="0"/>
          <w:divBdr>
            <w:top w:val="none" w:sz="0" w:space="0" w:color="auto"/>
            <w:left w:val="none" w:sz="0" w:space="0" w:color="auto"/>
            <w:bottom w:val="none" w:sz="0" w:space="0" w:color="auto"/>
            <w:right w:val="none" w:sz="0" w:space="0" w:color="auto"/>
          </w:divBdr>
        </w:div>
        <w:div w:id="1130130810">
          <w:marLeft w:val="640"/>
          <w:marRight w:val="0"/>
          <w:marTop w:val="0"/>
          <w:marBottom w:val="0"/>
          <w:divBdr>
            <w:top w:val="none" w:sz="0" w:space="0" w:color="auto"/>
            <w:left w:val="none" w:sz="0" w:space="0" w:color="auto"/>
            <w:bottom w:val="none" w:sz="0" w:space="0" w:color="auto"/>
            <w:right w:val="none" w:sz="0" w:space="0" w:color="auto"/>
          </w:divBdr>
        </w:div>
        <w:div w:id="232544712">
          <w:marLeft w:val="640"/>
          <w:marRight w:val="0"/>
          <w:marTop w:val="0"/>
          <w:marBottom w:val="0"/>
          <w:divBdr>
            <w:top w:val="none" w:sz="0" w:space="0" w:color="auto"/>
            <w:left w:val="none" w:sz="0" w:space="0" w:color="auto"/>
            <w:bottom w:val="none" w:sz="0" w:space="0" w:color="auto"/>
            <w:right w:val="none" w:sz="0" w:space="0" w:color="auto"/>
          </w:divBdr>
        </w:div>
        <w:div w:id="1972590794">
          <w:marLeft w:val="640"/>
          <w:marRight w:val="0"/>
          <w:marTop w:val="0"/>
          <w:marBottom w:val="0"/>
          <w:divBdr>
            <w:top w:val="none" w:sz="0" w:space="0" w:color="auto"/>
            <w:left w:val="none" w:sz="0" w:space="0" w:color="auto"/>
            <w:bottom w:val="none" w:sz="0" w:space="0" w:color="auto"/>
            <w:right w:val="none" w:sz="0" w:space="0" w:color="auto"/>
          </w:divBdr>
        </w:div>
        <w:div w:id="1586377406">
          <w:marLeft w:val="640"/>
          <w:marRight w:val="0"/>
          <w:marTop w:val="0"/>
          <w:marBottom w:val="0"/>
          <w:divBdr>
            <w:top w:val="none" w:sz="0" w:space="0" w:color="auto"/>
            <w:left w:val="none" w:sz="0" w:space="0" w:color="auto"/>
            <w:bottom w:val="none" w:sz="0" w:space="0" w:color="auto"/>
            <w:right w:val="none" w:sz="0" w:space="0" w:color="auto"/>
          </w:divBdr>
        </w:div>
        <w:div w:id="1095394702">
          <w:marLeft w:val="640"/>
          <w:marRight w:val="0"/>
          <w:marTop w:val="0"/>
          <w:marBottom w:val="0"/>
          <w:divBdr>
            <w:top w:val="none" w:sz="0" w:space="0" w:color="auto"/>
            <w:left w:val="none" w:sz="0" w:space="0" w:color="auto"/>
            <w:bottom w:val="none" w:sz="0" w:space="0" w:color="auto"/>
            <w:right w:val="none" w:sz="0" w:space="0" w:color="auto"/>
          </w:divBdr>
        </w:div>
        <w:div w:id="233517573">
          <w:marLeft w:val="640"/>
          <w:marRight w:val="0"/>
          <w:marTop w:val="0"/>
          <w:marBottom w:val="0"/>
          <w:divBdr>
            <w:top w:val="none" w:sz="0" w:space="0" w:color="auto"/>
            <w:left w:val="none" w:sz="0" w:space="0" w:color="auto"/>
            <w:bottom w:val="none" w:sz="0" w:space="0" w:color="auto"/>
            <w:right w:val="none" w:sz="0" w:space="0" w:color="auto"/>
          </w:divBdr>
        </w:div>
      </w:divsChild>
    </w:div>
    <w:div w:id="533152466">
      <w:bodyDiv w:val="1"/>
      <w:marLeft w:val="0"/>
      <w:marRight w:val="0"/>
      <w:marTop w:val="0"/>
      <w:marBottom w:val="0"/>
      <w:divBdr>
        <w:top w:val="none" w:sz="0" w:space="0" w:color="auto"/>
        <w:left w:val="none" w:sz="0" w:space="0" w:color="auto"/>
        <w:bottom w:val="none" w:sz="0" w:space="0" w:color="auto"/>
        <w:right w:val="none" w:sz="0" w:space="0" w:color="auto"/>
      </w:divBdr>
      <w:divsChild>
        <w:div w:id="2068065561">
          <w:marLeft w:val="0"/>
          <w:marRight w:val="0"/>
          <w:marTop w:val="0"/>
          <w:marBottom w:val="0"/>
          <w:divBdr>
            <w:top w:val="none" w:sz="0" w:space="0" w:color="auto"/>
            <w:left w:val="none" w:sz="0" w:space="0" w:color="auto"/>
            <w:bottom w:val="none" w:sz="0" w:space="0" w:color="auto"/>
            <w:right w:val="none" w:sz="0" w:space="0" w:color="auto"/>
          </w:divBdr>
          <w:divsChild>
            <w:div w:id="389036419">
              <w:marLeft w:val="0"/>
              <w:marRight w:val="0"/>
              <w:marTop w:val="0"/>
              <w:marBottom w:val="0"/>
              <w:divBdr>
                <w:top w:val="none" w:sz="0" w:space="0" w:color="auto"/>
                <w:left w:val="none" w:sz="0" w:space="0" w:color="auto"/>
                <w:bottom w:val="none" w:sz="0" w:space="0" w:color="auto"/>
                <w:right w:val="none" w:sz="0" w:space="0" w:color="auto"/>
              </w:divBdr>
              <w:divsChild>
                <w:div w:id="16202576">
                  <w:marLeft w:val="0"/>
                  <w:marRight w:val="0"/>
                  <w:marTop w:val="0"/>
                  <w:marBottom w:val="0"/>
                  <w:divBdr>
                    <w:top w:val="none" w:sz="0" w:space="0" w:color="auto"/>
                    <w:left w:val="none" w:sz="0" w:space="0" w:color="auto"/>
                    <w:bottom w:val="none" w:sz="0" w:space="0" w:color="auto"/>
                    <w:right w:val="none" w:sz="0" w:space="0" w:color="auto"/>
                  </w:divBdr>
                  <w:divsChild>
                    <w:div w:id="867646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3579000">
      <w:bodyDiv w:val="1"/>
      <w:marLeft w:val="0"/>
      <w:marRight w:val="0"/>
      <w:marTop w:val="0"/>
      <w:marBottom w:val="0"/>
      <w:divBdr>
        <w:top w:val="none" w:sz="0" w:space="0" w:color="auto"/>
        <w:left w:val="none" w:sz="0" w:space="0" w:color="auto"/>
        <w:bottom w:val="none" w:sz="0" w:space="0" w:color="auto"/>
        <w:right w:val="none" w:sz="0" w:space="0" w:color="auto"/>
      </w:divBdr>
      <w:divsChild>
        <w:div w:id="1585141519">
          <w:marLeft w:val="640"/>
          <w:marRight w:val="0"/>
          <w:marTop w:val="0"/>
          <w:marBottom w:val="0"/>
          <w:divBdr>
            <w:top w:val="none" w:sz="0" w:space="0" w:color="auto"/>
            <w:left w:val="none" w:sz="0" w:space="0" w:color="auto"/>
            <w:bottom w:val="none" w:sz="0" w:space="0" w:color="auto"/>
            <w:right w:val="none" w:sz="0" w:space="0" w:color="auto"/>
          </w:divBdr>
        </w:div>
        <w:div w:id="2079328341">
          <w:marLeft w:val="640"/>
          <w:marRight w:val="0"/>
          <w:marTop w:val="0"/>
          <w:marBottom w:val="0"/>
          <w:divBdr>
            <w:top w:val="none" w:sz="0" w:space="0" w:color="auto"/>
            <w:left w:val="none" w:sz="0" w:space="0" w:color="auto"/>
            <w:bottom w:val="none" w:sz="0" w:space="0" w:color="auto"/>
            <w:right w:val="none" w:sz="0" w:space="0" w:color="auto"/>
          </w:divBdr>
        </w:div>
        <w:div w:id="573201313">
          <w:marLeft w:val="640"/>
          <w:marRight w:val="0"/>
          <w:marTop w:val="0"/>
          <w:marBottom w:val="0"/>
          <w:divBdr>
            <w:top w:val="none" w:sz="0" w:space="0" w:color="auto"/>
            <w:left w:val="none" w:sz="0" w:space="0" w:color="auto"/>
            <w:bottom w:val="none" w:sz="0" w:space="0" w:color="auto"/>
            <w:right w:val="none" w:sz="0" w:space="0" w:color="auto"/>
          </w:divBdr>
        </w:div>
        <w:div w:id="1551720929">
          <w:marLeft w:val="640"/>
          <w:marRight w:val="0"/>
          <w:marTop w:val="0"/>
          <w:marBottom w:val="0"/>
          <w:divBdr>
            <w:top w:val="none" w:sz="0" w:space="0" w:color="auto"/>
            <w:left w:val="none" w:sz="0" w:space="0" w:color="auto"/>
            <w:bottom w:val="none" w:sz="0" w:space="0" w:color="auto"/>
            <w:right w:val="none" w:sz="0" w:space="0" w:color="auto"/>
          </w:divBdr>
        </w:div>
        <w:div w:id="265430339">
          <w:marLeft w:val="640"/>
          <w:marRight w:val="0"/>
          <w:marTop w:val="0"/>
          <w:marBottom w:val="0"/>
          <w:divBdr>
            <w:top w:val="none" w:sz="0" w:space="0" w:color="auto"/>
            <w:left w:val="none" w:sz="0" w:space="0" w:color="auto"/>
            <w:bottom w:val="none" w:sz="0" w:space="0" w:color="auto"/>
            <w:right w:val="none" w:sz="0" w:space="0" w:color="auto"/>
          </w:divBdr>
        </w:div>
        <w:div w:id="320087077">
          <w:marLeft w:val="640"/>
          <w:marRight w:val="0"/>
          <w:marTop w:val="0"/>
          <w:marBottom w:val="0"/>
          <w:divBdr>
            <w:top w:val="none" w:sz="0" w:space="0" w:color="auto"/>
            <w:left w:val="none" w:sz="0" w:space="0" w:color="auto"/>
            <w:bottom w:val="none" w:sz="0" w:space="0" w:color="auto"/>
            <w:right w:val="none" w:sz="0" w:space="0" w:color="auto"/>
          </w:divBdr>
        </w:div>
        <w:div w:id="942685227">
          <w:marLeft w:val="640"/>
          <w:marRight w:val="0"/>
          <w:marTop w:val="0"/>
          <w:marBottom w:val="0"/>
          <w:divBdr>
            <w:top w:val="none" w:sz="0" w:space="0" w:color="auto"/>
            <w:left w:val="none" w:sz="0" w:space="0" w:color="auto"/>
            <w:bottom w:val="none" w:sz="0" w:space="0" w:color="auto"/>
            <w:right w:val="none" w:sz="0" w:space="0" w:color="auto"/>
          </w:divBdr>
        </w:div>
        <w:div w:id="1413433263">
          <w:marLeft w:val="640"/>
          <w:marRight w:val="0"/>
          <w:marTop w:val="0"/>
          <w:marBottom w:val="0"/>
          <w:divBdr>
            <w:top w:val="none" w:sz="0" w:space="0" w:color="auto"/>
            <w:left w:val="none" w:sz="0" w:space="0" w:color="auto"/>
            <w:bottom w:val="none" w:sz="0" w:space="0" w:color="auto"/>
            <w:right w:val="none" w:sz="0" w:space="0" w:color="auto"/>
          </w:divBdr>
        </w:div>
        <w:div w:id="792789733">
          <w:marLeft w:val="640"/>
          <w:marRight w:val="0"/>
          <w:marTop w:val="0"/>
          <w:marBottom w:val="0"/>
          <w:divBdr>
            <w:top w:val="none" w:sz="0" w:space="0" w:color="auto"/>
            <w:left w:val="none" w:sz="0" w:space="0" w:color="auto"/>
            <w:bottom w:val="none" w:sz="0" w:space="0" w:color="auto"/>
            <w:right w:val="none" w:sz="0" w:space="0" w:color="auto"/>
          </w:divBdr>
        </w:div>
        <w:div w:id="230041471">
          <w:marLeft w:val="640"/>
          <w:marRight w:val="0"/>
          <w:marTop w:val="0"/>
          <w:marBottom w:val="0"/>
          <w:divBdr>
            <w:top w:val="none" w:sz="0" w:space="0" w:color="auto"/>
            <w:left w:val="none" w:sz="0" w:space="0" w:color="auto"/>
            <w:bottom w:val="none" w:sz="0" w:space="0" w:color="auto"/>
            <w:right w:val="none" w:sz="0" w:space="0" w:color="auto"/>
          </w:divBdr>
        </w:div>
        <w:div w:id="998851709">
          <w:marLeft w:val="640"/>
          <w:marRight w:val="0"/>
          <w:marTop w:val="0"/>
          <w:marBottom w:val="0"/>
          <w:divBdr>
            <w:top w:val="none" w:sz="0" w:space="0" w:color="auto"/>
            <w:left w:val="none" w:sz="0" w:space="0" w:color="auto"/>
            <w:bottom w:val="none" w:sz="0" w:space="0" w:color="auto"/>
            <w:right w:val="none" w:sz="0" w:space="0" w:color="auto"/>
          </w:divBdr>
        </w:div>
        <w:div w:id="2056462897">
          <w:marLeft w:val="640"/>
          <w:marRight w:val="0"/>
          <w:marTop w:val="0"/>
          <w:marBottom w:val="0"/>
          <w:divBdr>
            <w:top w:val="none" w:sz="0" w:space="0" w:color="auto"/>
            <w:left w:val="none" w:sz="0" w:space="0" w:color="auto"/>
            <w:bottom w:val="none" w:sz="0" w:space="0" w:color="auto"/>
            <w:right w:val="none" w:sz="0" w:space="0" w:color="auto"/>
          </w:divBdr>
        </w:div>
        <w:div w:id="1001664943">
          <w:marLeft w:val="640"/>
          <w:marRight w:val="0"/>
          <w:marTop w:val="0"/>
          <w:marBottom w:val="0"/>
          <w:divBdr>
            <w:top w:val="none" w:sz="0" w:space="0" w:color="auto"/>
            <w:left w:val="none" w:sz="0" w:space="0" w:color="auto"/>
            <w:bottom w:val="none" w:sz="0" w:space="0" w:color="auto"/>
            <w:right w:val="none" w:sz="0" w:space="0" w:color="auto"/>
          </w:divBdr>
        </w:div>
        <w:div w:id="340085129">
          <w:marLeft w:val="640"/>
          <w:marRight w:val="0"/>
          <w:marTop w:val="0"/>
          <w:marBottom w:val="0"/>
          <w:divBdr>
            <w:top w:val="none" w:sz="0" w:space="0" w:color="auto"/>
            <w:left w:val="none" w:sz="0" w:space="0" w:color="auto"/>
            <w:bottom w:val="none" w:sz="0" w:space="0" w:color="auto"/>
            <w:right w:val="none" w:sz="0" w:space="0" w:color="auto"/>
          </w:divBdr>
        </w:div>
        <w:div w:id="453909419">
          <w:marLeft w:val="640"/>
          <w:marRight w:val="0"/>
          <w:marTop w:val="0"/>
          <w:marBottom w:val="0"/>
          <w:divBdr>
            <w:top w:val="none" w:sz="0" w:space="0" w:color="auto"/>
            <w:left w:val="none" w:sz="0" w:space="0" w:color="auto"/>
            <w:bottom w:val="none" w:sz="0" w:space="0" w:color="auto"/>
            <w:right w:val="none" w:sz="0" w:space="0" w:color="auto"/>
          </w:divBdr>
        </w:div>
        <w:div w:id="2036150153">
          <w:marLeft w:val="640"/>
          <w:marRight w:val="0"/>
          <w:marTop w:val="0"/>
          <w:marBottom w:val="0"/>
          <w:divBdr>
            <w:top w:val="none" w:sz="0" w:space="0" w:color="auto"/>
            <w:left w:val="none" w:sz="0" w:space="0" w:color="auto"/>
            <w:bottom w:val="none" w:sz="0" w:space="0" w:color="auto"/>
            <w:right w:val="none" w:sz="0" w:space="0" w:color="auto"/>
          </w:divBdr>
        </w:div>
      </w:divsChild>
    </w:div>
    <w:div w:id="753280244">
      <w:bodyDiv w:val="1"/>
      <w:marLeft w:val="0"/>
      <w:marRight w:val="0"/>
      <w:marTop w:val="0"/>
      <w:marBottom w:val="0"/>
      <w:divBdr>
        <w:top w:val="none" w:sz="0" w:space="0" w:color="auto"/>
        <w:left w:val="none" w:sz="0" w:space="0" w:color="auto"/>
        <w:bottom w:val="none" w:sz="0" w:space="0" w:color="auto"/>
        <w:right w:val="none" w:sz="0" w:space="0" w:color="auto"/>
      </w:divBdr>
      <w:divsChild>
        <w:div w:id="1820228068">
          <w:marLeft w:val="640"/>
          <w:marRight w:val="0"/>
          <w:marTop w:val="0"/>
          <w:marBottom w:val="0"/>
          <w:divBdr>
            <w:top w:val="none" w:sz="0" w:space="0" w:color="auto"/>
            <w:left w:val="none" w:sz="0" w:space="0" w:color="auto"/>
            <w:bottom w:val="none" w:sz="0" w:space="0" w:color="auto"/>
            <w:right w:val="none" w:sz="0" w:space="0" w:color="auto"/>
          </w:divBdr>
        </w:div>
        <w:div w:id="1323585045">
          <w:marLeft w:val="640"/>
          <w:marRight w:val="0"/>
          <w:marTop w:val="0"/>
          <w:marBottom w:val="0"/>
          <w:divBdr>
            <w:top w:val="none" w:sz="0" w:space="0" w:color="auto"/>
            <w:left w:val="none" w:sz="0" w:space="0" w:color="auto"/>
            <w:bottom w:val="none" w:sz="0" w:space="0" w:color="auto"/>
            <w:right w:val="none" w:sz="0" w:space="0" w:color="auto"/>
          </w:divBdr>
        </w:div>
        <w:div w:id="432284097">
          <w:marLeft w:val="640"/>
          <w:marRight w:val="0"/>
          <w:marTop w:val="0"/>
          <w:marBottom w:val="0"/>
          <w:divBdr>
            <w:top w:val="none" w:sz="0" w:space="0" w:color="auto"/>
            <w:left w:val="none" w:sz="0" w:space="0" w:color="auto"/>
            <w:bottom w:val="none" w:sz="0" w:space="0" w:color="auto"/>
            <w:right w:val="none" w:sz="0" w:space="0" w:color="auto"/>
          </w:divBdr>
        </w:div>
        <w:div w:id="1811365018">
          <w:marLeft w:val="640"/>
          <w:marRight w:val="0"/>
          <w:marTop w:val="0"/>
          <w:marBottom w:val="0"/>
          <w:divBdr>
            <w:top w:val="none" w:sz="0" w:space="0" w:color="auto"/>
            <w:left w:val="none" w:sz="0" w:space="0" w:color="auto"/>
            <w:bottom w:val="none" w:sz="0" w:space="0" w:color="auto"/>
            <w:right w:val="none" w:sz="0" w:space="0" w:color="auto"/>
          </w:divBdr>
        </w:div>
        <w:div w:id="46345434">
          <w:marLeft w:val="640"/>
          <w:marRight w:val="0"/>
          <w:marTop w:val="0"/>
          <w:marBottom w:val="0"/>
          <w:divBdr>
            <w:top w:val="none" w:sz="0" w:space="0" w:color="auto"/>
            <w:left w:val="none" w:sz="0" w:space="0" w:color="auto"/>
            <w:bottom w:val="none" w:sz="0" w:space="0" w:color="auto"/>
            <w:right w:val="none" w:sz="0" w:space="0" w:color="auto"/>
          </w:divBdr>
        </w:div>
        <w:div w:id="751850595">
          <w:marLeft w:val="640"/>
          <w:marRight w:val="0"/>
          <w:marTop w:val="0"/>
          <w:marBottom w:val="0"/>
          <w:divBdr>
            <w:top w:val="none" w:sz="0" w:space="0" w:color="auto"/>
            <w:left w:val="none" w:sz="0" w:space="0" w:color="auto"/>
            <w:bottom w:val="none" w:sz="0" w:space="0" w:color="auto"/>
            <w:right w:val="none" w:sz="0" w:space="0" w:color="auto"/>
          </w:divBdr>
        </w:div>
        <w:div w:id="1763259314">
          <w:marLeft w:val="640"/>
          <w:marRight w:val="0"/>
          <w:marTop w:val="0"/>
          <w:marBottom w:val="0"/>
          <w:divBdr>
            <w:top w:val="none" w:sz="0" w:space="0" w:color="auto"/>
            <w:left w:val="none" w:sz="0" w:space="0" w:color="auto"/>
            <w:bottom w:val="none" w:sz="0" w:space="0" w:color="auto"/>
            <w:right w:val="none" w:sz="0" w:space="0" w:color="auto"/>
          </w:divBdr>
        </w:div>
        <w:div w:id="1568148969">
          <w:marLeft w:val="640"/>
          <w:marRight w:val="0"/>
          <w:marTop w:val="0"/>
          <w:marBottom w:val="0"/>
          <w:divBdr>
            <w:top w:val="none" w:sz="0" w:space="0" w:color="auto"/>
            <w:left w:val="none" w:sz="0" w:space="0" w:color="auto"/>
            <w:bottom w:val="none" w:sz="0" w:space="0" w:color="auto"/>
            <w:right w:val="none" w:sz="0" w:space="0" w:color="auto"/>
          </w:divBdr>
        </w:div>
        <w:div w:id="615528696">
          <w:marLeft w:val="640"/>
          <w:marRight w:val="0"/>
          <w:marTop w:val="0"/>
          <w:marBottom w:val="0"/>
          <w:divBdr>
            <w:top w:val="none" w:sz="0" w:space="0" w:color="auto"/>
            <w:left w:val="none" w:sz="0" w:space="0" w:color="auto"/>
            <w:bottom w:val="none" w:sz="0" w:space="0" w:color="auto"/>
            <w:right w:val="none" w:sz="0" w:space="0" w:color="auto"/>
          </w:divBdr>
        </w:div>
        <w:div w:id="505636840">
          <w:marLeft w:val="640"/>
          <w:marRight w:val="0"/>
          <w:marTop w:val="0"/>
          <w:marBottom w:val="0"/>
          <w:divBdr>
            <w:top w:val="none" w:sz="0" w:space="0" w:color="auto"/>
            <w:left w:val="none" w:sz="0" w:space="0" w:color="auto"/>
            <w:bottom w:val="none" w:sz="0" w:space="0" w:color="auto"/>
            <w:right w:val="none" w:sz="0" w:space="0" w:color="auto"/>
          </w:divBdr>
        </w:div>
        <w:div w:id="1748382190">
          <w:marLeft w:val="640"/>
          <w:marRight w:val="0"/>
          <w:marTop w:val="0"/>
          <w:marBottom w:val="0"/>
          <w:divBdr>
            <w:top w:val="none" w:sz="0" w:space="0" w:color="auto"/>
            <w:left w:val="none" w:sz="0" w:space="0" w:color="auto"/>
            <w:bottom w:val="none" w:sz="0" w:space="0" w:color="auto"/>
            <w:right w:val="none" w:sz="0" w:space="0" w:color="auto"/>
          </w:divBdr>
        </w:div>
        <w:div w:id="383530950">
          <w:marLeft w:val="640"/>
          <w:marRight w:val="0"/>
          <w:marTop w:val="0"/>
          <w:marBottom w:val="0"/>
          <w:divBdr>
            <w:top w:val="none" w:sz="0" w:space="0" w:color="auto"/>
            <w:left w:val="none" w:sz="0" w:space="0" w:color="auto"/>
            <w:bottom w:val="none" w:sz="0" w:space="0" w:color="auto"/>
            <w:right w:val="none" w:sz="0" w:space="0" w:color="auto"/>
          </w:divBdr>
        </w:div>
        <w:div w:id="919946043">
          <w:marLeft w:val="640"/>
          <w:marRight w:val="0"/>
          <w:marTop w:val="0"/>
          <w:marBottom w:val="0"/>
          <w:divBdr>
            <w:top w:val="none" w:sz="0" w:space="0" w:color="auto"/>
            <w:left w:val="none" w:sz="0" w:space="0" w:color="auto"/>
            <w:bottom w:val="none" w:sz="0" w:space="0" w:color="auto"/>
            <w:right w:val="none" w:sz="0" w:space="0" w:color="auto"/>
          </w:divBdr>
        </w:div>
        <w:div w:id="1131633247">
          <w:marLeft w:val="640"/>
          <w:marRight w:val="0"/>
          <w:marTop w:val="0"/>
          <w:marBottom w:val="0"/>
          <w:divBdr>
            <w:top w:val="none" w:sz="0" w:space="0" w:color="auto"/>
            <w:left w:val="none" w:sz="0" w:space="0" w:color="auto"/>
            <w:bottom w:val="none" w:sz="0" w:space="0" w:color="auto"/>
            <w:right w:val="none" w:sz="0" w:space="0" w:color="auto"/>
          </w:divBdr>
        </w:div>
        <w:div w:id="576550645">
          <w:marLeft w:val="640"/>
          <w:marRight w:val="0"/>
          <w:marTop w:val="0"/>
          <w:marBottom w:val="0"/>
          <w:divBdr>
            <w:top w:val="none" w:sz="0" w:space="0" w:color="auto"/>
            <w:left w:val="none" w:sz="0" w:space="0" w:color="auto"/>
            <w:bottom w:val="none" w:sz="0" w:space="0" w:color="auto"/>
            <w:right w:val="none" w:sz="0" w:space="0" w:color="auto"/>
          </w:divBdr>
        </w:div>
        <w:div w:id="1178348585">
          <w:marLeft w:val="640"/>
          <w:marRight w:val="0"/>
          <w:marTop w:val="0"/>
          <w:marBottom w:val="0"/>
          <w:divBdr>
            <w:top w:val="none" w:sz="0" w:space="0" w:color="auto"/>
            <w:left w:val="none" w:sz="0" w:space="0" w:color="auto"/>
            <w:bottom w:val="none" w:sz="0" w:space="0" w:color="auto"/>
            <w:right w:val="none" w:sz="0" w:space="0" w:color="auto"/>
          </w:divBdr>
        </w:div>
      </w:divsChild>
    </w:div>
    <w:div w:id="836653707">
      <w:bodyDiv w:val="1"/>
      <w:marLeft w:val="0"/>
      <w:marRight w:val="0"/>
      <w:marTop w:val="0"/>
      <w:marBottom w:val="0"/>
      <w:divBdr>
        <w:top w:val="none" w:sz="0" w:space="0" w:color="auto"/>
        <w:left w:val="none" w:sz="0" w:space="0" w:color="auto"/>
        <w:bottom w:val="none" w:sz="0" w:space="0" w:color="auto"/>
        <w:right w:val="none" w:sz="0" w:space="0" w:color="auto"/>
      </w:divBdr>
      <w:divsChild>
        <w:div w:id="2028364075">
          <w:marLeft w:val="640"/>
          <w:marRight w:val="0"/>
          <w:marTop w:val="0"/>
          <w:marBottom w:val="0"/>
          <w:divBdr>
            <w:top w:val="none" w:sz="0" w:space="0" w:color="auto"/>
            <w:left w:val="none" w:sz="0" w:space="0" w:color="auto"/>
            <w:bottom w:val="none" w:sz="0" w:space="0" w:color="auto"/>
            <w:right w:val="none" w:sz="0" w:space="0" w:color="auto"/>
          </w:divBdr>
        </w:div>
        <w:div w:id="1361398547">
          <w:marLeft w:val="640"/>
          <w:marRight w:val="0"/>
          <w:marTop w:val="0"/>
          <w:marBottom w:val="0"/>
          <w:divBdr>
            <w:top w:val="none" w:sz="0" w:space="0" w:color="auto"/>
            <w:left w:val="none" w:sz="0" w:space="0" w:color="auto"/>
            <w:bottom w:val="none" w:sz="0" w:space="0" w:color="auto"/>
            <w:right w:val="none" w:sz="0" w:space="0" w:color="auto"/>
          </w:divBdr>
        </w:div>
        <w:div w:id="1037042988">
          <w:marLeft w:val="640"/>
          <w:marRight w:val="0"/>
          <w:marTop w:val="0"/>
          <w:marBottom w:val="0"/>
          <w:divBdr>
            <w:top w:val="none" w:sz="0" w:space="0" w:color="auto"/>
            <w:left w:val="none" w:sz="0" w:space="0" w:color="auto"/>
            <w:bottom w:val="none" w:sz="0" w:space="0" w:color="auto"/>
            <w:right w:val="none" w:sz="0" w:space="0" w:color="auto"/>
          </w:divBdr>
        </w:div>
        <w:div w:id="1652640821">
          <w:marLeft w:val="640"/>
          <w:marRight w:val="0"/>
          <w:marTop w:val="0"/>
          <w:marBottom w:val="0"/>
          <w:divBdr>
            <w:top w:val="none" w:sz="0" w:space="0" w:color="auto"/>
            <w:left w:val="none" w:sz="0" w:space="0" w:color="auto"/>
            <w:bottom w:val="none" w:sz="0" w:space="0" w:color="auto"/>
            <w:right w:val="none" w:sz="0" w:space="0" w:color="auto"/>
          </w:divBdr>
        </w:div>
        <w:div w:id="723870212">
          <w:marLeft w:val="640"/>
          <w:marRight w:val="0"/>
          <w:marTop w:val="0"/>
          <w:marBottom w:val="0"/>
          <w:divBdr>
            <w:top w:val="none" w:sz="0" w:space="0" w:color="auto"/>
            <w:left w:val="none" w:sz="0" w:space="0" w:color="auto"/>
            <w:bottom w:val="none" w:sz="0" w:space="0" w:color="auto"/>
            <w:right w:val="none" w:sz="0" w:space="0" w:color="auto"/>
          </w:divBdr>
        </w:div>
        <w:div w:id="1176110940">
          <w:marLeft w:val="640"/>
          <w:marRight w:val="0"/>
          <w:marTop w:val="0"/>
          <w:marBottom w:val="0"/>
          <w:divBdr>
            <w:top w:val="none" w:sz="0" w:space="0" w:color="auto"/>
            <w:left w:val="none" w:sz="0" w:space="0" w:color="auto"/>
            <w:bottom w:val="none" w:sz="0" w:space="0" w:color="auto"/>
            <w:right w:val="none" w:sz="0" w:space="0" w:color="auto"/>
          </w:divBdr>
        </w:div>
        <w:div w:id="1297562843">
          <w:marLeft w:val="640"/>
          <w:marRight w:val="0"/>
          <w:marTop w:val="0"/>
          <w:marBottom w:val="0"/>
          <w:divBdr>
            <w:top w:val="none" w:sz="0" w:space="0" w:color="auto"/>
            <w:left w:val="none" w:sz="0" w:space="0" w:color="auto"/>
            <w:bottom w:val="none" w:sz="0" w:space="0" w:color="auto"/>
            <w:right w:val="none" w:sz="0" w:space="0" w:color="auto"/>
          </w:divBdr>
        </w:div>
        <w:div w:id="760685280">
          <w:marLeft w:val="640"/>
          <w:marRight w:val="0"/>
          <w:marTop w:val="0"/>
          <w:marBottom w:val="0"/>
          <w:divBdr>
            <w:top w:val="none" w:sz="0" w:space="0" w:color="auto"/>
            <w:left w:val="none" w:sz="0" w:space="0" w:color="auto"/>
            <w:bottom w:val="none" w:sz="0" w:space="0" w:color="auto"/>
            <w:right w:val="none" w:sz="0" w:space="0" w:color="auto"/>
          </w:divBdr>
        </w:div>
        <w:div w:id="65883109">
          <w:marLeft w:val="640"/>
          <w:marRight w:val="0"/>
          <w:marTop w:val="0"/>
          <w:marBottom w:val="0"/>
          <w:divBdr>
            <w:top w:val="none" w:sz="0" w:space="0" w:color="auto"/>
            <w:left w:val="none" w:sz="0" w:space="0" w:color="auto"/>
            <w:bottom w:val="none" w:sz="0" w:space="0" w:color="auto"/>
            <w:right w:val="none" w:sz="0" w:space="0" w:color="auto"/>
          </w:divBdr>
        </w:div>
        <w:div w:id="1061055964">
          <w:marLeft w:val="640"/>
          <w:marRight w:val="0"/>
          <w:marTop w:val="0"/>
          <w:marBottom w:val="0"/>
          <w:divBdr>
            <w:top w:val="none" w:sz="0" w:space="0" w:color="auto"/>
            <w:left w:val="none" w:sz="0" w:space="0" w:color="auto"/>
            <w:bottom w:val="none" w:sz="0" w:space="0" w:color="auto"/>
            <w:right w:val="none" w:sz="0" w:space="0" w:color="auto"/>
          </w:divBdr>
        </w:div>
        <w:div w:id="1277832952">
          <w:marLeft w:val="640"/>
          <w:marRight w:val="0"/>
          <w:marTop w:val="0"/>
          <w:marBottom w:val="0"/>
          <w:divBdr>
            <w:top w:val="none" w:sz="0" w:space="0" w:color="auto"/>
            <w:left w:val="none" w:sz="0" w:space="0" w:color="auto"/>
            <w:bottom w:val="none" w:sz="0" w:space="0" w:color="auto"/>
            <w:right w:val="none" w:sz="0" w:space="0" w:color="auto"/>
          </w:divBdr>
        </w:div>
        <w:div w:id="1696885893">
          <w:marLeft w:val="640"/>
          <w:marRight w:val="0"/>
          <w:marTop w:val="0"/>
          <w:marBottom w:val="0"/>
          <w:divBdr>
            <w:top w:val="none" w:sz="0" w:space="0" w:color="auto"/>
            <w:left w:val="none" w:sz="0" w:space="0" w:color="auto"/>
            <w:bottom w:val="none" w:sz="0" w:space="0" w:color="auto"/>
            <w:right w:val="none" w:sz="0" w:space="0" w:color="auto"/>
          </w:divBdr>
        </w:div>
        <w:div w:id="1387335928">
          <w:marLeft w:val="640"/>
          <w:marRight w:val="0"/>
          <w:marTop w:val="0"/>
          <w:marBottom w:val="0"/>
          <w:divBdr>
            <w:top w:val="none" w:sz="0" w:space="0" w:color="auto"/>
            <w:left w:val="none" w:sz="0" w:space="0" w:color="auto"/>
            <w:bottom w:val="none" w:sz="0" w:space="0" w:color="auto"/>
            <w:right w:val="none" w:sz="0" w:space="0" w:color="auto"/>
          </w:divBdr>
        </w:div>
        <w:div w:id="1971549517">
          <w:marLeft w:val="640"/>
          <w:marRight w:val="0"/>
          <w:marTop w:val="0"/>
          <w:marBottom w:val="0"/>
          <w:divBdr>
            <w:top w:val="none" w:sz="0" w:space="0" w:color="auto"/>
            <w:left w:val="none" w:sz="0" w:space="0" w:color="auto"/>
            <w:bottom w:val="none" w:sz="0" w:space="0" w:color="auto"/>
            <w:right w:val="none" w:sz="0" w:space="0" w:color="auto"/>
          </w:divBdr>
        </w:div>
        <w:div w:id="1019938762">
          <w:marLeft w:val="640"/>
          <w:marRight w:val="0"/>
          <w:marTop w:val="0"/>
          <w:marBottom w:val="0"/>
          <w:divBdr>
            <w:top w:val="none" w:sz="0" w:space="0" w:color="auto"/>
            <w:left w:val="none" w:sz="0" w:space="0" w:color="auto"/>
            <w:bottom w:val="none" w:sz="0" w:space="0" w:color="auto"/>
            <w:right w:val="none" w:sz="0" w:space="0" w:color="auto"/>
          </w:divBdr>
        </w:div>
        <w:div w:id="1417749881">
          <w:marLeft w:val="640"/>
          <w:marRight w:val="0"/>
          <w:marTop w:val="0"/>
          <w:marBottom w:val="0"/>
          <w:divBdr>
            <w:top w:val="none" w:sz="0" w:space="0" w:color="auto"/>
            <w:left w:val="none" w:sz="0" w:space="0" w:color="auto"/>
            <w:bottom w:val="none" w:sz="0" w:space="0" w:color="auto"/>
            <w:right w:val="none" w:sz="0" w:space="0" w:color="auto"/>
          </w:divBdr>
        </w:div>
      </w:divsChild>
    </w:div>
    <w:div w:id="1029914171">
      <w:bodyDiv w:val="1"/>
      <w:marLeft w:val="0"/>
      <w:marRight w:val="0"/>
      <w:marTop w:val="0"/>
      <w:marBottom w:val="0"/>
      <w:divBdr>
        <w:top w:val="none" w:sz="0" w:space="0" w:color="auto"/>
        <w:left w:val="none" w:sz="0" w:space="0" w:color="auto"/>
        <w:bottom w:val="none" w:sz="0" w:space="0" w:color="auto"/>
        <w:right w:val="none" w:sz="0" w:space="0" w:color="auto"/>
      </w:divBdr>
      <w:divsChild>
        <w:div w:id="1217814541">
          <w:marLeft w:val="640"/>
          <w:marRight w:val="0"/>
          <w:marTop w:val="0"/>
          <w:marBottom w:val="0"/>
          <w:divBdr>
            <w:top w:val="none" w:sz="0" w:space="0" w:color="auto"/>
            <w:left w:val="none" w:sz="0" w:space="0" w:color="auto"/>
            <w:bottom w:val="none" w:sz="0" w:space="0" w:color="auto"/>
            <w:right w:val="none" w:sz="0" w:space="0" w:color="auto"/>
          </w:divBdr>
        </w:div>
        <w:div w:id="50815890">
          <w:marLeft w:val="640"/>
          <w:marRight w:val="0"/>
          <w:marTop w:val="0"/>
          <w:marBottom w:val="0"/>
          <w:divBdr>
            <w:top w:val="none" w:sz="0" w:space="0" w:color="auto"/>
            <w:left w:val="none" w:sz="0" w:space="0" w:color="auto"/>
            <w:bottom w:val="none" w:sz="0" w:space="0" w:color="auto"/>
            <w:right w:val="none" w:sz="0" w:space="0" w:color="auto"/>
          </w:divBdr>
        </w:div>
        <w:div w:id="2049064927">
          <w:marLeft w:val="640"/>
          <w:marRight w:val="0"/>
          <w:marTop w:val="0"/>
          <w:marBottom w:val="0"/>
          <w:divBdr>
            <w:top w:val="none" w:sz="0" w:space="0" w:color="auto"/>
            <w:left w:val="none" w:sz="0" w:space="0" w:color="auto"/>
            <w:bottom w:val="none" w:sz="0" w:space="0" w:color="auto"/>
            <w:right w:val="none" w:sz="0" w:space="0" w:color="auto"/>
          </w:divBdr>
        </w:div>
        <w:div w:id="1909072649">
          <w:marLeft w:val="640"/>
          <w:marRight w:val="0"/>
          <w:marTop w:val="0"/>
          <w:marBottom w:val="0"/>
          <w:divBdr>
            <w:top w:val="none" w:sz="0" w:space="0" w:color="auto"/>
            <w:left w:val="none" w:sz="0" w:space="0" w:color="auto"/>
            <w:bottom w:val="none" w:sz="0" w:space="0" w:color="auto"/>
            <w:right w:val="none" w:sz="0" w:space="0" w:color="auto"/>
          </w:divBdr>
        </w:div>
        <w:div w:id="294214388">
          <w:marLeft w:val="640"/>
          <w:marRight w:val="0"/>
          <w:marTop w:val="0"/>
          <w:marBottom w:val="0"/>
          <w:divBdr>
            <w:top w:val="none" w:sz="0" w:space="0" w:color="auto"/>
            <w:left w:val="none" w:sz="0" w:space="0" w:color="auto"/>
            <w:bottom w:val="none" w:sz="0" w:space="0" w:color="auto"/>
            <w:right w:val="none" w:sz="0" w:space="0" w:color="auto"/>
          </w:divBdr>
        </w:div>
        <w:div w:id="1672877749">
          <w:marLeft w:val="640"/>
          <w:marRight w:val="0"/>
          <w:marTop w:val="0"/>
          <w:marBottom w:val="0"/>
          <w:divBdr>
            <w:top w:val="none" w:sz="0" w:space="0" w:color="auto"/>
            <w:left w:val="none" w:sz="0" w:space="0" w:color="auto"/>
            <w:bottom w:val="none" w:sz="0" w:space="0" w:color="auto"/>
            <w:right w:val="none" w:sz="0" w:space="0" w:color="auto"/>
          </w:divBdr>
        </w:div>
        <w:div w:id="657265068">
          <w:marLeft w:val="640"/>
          <w:marRight w:val="0"/>
          <w:marTop w:val="0"/>
          <w:marBottom w:val="0"/>
          <w:divBdr>
            <w:top w:val="none" w:sz="0" w:space="0" w:color="auto"/>
            <w:left w:val="none" w:sz="0" w:space="0" w:color="auto"/>
            <w:bottom w:val="none" w:sz="0" w:space="0" w:color="auto"/>
            <w:right w:val="none" w:sz="0" w:space="0" w:color="auto"/>
          </w:divBdr>
        </w:div>
        <w:div w:id="39592563">
          <w:marLeft w:val="640"/>
          <w:marRight w:val="0"/>
          <w:marTop w:val="0"/>
          <w:marBottom w:val="0"/>
          <w:divBdr>
            <w:top w:val="none" w:sz="0" w:space="0" w:color="auto"/>
            <w:left w:val="none" w:sz="0" w:space="0" w:color="auto"/>
            <w:bottom w:val="none" w:sz="0" w:space="0" w:color="auto"/>
            <w:right w:val="none" w:sz="0" w:space="0" w:color="auto"/>
          </w:divBdr>
        </w:div>
        <w:div w:id="408230540">
          <w:marLeft w:val="640"/>
          <w:marRight w:val="0"/>
          <w:marTop w:val="0"/>
          <w:marBottom w:val="0"/>
          <w:divBdr>
            <w:top w:val="none" w:sz="0" w:space="0" w:color="auto"/>
            <w:left w:val="none" w:sz="0" w:space="0" w:color="auto"/>
            <w:bottom w:val="none" w:sz="0" w:space="0" w:color="auto"/>
            <w:right w:val="none" w:sz="0" w:space="0" w:color="auto"/>
          </w:divBdr>
        </w:div>
        <w:div w:id="2081713871">
          <w:marLeft w:val="640"/>
          <w:marRight w:val="0"/>
          <w:marTop w:val="0"/>
          <w:marBottom w:val="0"/>
          <w:divBdr>
            <w:top w:val="none" w:sz="0" w:space="0" w:color="auto"/>
            <w:left w:val="none" w:sz="0" w:space="0" w:color="auto"/>
            <w:bottom w:val="none" w:sz="0" w:space="0" w:color="auto"/>
            <w:right w:val="none" w:sz="0" w:space="0" w:color="auto"/>
          </w:divBdr>
        </w:div>
        <w:div w:id="383717405">
          <w:marLeft w:val="640"/>
          <w:marRight w:val="0"/>
          <w:marTop w:val="0"/>
          <w:marBottom w:val="0"/>
          <w:divBdr>
            <w:top w:val="none" w:sz="0" w:space="0" w:color="auto"/>
            <w:left w:val="none" w:sz="0" w:space="0" w:color="auto"/>
            <w:bottom w:val="none" w:sz="0" w:space="0" w:color="auto"/>
            <w:right w:val="none" w:sz="0" w:space="0" w:color="auto"/>
          </w:divBdr>
        </w:div>
        <w:div w:id="1061634784">
          <w:marLeft w:val="640"/>
          <w:marRight w:val="0"/>
          <w:marTop w:val="0"/>
          <w:marBottom w:val="0"/>
          <w:divBdr>
            <w:top w:val="none" w:sz="0" w:space="0" w:color="auto"/>
            <w:left w:val="none" w:sz="0" w:space="0" w:color="auto"/>
            <w:bottom w:val="none" w:sz="0" w:space="0" w:color="auto"/>
            <w:right w:val="none" w:sz="0" w:space="0" w:color="auto"/>
          </w:divBdr>
        </w:div>
        <w:div w:id="821385712">
          <w:marLeft w:val="640"/>
          <w:marRight w:val="0"/>
          <w:marTop w:val="0"/>
          <w:marBottom w:val="0"/>
          <w:divBdr>
            <w:top w:val="none" w:sz="0" w:space="0" w:color="auto"/>
            <w:left w:val="none" w:sz="0" w:space="0" w:color="auto"/>
            <w:bottom w:val="none" w:sz="0" w:space="0" w:color="auto"/>
            <w:right w:val="none" w:sz="0" w:space="0" w:color="auto"/>
          </w:divBdr>
        </w:div>
        <w:div w:id="1976523190">
          <w:marLeft w:val="640"/>
          <w:marRight w:val="0"/>
          <w:marTop w:val="0"/>
          <w:marBottom w:val="0"/>
          <w:divBdr>
            <w:top w:val="none" w:sz="0" w:space="0" w:color="auto"/>
            <w:left w:val="none" w:sz="0" w:space="0" w:color="auto"/>
            <w:bottom w:val="none" w:sz="0" w:space="0" w:color="auto"/>
            <w:right w:val="none" w:sz="0" w:space="0" w:color="auto"/>
          </w:divBdr>
        </w:div>
        <w:div w:id="899173777">
          <w:marLeft w:val="640"/>
          <w:marRight w:val="0"/>
          <w:marTop w:val="0"/>
          <w:marBottom w:val="0"/>
          <w:divBdr>
            <w:top w:val="none" w:sz="0" w:space="0" w:color="auto"/>
            <w:left w:val="none" w:sz="0" w:space="0" w:color="auto"/>
            <w:bottom w:val="none" w:sz="0" w:space="0" w:color="auto"/>
            <w:right w:val="none" w:sz="0" w:space="0" w:color="auto"/>
          </w:divBdr>
        </w:div>
        <w:div w:id="1276518641">
          <w:marLeft w:val="640"/>
          <w:marRight w:val="0"/>
          <w:marTop w:val="0"/>
          <w:marBottom w:val="0"/>
          <w:divBdr>
            <w:top w:val="none" w:sz="0" w:space="0" w:color="auto"/>
            <w:left w:val="none" w:sz="0" w:space="0" w:color="auto"/>
            <w:bottom w:val="none" w:sz="0" w:space="0" w:color="auto"/>
            <w:right w:val="none" w:sz="0" w:space="0" w:color="auto"/>
          </w:divBdr>
        </w:div>
      </w:divsChild>
    </w:div>
    <w:div w:id="1198619666">
      <w:bodyDiv w:val="1"/>
      <w:marLeft w:val="0"/>
      <w:marRight w:val="0"/>
      <w:marTop w:val="0"/>
      <w:marBottom w:val="0"/>
      <w:divBdr>
        <w:top w:val="none" w:sz="0" w:space="0" w:color="auto"/>
        <w:left w:val="none" w:sz="0" w:space="0" w:color="auto"/>
        <w:bottom w:val="none" w:sz="0" w:space="0" w:color="auto"/>
        <w:right w:val="none" w:sz="0" w:space="0" w:color="auto"/>
      </w:divBdr>
      <w:divsChild>
        <w:div w:id="169486970">
          <w:marLeft w:val="640"/>
          <w:marRight w:val="0"/>
          <w:marTop w:val="0"/>
          <w:marBottom w:val="0"/>
          <w:divBdr>
            <w:top w:val="none" w:sz="0" w:space="0" w:color="auto"/>
            <w:left w:val="none" w:sz="0" w:space="0" w:color="auto"/>
            <w:bottom w:val="none" w:sz="0" w:space="0" w:color="auto"/>
            <w:right w:val="none" w:sz="0" w:space="0" w:color="auto"/>
          </w:divBdr>
        </w:div>
        <w:div w:id="696662489">
          <w:marLeft w:val="640"/>
          <w:marRight w:val="0"/>
          <w:marTop w:val="0"/>
          <w:marBottom w:val="0"/>
          <w:divBdr>
            <w:top w:val="none" w:sz="0" w:space="0" w:color="auto"/>
            <w:left w:val="none" w:sz="0" w:space="0" w:color="auto"/>
            <w:bottom w:val="none" w:sz="0" w:space="0" w:color="auto"/>
            <w:right w:val="none" w:sz="0" w:space="0" w:color="auto"/>
          </w:divBdr>
        </w:div>
        <w:div w:id="1156922520">
          <w:marLeft w:val="640"/>
          <w:marRight w:val="0"/>
          <w:marTop w:val="0"/>
          <w:marBottom w:val="0"/>
          <w:divBdr>
            <w:top w:val="none" w:sz="0" w:space="0" w:color="auto"/>
            <w:left w:val="none" w:sz="0" w:space="0" w:color="auto"/>
            <w:bottom w:val="none" w:sz="0" w:space="0" w:color="auto"/>
            <w:right w:val="none" w:sz="0" w:space="0" w:color="auto"/>
          </w:divBdr>
        </w:div>
        <w:div w:id="883717285">
          <w:marLeft w:val="640"/>
          <w:marRight w:val="0"/>
          <w:marTop w:val="0"/>
          <w:marBottom w:val="0"/>
          <w:divBdr>
            <w:top w:val="none" w:sz="0" w:space="0" w:color="auto"/>
            <w:left w:val="none" w:sz="0" w:space="0" w:color="auto"/>
            <w:bottom w:val="none" w:sz="0" w:space="0" w:color="auto"/>
            <w:right w:val="none" w:sz="0" w:space="0" w:color="auto"/>
          </w:divBdr>
        </w:div>
        <w:div w:id="179778944">
          <w:marLeft w:val="640"/>
          <w:marRight w:val="0"/>
          <w:marTop w:val="0"/>
          <w:marBottom w:val="0"/>
          <w:divBdr>
            <w:top w:val="none" w:sz="0" w:space="0" w:color="auto"/>
            <w:left w:val="none" w:sz="0" w:space="0" w:color="auto"/>
            <w:bottom w:val="none" w:sz="0" w:space="0" w:color="auto"/>
            <w:right w:val="none" w:sz="0" w:space="0" w:color="auto"/>
          </w:divBdr>
        </w:div>
        <w:div w:id="86074385">
          <w:marLeft w:val="640"/>
          <w:marRight w:val="0"/>
          <w:marTop w:val="0"/>
          <w:marBottom w:val="0"/>
          <w:divBdr>
            <w:top w:val="none" w:sz="0" w:space="0" w:color="auto"/>
            <w:left w:val="none" w:sz="0" w:space="0" w:color="auto"/>
            <w:bottom w:val="none" w:sz="0" w:space="0" w:color="auto"/>
            <w:right w:val="none" w:sz="0" w:space="0" w:color="auto"/>
          </w:divBdr>
        </w:div>
        <w:div w:id="176190411">
          <w:marLeft w:val="640"/>
          <w:marRight w:val="0"/>
          <w:marTop w:val="0"/>
          <w:marBottom w:val="0"/>
          <w:divBdr>
            <w:top w:val="none" w:sz="0" w:space="0" w:color="auto"/>
            <w:left w:val="none" w:sz="0" w:space="0" w:color="auto"/>
            <w:bottom w:val="none" w:sz="0" w:space="0" w:color="auto"/>
            <w:right w:val="none" w:sz="0" w:space="0" w:color="auto"/>
          </w:divBdr>
        </w:div>
        <w:div w:id="1771899557">
          <w:marLeft w:val="640"/>
          <w:marRight w:val="0"/>
          <w:marTop w:val="0"/>
          <w:marBottom w:val="0"/>
          <w:divBdr>
            <w:top w:val="none" w:sz="0" w:space="0" w:color="auto"/>
            <w:left w:val="none" w:sz="0" w:space="0" w:color="auto"/>
            <w:bottom w:val="none" w:sz="0" w:space="0" w:color="auto"/>
            <w:right w:val="none" w:sz="0" w:space="0" w:color="auto"/>
          </w:divBdr>
        </w:div>
        <w:div w:id="1761871288">
          <w:marLeft w:val="640"/>
          <w:marRight w:val="0"/>
          <w:marTop w:val="0"/>
          <w:marBottom w:val="0"/>
          <w:divBdr>
            <w:top w:val="none" w:sz="0" w:space="0" w:color="auto"/>
            <w:left w:val="none" w:sz="0" w:space="0" w:color="auto"/>
            <w:bottom w:val="none" w:sz="0" w:space="0" w:color="auto"/>
            <w:right w:val="none" w:sz="0" w:space="0" w:color="auto"/>
          </w:divBdr>
        </w:div>
        <w:div w:id="2038694096">
          <w:marLeft w:val="640"/>
          <w:marRight w:val="0"/>
          <w:marTop w:val="0"/>
          <w:marBottom w:val="0"/>
          <w:divBdr>
            <w:top w:val="none" w:sz="0" w:space="0" w:color="auto"/>
            <w:left w:val="none" w:sz="0" w:space="0" w:color="auto"/>
            <w:bottom w:val="none" w:sz="0" w:space="0" w:color="auto"/>
            <w:right w:val="none" w:sz="0" w:space="0" w:color="auto"/>
          </w:divBdr>
        </w:div>
        <w:div w:id="1086459952">
          <w:marLeft w:val="640"/>
          <w:marRight w:val="0"/>
          <w:marTop w:val="0"/>
          <w:marBottom w:val="0"/>
          <w:divBdr>
            <w:top w:val="none" w:sz="0" w:space="0" w:color="auto"/>
            <w:left w:val="none" w:sz="0" w:space="0" w:color="auto"/>
            <w:bottom w:val="none" w:sz="0" w:space="0" w:color="auto"/>
            <w:right w:val="none" w:sz="0" w:space="0" w:color="auto"/>
          </w:divBdr>
        </w:div>
        <w:div w:id="40640281">
          <w:marLeft w:val="640"/>
          <w:marRight w:val="0"/>
          <w:marTop w:val="0"/>
          <w:marBottom w:val="0"/>
          <w:divBdr>
            <w:top w:val="none" w:sz="0" w:space="0" w:color="auto"/>
            <w:left w:val="none" w:sz="0" w:space="0" w:color="auto"/>
            <w:bottom w:val="none" w:sz="0" w:space="0" w:color="auto"/>
            <w:right w:val="none" w:sz="0" w:space="0" w:color="auto"/>
          </w:divBdr>
        </w:div>
        <w:div w:id="230239457">
          <w:marLeft w:val="640"/>
          <w:marRight w:val="0"/>
          <w:marTop w:val="0"/>
          <w:marBottom w:val="0"/>
          <w:divBdr>
            <w:top w:val="none" w:sz="0" w:space="0" w:color="auto"/>
            <w:left w:val="none" w:sz="0" w:space="0" w:color="auto"/>
            <w:bottom w:val="none" w:sz="0" w:space="0" w:color="auto"/>
            <w:right w:val="none" w:sz="0" w:space="0" w:color="auto"/>
          </w:divBdr>
        </w:div>
        <w:div w:id="1132987851">
          <w:marLeft w:val="640"/>
          <w:marRight w:val="0"/>
          <w:marTop w:val="0"/>
          <w:marBottom w:val="0"/>
          <w:divBdr>
            <w:top w:val="none" w:sz="0" w:space="0" w:color="auto"/>
            <w:left w:val="none" w:sz="0" w:space="0" w:color="auto"/>
            <w:bottom w:val="none" w:sz="0" w:space="0" w:color="auto"/>
            <w:right w:val="none" w:sz="0" w:space="0" w:color="auto"/>
          </w:divBdr>
        </w:div>
        <w:div w:id="1419330685">
          <w:marLeft w:val="640"/>
          <w:marRight w:val="0"/>
          <w:marTop w:val="0"/>
          <w:marBottom w:val="0"/>
          <w:divBdr>
            <w:top w:val="none" w:sz="0" w:space="0" w:color="auto"/>
            <w:left w:val="none" w:sz="0" w:space="0" w:color="auto"/>
            <w:bottom w:val="none" w:sz="0" w:space="0" w:color="auto"/>
            <w:right w:val="none" w:sz="0" w:space="0" w:color="auto"/>
          </w:divBdr>
        </w:div>
        <w:div w:id="2123456375">
          <w:marLeft w:val="640"/>
          <w:marRight w:val="0"/>
          <w:marTop w:val="0"/>
          <w:marBottom w:val="0"/>
          <w:divBdr>
            <w:top w:val="none" w:sz="0" w:space="0" w:color="auto"/>
            <w:left w:val="none" w:sz="0" w:space="0" w:color="auto"/>
            <w:bottom w:val="none" w:sz="0" w:space="0" w:color="auto"/>
            <w:right w:val="none" w:sz="0" w:space="0" w:color="auto"/>
          </w:divBdr>
        </w:div>
        <w:div w:id="1915358180">
          <w:marLeft w:val="640"/>
          <w:marRight w:val="0"/>
          <w:marTop w:val="0"/>
          <w:marBottom w:val="0"/>
          <w:divBdr>
            <w:top w:val="none" w:sz="0" w:space="0" w:color="auto"/>
            <w:left w:val="none" w:sz="0" w:space="0" w:color="auto"/>
            <w:bottom w:val="none" w:sz="0" w:space="0" w:color="auto"/>
            <w:right w:val="none" w:sz="0" w:space="0" w:color="auto"/>
          </w:divBdr>
        </w:div>
      </w:divsChild>
    </w:div>
    <w:div w:id="1417247860">
      <w:bodyDiv w:val="1"/>
      <w:marLeft w:val="0"/>
      <w:marRight w:val="0"/>
      <w:marTop w:val="0"/>
      <w:marBottom w:val="0"/>
      <w:divBdr>
        <w:top w:val="none" w:sz="0" w:space="0" w:color="auto"/>
        <w:left w:val="none" w:sz="0" w:space="0" w:color="auto"/>
        <w:bottom w:val="none" w:sz="0" w:space="0" w:color="auto"/>
        <w:right w:val="none" w:sz="0" w:space="0" w:color="auto"/>
      </w:divBdr>
    </w:div>
    <w:div w:id="1513255965">
      <w:bodyDiv w:val="1"/>
      <w:marLeft w:val="0"/>
      <w:marRight w:val="0"/>
      <w:marTop w:val="0"/>
      <w:marBottom w:val="0"/>
      <w:divBdr>
        <w:top w:val="none" w:sz="0" w:space="0" w:color="auto"/>
        <w:left w:val="none" w:sz="0" w:space="0" w:color="auto"/>
        <w:bottom w:val="none" w:sz="0" w:space="0" w:color="auto"/>
        <w:right w:val="none" w:sz="0" w:space="0" w:color="auto"/>
      </w:divBdr>
      <w:divsChild>
        <w:div w:id="1804693583">
          <w:marLeft w:val="640"/>
          <w:marRight w:val="0"/>
          <w:marTop w:val="0"/>
          <w:marBottom w:val="0"/>
          <w:divBdr>
            <w:top w:val="none" w:sz="0" w:space="0" w:color="auto"/>
            <w:left w:val="none" w:sz="0" w:space="0" w:color="auto"/>
            <w:bottom w:val="none" w:sz="0" w:space="0" w:color="auto"/>
            <w:right w:val="none" w:sz="0" w:space="0" w:color="auto"/>
          </w:divBdr>
        </w:div>
        <w:div w:id="625082929">
          <w:marLeft w:val="640"/>
          <w:marRight w:val="0"/>
          <w:marTop w:val="0"/>
          <w:marBottom w:val="0"/>
          <w:divBdr>
            <w:top w:val="none" w:sz="0" w:space="0" w:color="auto"/>
            <w:left w:val="none" w:sz="0" w:space="0" w:color="auto"/>
            <w:bottom w:val="none" w:sz="0" w:space="0" w:color="auto"/>
            <w:right w:val="none" w:sz="0" w:space="0" w:color="auto"/>
          </w:divBdr>
        </w:div>
        <w:div w:id="496459432">
          <w:marLeft w:val="640"/>
          <w:marRight w:val="0"/>
          <w:marTop w:val="0"/>
          <w:marBottom w:val="0"/>
          <w:divBdr>
            <w:top w:val="none" w:sz="0" w:space="0" w:color="auto"/>
            <w:left w:val="none" w:sz="0" w:space="0" w:color="auto"/>
            <w:bottom w:val="none" w:sz="0" w:space="0" w:color="auto"/>
            <w:right w:val="none" w:sz="0" w:space="0" w:color="auto"/>
          </w:divBdr>
        </w:div>
        <w:div w:id="1713651700">
          <w:marLeft w:val="640"/>
          <w:marRight w:val="0"/>
          <w:marTop w:val="0"/>
          <w:marBottom w:val="0"/>
          <w:divBdr>
            <w:top w:val="none" w:sz="0" w:space="0" w:color="auto"/>
            <w:left w:val="none" w:sz="0" w:space="0" w:color="auto"/>
            <w:bottom w:val="none" w:sz="0" w:space="0" w:color="auto"/>
            <w:right w:val="none" w:sz="0" w:space="0" w:color="auto"/>
          </w:divBdr>
        </w:div>
        <w:div w:id="2117015714">
          <w:marLeft w:val="640"/>
          <w:marRight w:val="0"/>
          <w:marTop w:val="0"/>
          <w:marBottom w:val="0"/>
          <w:divBdr>
            <w:top w:val="none" w:sz="0" w:space="0" w:color="auto"/>
            <w:left w:val="none" w:sz="0" w:space="0" w:color="auto"/>
            <w:bottom w:val="none" w:sz="0" w:space="0" w:color="auto"/>
            <w:right w:val="none" w:sz="0" w:space="0" w:color="auto"/>
          </w:divBdr>
        </w:div>
        <w:div w:id="220023844">
          <w:marLeft w:val="640"/>
          <w:marRight w:val="0"/>
          <w:marTop w:val="0"/>
          <w:marBottom w:val="0"/>
          <w:divBdr>
            <w:top w:val="none" w:sz="0" w:space="0" w:color="auto"/>
            <w:left w:val="none" w:sz="0" w:space="0" w:color="auto"/>
            <w:bottom w:val="none" w:sz="0" w:space="0" w:color="auto"/>
            <w:right w:val="none" w:sz="0" w:space="0" w:color="auto"/>
          </w:divBdr>
        </w:div>
        <w:div w:id="376588167">
          <w:marLeft w:val="640"/>
          <w:marRight w:val="0"/>
          <w:marTop w:val="0"/>
          <w:marBottom w:val="0"/>
          <w:divBdr>
            <w:top w:val="none" w:sz="0" w:space="0" w:color="auto"/>
            <w:left w:val="none" w:sz="0" w:space="0" w:color="auto"/>
            <w:bottom w:val="none" w:sz="0" w:space="0" w:color="auto"/>
            <w:right w:val="none" w:sz="0" w:space="0" w:color="auto"/>
          </w:divBdr>
        </w:div>
        <w:div w:id="753673107">
          <w:marLeft w:val="640"/>
          <w:marRight w:val="0"/>
          <w:marTop w:val="0"/>
          <w:marBottom w:val="0"/>
          <w:divBdr>
            <w:top w:val="none" w:sz="0" w:space="0" w:color="auto"/>
            <w:left w:val="none" w:sz="0" w:space="0" w:color="auto"/>
            <w:bottom w:val="none" w:sz="0" w:space="0" w:color="auto"/>
            <w:right w:val="none" w:sz="0" w:space="0" w:color="auto"/>
          </w:divBdr>
        </w:div>
        <w:div w:id="1142893803">
          <w:marLeft w:val="640"/>
          <w:marRight w:val="0"/>
          <w:marTop w:val="0"/>
          <w:marBottom w:val="0"/>
          <w:divBdr>
            <w:top w:val="none" w:sz="0" w:space="0" w:color="auto"/>
            <w:left w:val="none" w:sz="0" w:space="0" w:color="auto"/>
            <w:bottom w:val="none" w:sz="0" w:space="0" w:color="auto"/>
            <w:right w:val="none" w:sz="0" w:space="0" w:color="auto"/>
          </w:divBdr>
        </w:div>
        <w:div w:id="1139691220">
          <w:marLeft w:val="640"/>
          <w:marRight w:val="0"/>
          <w:marTop w:val="0"/>
          <w:marBottom w:val="0"/>
          <w:divBdr>
            <w:top w:val="none" w:sz="0" w:space="0" w:color="auto"/>
            <w:left w:val="none" w:sz="0" w:space="0" w:color="auto"/>
            <w:bottom w:val="none" w:sz="0" w:space="0" w:color="auto"/>
            <w:right w:val="none" w:sz="0" w:space="0" w:color="auto"/>
          </w:divBdr>
        </w:div>
        <w:div w:id="985863452">
          <w:marLeft w:val="640"/>
          <w:marRight w:val="0"/>
          <w:marTop w:val="0"/>
          <w:marBottom w:val="0"/>
          <w:divBdr>
            <w:top w:val="none" w:sz="0" w:space="0" w:color="auto"/>
            <w:left w:val="none" w:sz="0" w:space="0" w:color="auto"/>
            <w:bottom w:val="none" w:sz="0" w:space="0" w:color="auto"/>
            <w:right w:val="none" w:sz="0" w:space="0" w:color="auto"/>
          </w:divBdr>
        </w:div>
        <w:div w:id="1425803921">
          <w:marLeft w:val="640"/>
          <w:marRight w:val="0"/>
          <w:marTop w:val="0"/>
          <w:marBottom w:val="0"/>
          <w:divBdr>
            <w:top w:val="none" w:sz="0" w:space="0" w:color="auto"/>
            <w:left w:val="none" w:sz="0" w:space="0" w:color="auto"/>
            <w:bottom w:val="none" w:sz="0" w:space="0" w:color="auto"/>
            <w:right w:val="none" w:sz="0" w:space="0" w:color="auto"/>
          </w:divBdr>
        </w:div>
        <w:div w:id="1828670091">
          <w:marLeft w:val="640"/>
          <w:marRight w:val="0"/>
          <w:marTop w:val="0"/>
          <w:marBottom w:val="0"/>
          <w:divBdr>
            <w:top w:val="none" w:sz="0" w:space="0" w:color="auto"/>
            <w:left w:val="none" w:sz="0" w:space="0" w:color="auto"/>
            <w:bottom w:val="none" w:sz="0" w:space="0" w:color="auto"/>
            <w:right w:val="none" w:sz="0" w:space="0" w:color="auto"/>
          </w:divBdr>
        </w:div>
        <w:div w:id="1486513633">
          <w:marLeft w:val="640"/>
          <w:marRight w:val="0"/>
          <w:marTop w:val="0"/>
          <w:marBottom w:val="0"/>
          <w:divBdr>
            <w:top w:val="none" w:sz="0" w:space="0" w:color="auto"/>
            <w:left w:val="none" w:sz="0" w:space="0" w:color="auto"/>
            <w:bottom w:val="none" w:sz="0" w:space="0" w:color="auto"/>
            <w:right w:val="none" w:sz="0" w:space="0" w:color="auto"/>
          </w:divBdr>
        </w:div>
        <w:div w:id="312099467">
          <w:marLeft w:val="640"/>
          <w:marRight w:val="0"/>
          <w:marTop w:val="0"/>
          <w:marBottom w:val="0"/>
          <w:divBdr>
            <w:top w:val="none" w:sz="0" w:space="0" w:color="auto"/>
            <w:left w:val="none" w:sz="0" w:space="0" w:color="auto"/>
            <w:bottom w:val="none" w:sz="0" w:space="0" w:color="auto"/>
            <w:right w:val="none" w:sz="0" w:space="0" w:color="auto"/>
          </w:divBdr>
        </w:div>
        <w:div w:id="1583561171">
          <w:marLeft w:val="640"/>
          <w:marRight w:val="0"/>
          <w:marTop w:val="0"/>
          <w:marBottom w:val="0"/>
          <w:divBdr>
            <w:top w:val="none" w:sz="0" w:space="0" w:color="auto"/>
            <w:left w:val="none" w:sz="0" w:space="0" w:color="auto"/>
            <w:bottom w:val="none" w:sz="0" w:space="0" w:color="auto"/>
            <w:right w:val="none" w:sz="0" w:space="0" w:color="auto"/>
          </w:divBdr>
        </w:div>
      </w:divsChild>
    </w:div>
    <w:div w:id="1546719550">
      <w:bodyDiv w:val="1"/>
      <w:marLeft w:val="0"/>
      <w:marRight w:val="0"/>
      <w:marTop w:val="0"/>
      <w:marBottom w:val="0"/>
      <w:divBdr>
        <w:top w:val="none" w:sz="0" w:space="0" w:color="auto"/>
        <w:left w:val="none" w:sz="0" w:space="0" w:color="auto"/>
        <w:bottom w:val="none" w:sz="0" w:space="0" w:color="auto"/>
        <w:right w:val="none" w:sz="0" w:space="0" w:color="auto"/>
      </w:divBdr>
      <w:divsChild>
        <w:div w:id="683358955">
          <w:marLeft w:val="0"/>
          <w:marRight w:val="0"/>
          <w:marTop w:val="0"/>
          <w:marBottom w:val="0"/>
          <w:divBdr>
            <w:top w:val="none" w:sz="0" w:space="0" w:color="auto"/>
            <w:left w:val="none" w:sz="0" w:space="0" w:color="auto"/>
            <w:bottom w:val="none" w:sz="0" w:space="0" w:color="auto"/>
            <w:right w:val="none" w:sz="0" w:space="0" w:color="auto"/>
          </w:divBdr>
          <w:divsChild>
            <w:div w:id="437794207">
              <w:marLeft w:val="0"/>
              <w:marRight w:val="0"/>
              <w:marTop w:val="0"/>
              <w:marBottom w:val="0"/>
              <w:divBdr>
                <w:top w:val="none" w:sz="0" w:space="0" w:color="auto"/>
                <w:left w:val="none" w:sz="0" w:space="0" w:color="auto"/>
                <w:bottom w:val="none" w:sz="0" w:space="0" w:color="auto"/>
                <w:right w:val="none" w:sz="0" w:space="0" w:color="auto"/>
              </w:divBdr>
              <w:divsChild>
                <w:div w:id="2069376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94840">
      <w:bodyDiv w:val="1"/>
      <w:marLeft w:val="0"/>
      <w:marRight w:val="0"/>
      <w:marTop w:val="0"/>
      <w:marBottom w:val="0"/>
      <w:divBdr>
        <w:top w:val="none" w:sz="0" w:space="0" w:color="auto"/>
        <w:left w:val="none" w:sz="0" w:space="0" w:color="auto"/>
        <w:bottom w:val="none" w:sz="0" w:space="0" w:color="auto"/>
        <w:right w:val="none" w:sz="0" w:space="0" w:color="auto"/>
      </w:divBdr>
      <w:divsChild>
        <w:div w:id="1993827980">
          <w:marLeft w:val="640"/>
          <w:marRight w:val="0"/>
          <w:marTop w:val="0"/>
          <w:marBottom w:val="0"/>
          <w:divBdr>
            <w:top w:val="none" w:sz="0" w:space="0" w:color="auto"/>
            <w:left w:val="none" w:sz="0" w:space="0" w:color="auto"/>
            <w:bottom w:val="none" w:sz="0" w:space="0" w:color="auto"/>
            <w:right w:val="none" w:sz="0" w:space="0" w:color="auto"/>
          </w:divBdr>
        </w:div>
        <w:div w:id="811143747">
          <w:marLeft w:val="640"/>
          <w:marRight w:val="0"/>
          <w:marTop w:val="0"/>
          <w:marBottom w:val="0"/>
          <w:divBdr>
            <w:top w:val="none" w:sz="0" w:space="0" w:color="auto"/>
            <w:left w:val="none" w:sz="0" w:space="0" w:color="auto"/>
            <w:bottom w:val="none" w:sz="0" w:space="0" w:color="auto"/>
            <w:right w:val="none" w:sz="0" w:space="0" w:color="auto"/>
          </w:divBdr>
        </w:div>
        <w:div w:id="855967264">
          <w:marLeft w:val="640"/>
          <w:marRight w:val="0"/>
          <w:marTop w:val="0"/>
          <w:marBottom w:val="0"/>
          <w:divBdr>
            <w:top w:val="none" w:sz="0" w:space="0" w:color="auto"/>
            <w:left w:val="none" w:sz="0" w:space="0" w:color="auto"/>
            <w:bottom w:val="none" w:sz="0" w:space="0" w:color="auto"/>
            <w:right w:val="none" w:sz="0" w:space="0" w:color="auto"/>
          </w:divBdr>
        </w:div>
        <w:div w:id="45685749">
          <w:marLeft w:val="640"/>
          <w:marRight w:val="0"/>
          <w:marTop w:val="0"/>
          <w:marBottom w:val="0"/>
          <w:divBdr>
            <w:top w:val="none" w:sz="0" w:space="0" w:color="auto"/>
            <w:left w:val="none" w:sz="0" w:space="0" w:color="auto"/>
            <w:bottom w:val="none" w:sz="0" w:space="0" w:color="auto"/>
            <w:right w:val="none" w:sz="0" w:space="0" w:color="auto"/>
          </w:divBdr>
        </w:div>
        <w:div w:id="181944031">
          <w:marLeft w:val="640"/>
          <w:marRight w:val="0"/>
          <w:marTop w:val="0"/>
          <w:marBottom w:val="0"/>
          <w:divBdr>
            <w:top w:val="none" w:sz="0" w:space="0" w:color="auto"/>
            <w:left w:val="none" w:sz="0" w:space="0" w:color="auto"/>
            <w:bottom w:val="none" w:sz="0" w:space="0" w:color="auto"/>
            <w:right w:val="none" w:sz="0" w:space="0" w:color="auto"/>
          </w:divBdr>
        </w:div>
        <w:div w:id="2106268672">
          <w:marLeft w:val="640"/>
          <w:marRight w:val="0"/>
          <w:marTop w:val="0"/>
          <w:marBottom w:val="0"/>
          <w:divBdr>
            <w:top w:val="none" w:sz="0" w:space="0" w:color="auto"/>
            <w:left w:val="none" w:sz="0" w:space="0" w:color="auto"/>
            <w:bottom w:val="none" w:sz="0" w:space="0" w:color="auto"/>
            <w:right w:val="none" w:sz="0" w:space="0" w:color="auto"/>
          </w:divBdr>
        </w:div>
        <w:div w:id="855920572">
          <w:marLeft w:val="640"/>
          <w:marRight w:val="0"/>
          <w:marTop w:val="0"/>
          <w:marBottom w:val="0"/>
          <w:divBdr>
            <w:top w:val="none" w:sz="0" w:space="0" w:color="auto"/>
            <w:left w:val="none" w:sz="0" w:space="0" w:color="auto"/>
            <w:bottom w:val="none" w:sz="0" w:space="0" w:color="auto"/>
            <w:right w:val="none" w:sz="0" w:space="0" w:color="auto"/>
          </w:divBdr>
        </w:div>
        <w:div w:id="119229957">
          <w:marLeft w:val="640"/>
          <w:marRight w:val="0"/>
          <w:marTop w:val="0"/>
          <w:marBottom w:val="0"/>
          <w:divBdr>
            <w:top w:val="none" w:sz="0" w:space="0" w:color="auto"/>
            <w:left w:val="none" w:sz="0" w:space="0" w:color="auto"/>
            <w:bottom w:val="none" w:sz="0" w:space="0" w:color="auto"/>
            <w:right w:val="none" w:sz="0" w:space="0" w:color="auto"/>
          </w:divBdr>
        </w:div>
        <w:div w:id="816730106">
          <w:marLeft w:val="640"/>
          <w:marRight w:val="0"/>
          <w:marTop w:val="0"/>
          <w:marBottom w:val="0"/>
          <w:divBdr>
            <w:top w:val="none" w:sz="0" w:space="0" w:color="auto"/>
            <w:left w:val="none" w:sz="0" w:space="0" w:color="auto"/>
            <w:bottom w:val="none" w:sz="0" w:space="0" w:color="auto"/>
            <w:right w:val="none" w:sz="0" w:space="0" w:color="auto"/>
          </w:divBdr>
        </w:div>
        <w:div w:id="977799504">
          <w:marLeft w:val="640"/>
          <w:marRight w:val="0"/>
          <w:marTop w:val="0"/>
          <w:marBottom w:val="0"/>
          <w:divBdr>
            <w:top w:val="none" w:sz="0" w:space="0" w:color="auto"/>
            <w:left w:val="none" w:sz="0" w:space="0" w:color="auto"/>
            <w:bottom w:val="none" w:sz="0" w:space="0" w:color="auto"/>
            <w:right w:val="none" w:sz="0" w:space="0" w:color="auto"/>
          </w:divBdr>
        </w:div>
        <w:div w:id="1061247999">
          <w:marLeft w:val="640"/>
          <w:marRight w:val="0"/>
          <w:marTop w:val="0"/>
          <w:marBottom w:val="0"/>
          <w:divBdr>
            <w:top w:val="none" w:sz="0" w:space="0" w:color="auto"/>
            <w:left w:val="none" w:sz="0" w:space="0" w:color="auto"/>
            <w:bottom w:val="none" w:sz="0" w:space="0" w:color="auto"/>
            <w:right w:val="none" w:sz="0" w:space="0" w:color="auto"/>
          </w:divBdr>
        </w:div>
        <w:div w:id="2050950463">
          <w:marLeft w:val="640"/>
          <w:marRight w:val="0"/>
          <w:marTop w:val="0"/>
          <w:marBottom w:val="0"/>
          <w:divBdr>
            <w:top w:val="none" w:sz="0" w:space="0" w:color="auto"/>
            <w:left w:val="none" w:sz="0" w:space="0" w:color="auto"/>
            <w:bottom w:val="none" w:sz="0" w:space="0" w:color="auto"/>
            <w:right w:val="none" w:sz="0" w:space="0" w:color="auto"/>
          </w:divBdr>
        </w:div>
        <w:div w:id="1177578788">
          <w:marLeft w:val="640"/>
          <w:marRight w:val="0"/>
          <w:marTop w:val="0"/>
          <w:marBottom w:val="0"/>
          <w:divBdr>
            <w:top w:val="none" w:sz="0" w:space="0" w:color="auto"/>
            <w:left w:val="none" w:sz="0" w:space="0" w:color="auto"/>
            <w:bottom w:val="none" w:sz="0" w:space="0" w:color="auto"/>
            <w:right w:val="none" w:sz="0" w:space="0" w:color="auto"/>
          </w:divBdr>
        </w:div>
        <w:div w:id="441342049">
          <w:marLeft w:val="640"/>
          <w:marRight w:val="0"/>
          <w:marTop w:val="0"/>
          <w:marBottom w:val="0"/>
          <w:divBdr>
            <w:top w:val="none" w:sz="0" w:space="0" w:color="auto"/>
            <w:left w:val="none" w:sz="0" w:space="0" w:color="auto"/>
            <w:bottom w:val="none" w:sz="0" w:space="0" w:color="auto"/>
            <w:right w:val="none" w:sz="0" w:space="0" w:color="auto"/>
          </w:divBdr>
        </w:div>
        <w:div w:id="554507970">
          <w:marLeft w:val="640"/>
          <w:marRight w:val="0"/>
          <w:marTop w:val="0"/>
          <w:marBottom w:val="0"/>
          <w:divBdr>
            <w:top w:val="none" w:sz="0" w:space="0" w:color="auto"/>
            <w:left w:val="none" w:sz="0" w:space="0" w:color="auto"/>
            <w:bottom w:val="none" w:sz="0" w:space="0" w:color="auto"/>
            <w:right w:val="none" w:sz="0" w:space="0" w:color="auto"/>
          </w:divBdr>
        </w:div>
        <w:div w:id="392240119">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4.emf"/><Relationship Id="rId18" Type="http://schemas.openxmlformats.org/officeDocument/2006/relationships/image" Target="media/image9.emf"/><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8.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7.emf"/><Relationship Id="rId20" Type="http://schemas.openxmlformats.org/officeDocument/2006/relationships/image" Target="media/image11.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image" Target="media/image6.emf"/><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0.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emf"/><Relationship Id="rId22" Type="http://schemas.openxmlformats.org/officeDocument/2006/relationships/footer" Target="foot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FA704D3093BD2A4586E6598F497BFC33"/>
        <w:category>
          <w:name w:val="General"/>
          <w:gallery w:val="placeholder"/>
        </w:category>
        <w:types>
          <w:type w:val="bbPlcHdr"/>
        </w:types>
        <w:behaviors>
          <w:behavior w:val="content"/>
        </w:behaviors>
        <w:guid w:val="{BFFA3D0A-62CD-1042-BDC1-62478E91CCD1}"/>
      </w:docPartPr>
      <w:docPartBody>
        <w:p w:rsidR="00C01D57" w:rsidRDefault="0033197F" w:rsidP="0033197F">
          <w:pPr>
            <w:pStyle w:val="FA704D3093BD2A4586E6598F497BFC33"/>
          </w:pPr>
          <w:r w:rsidRPr="00F12A54">
            <w:rPr>
              <w:rStyle w:val="PlaceholderText"/>
            </w:rPr>
            <w:t>Click or tap here to enter text.</w:t>
          </w:r>
        </w:p>
      </w:docPartBody>
    </w:docPart>
    <w:docPart>
      <w:docPartPr>
        <w:name w:val="A4A93F8B209A1F42A95E631A52122990"/>
        <w:category>
          <w:name w:val="General"/>
          <w:gallery w:val="placeholder"/>
        </w:category>
        <w:types>
          <w:type w:val="bbPlcHdr"/>
        </w:types>
        <w:behaviors>
          <w:behavior w:val="content"/>
        </w:behaviors>
        <w:guid w:val="{AE8BFA08-9DAB-3746-BD1C-9C644EC076D3}"/>
      </w:docPartPr>
      <w:docPartBody>
        <w:p w:rsidR="00C01D57" w:rsidRDefault="0033197F" w:rsidP="0033197F">
          <w:pPr>
            <w:pStyle w:val="A4A93F8B209A1F42A95E631A52122990"/>
          </w:pPr>
          <w:r w:rsidRPr="00DE3A85">
            <w:rPr>
              <w:rStyle w:val="PlaceholderText"/>
            </w:rPr>
            <w:t>Click or tap here to enter text.</w:t>
          </w:r>
        </w:p>
      </w:docPartBody>
    </w:docPart>
    <w:docPart>
      <w:docPartPr>
        <w:name w:val="469D2F21765DCD42B3B243194152F928"/>
        <w:category>
          <w:name w:val="General"/>
          <w:gallery w:val="placeholder"/>
        </w:category>
        <w:types>
          <w:type w:val="bbPlcHdr"/>
        </w:types>
        <w:behaviors>
          <w:behavior w:val="content"/>
        </w:behaviors>
        <w:guid w:val="{A0C7F04F-50B5-BD4A-8D25-4246FCCFA8F5}"/>
      </w:docPartPr>
      <w:docPartBody>
        <w:p w:rsidR="00C01D57" w:rsidRDefault="0033197F" w:rsidP="0033197F">
          <w:pPr>
            <w:pStyle w:val="469D2F21765DCD42B3B243194152F928"/>
          </w:pPr>
          <w:r w:rsidRPr="00F12A54">
            <w:rPr>
              <w:rStyle w:val="PlaceholderText"/>
            </w:rPr>
            <w:t>Click or tap here to enter text.</w:t>
          </w:r>
        </w:p>
      </w:docPartBody>
    </w:docPart>
    <w:docPart>
      <w:docPartPr>
        <w:name w:val="08795D32191760448B703C00C9CB9617"/>
        <w:category>
          <w:name w:val="General"/>
          <w:gallery w:val="placeholder"/>
        </w:category>
        <w:types>
          <w:type w:val="bbPlcHdr"/>
        </w:types>
        <w:behaviors>
          <w:behavior w:val="content"/>
        </w:behaviors>
        <w:guid w:val="{2554FDFB-CAB4-0549-8BED-900CB43D3356}"/>
      </w:docPartPr>
      <w:docPartBody>
        <w:p w:rsidR="00C01D57" w:rsidRDefault="0033197F" w:rsidP="0033197F">
          <w:pPr>
            <w:pStyle w:val="08795D32191760448B703C00C9CB9617"/>
          </w:pPr>
          <w:r w:rsidRPr="00F12A54">
            <w:rPr>
              <w:rStyle w:val="PlaceholderText"/>
            </w:rPr>
            <w:t>Click or tap here to enter text.</w:t>
          </w:r>
        </w:p>
      </w:docPartBody>
    </w:docPart>
    <w:docPart>
      <w:docPartPr>
        <w:name w:val="B1B2EEF29D5CEF4EA0FDE244303229D1"/>
        <w:category>
          <w:name w:val="General"/>
          <w:gallery w:val="placeholder"/>
        </w:category>
        <w:types>
          <w:type w:val="bbPlcHdr"/>
        </w:types>
        <w:behaviors>
          <w:behavior w:val="content"/>
        </w:behaviors>
        <w:guid w:val="{936BEAA4-3B0B-AF44-A841-36E98345B7CE}"/>
      </w:docPartPr>
      <w:docPartBody>
        <w:p w:rsidR="00C01D57" w:rsidRDefault="0033197F" w:rsidP="0033197F">
          <w:pPr>
            <w:pStyle w:val="B1B2EEF29D5CEF4EA0FDE244303229D1"/>
          </w:pPr>
          <w:r w:rsidRPr="00F12A54">
            <w:rPr>
              <w:rStyle w:val="PlaceholderText"/>
            </w:rPr>
            <w:t>Click or tap here to enter text.</w:t>
          </w:r>
        </w:p>
      </w:docPartBody>
    </w:docPart>
    <w:docPart>
      <w:docPartPr>
        <w:name w:val="1D41F9DD91619A4485A999CA6783360A"/>
        <w:category>
          <w:name w:val="General"/>
          <w:gallery w:val="placeholder"/>
        </w:category>
        <w:types>
          <w:type w:val="bbPlcHdr"/>
        </w:types>
        <w:behaviors>
          <w:behavior w:val="content"/>
        </w:behaviors>
        <w:guid w:val="{13DB9151-1CF3-FD48-AAAD-1FCAC24C8AD2}"/>
      </w:docPartPr>
      <w:docPartBody>
        <w:p w:rsidR="00C33B6E" w:rsidRDefault="008F0FC2" w:rsidP="008F0FC2">
          <w:pPr>
            <w:pStyle w:val="1D41F9DD91619A4485A999CA6783360A"/>
          </w:pPr>
          <w:r w:rsidRPr="00907262">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442DB811-224A-B442-A05A-9E0679D946ED}"/>
      </w:docPartPr>
      <w:docPartBody>
        <w:p w:rsidR="000E364B" w:rsidRDefault="00D8303F">
          <w:r w:rsidRPr="002500EC">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109"/>
    <w:rsid w:val="000241DE"/>
    <w:rsid w:val="000E364B"/>
    <w:rsid w:val="0033197F"/>
    <w:rsid w:val="0039191C"/>
    <w:rsid w:val="00466900"/>
    <w:rsid w:val="00522415"/>
    <w:rsid w:val="00773BFB"/>
    <w:rsid w:val="008F0FC2"/>
    <w:rsid w:val="00977294"/>
    <w:rsid w:val="0099312A"/>
    <w:rsid w:val="00AB1376"/>
    <w:rsid w:val="00AB3248"/>
    <w:rsid w:val="00B102F9"/>
    <w:rsid w:val="00B459A4"/>
    <w:rsid w:val="00B47CCF"/>
    <w:rsid w:val="00B60431"/>
    <w:rsid w:val="00B94057"/>
    <w:rsid w:val="00BF12E0"/>
    <w:rsid w:val="00C01D57"/>
    <w:rsid w:val="00C33B6E"/>
    <w:rsid w:val="00CC3754"/>
    <w:rsid w:val="00CF565A"/>
    <w:rsid w:val="00D14340"/>
    <w:rsid w:val="00D378FB"/>
    <w:rsid w:val="00D42802"/>
    <w:rsid w:val="00D71646"/>
    <w:rsid w:val="00D8303F"/>
    <w:rsid w:val="00DC1F5F"/>
    <w:rsid w:val="00E25B8E"/>
    <w:rsid w:val="00F90B31"/>
    <w:rsid w:val="00F941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8303F"/>
    <w:rPr>
      <w:color w:val="808080"/>
    </w:rPr>
  </w:style>
  <w:style w:type="paragraph" w:customStyle="1" w:styleId="FA704D3093BD2A4586E6598F497BFC33">
    <w:name w:val="FA704D3093BD2A4586E6598F497BFC33"/>
    <w:rsid w:val="0033197F"/>
  </w:style>
  <w:style w:type="paragraph" w:customStyle="1" w:styleId="A4A93F8B209A1F42A95E631A52122990">
    <w:name w:val="A4A93F8B209A1F42A95E631A52122990"/>
    <w:rsid w:val="0033197F"/>
  </w:style>
  <w:style w:type="paragraph" w:customStyle="1" w:styleId="469D2F21765DCD42B3B243194152F928">
    <w:name w:val="469D2F21765DCD42B3B243194152F928"/>
    <w:rsid w:val="0033197F"/>
  </w:style>
  <w:style w:type="paragraph" w:customStyle="1" w:styleId="08795D32191760448B703C00C9CB9617">
    <w:name w:val="08795D32191760448B703C00C9CB9617"/>
    <w:rsid w:val="0033197F"/>
  </w:style>
  <w:style w:type="paragraph" w:customStyle="1" w:styleId="B1B2EEF29D5CEF4EA0FDE244303229D1">
    <w:name w:val="B1B2EEF29D5CEF4EA0FDE244303229D1"/>
    <w:rsid w:val="0033197F"/>
  </w:style>
  <w:style w:type="paragraph" w:customStyle="1" w:styleId="1D41F9DD91619A4485A999CA6783360A">
    <w:name w:val="1D41F9DD91619A4485A999CA6783360A"/>
    <w:rsid w:val="008F0FC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E59FA89-68AB-1C48-8873-C1F6AF5165B5}">
  <we:reference id="wa104382081" version="1.55.1.0" store="en-US" storeType="OMEX"/>
  <we:alternateReferences>
    <we:reference id="wa104382081" version="1.55.1.0" store="" storeType="OMEX"/>
  </we:alternateReferences>
  <we:properties>
    <we:property name="MENDELEY_CITATIONS" value="[{&quot;citationID&quot;:&quot;MENDELEY_CITATION_ab202d4a-28d0-477d-b7ef-9fa67d6304a3&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&quot;,&quot;citationItems&quot;:[{&quot;id&quot;:&quot;4cce851c-7386-3e30-872c-0a3a1519cb38&quot;,&quot;itemData&quot;:{&quot;type&quot;:&quot;article-journal&quot;,&quot;id&quot;:&quot;4cce851c-7386-3e30-872c-0a3a1519cb38&quot;,&quot;title&quot;:&quot;NADUF - National long-term surveillance of Swiss rivers (2022-1) (Version 2022-1) [Data set].&quot;,&quot;author&quot;:[{&quot;family&quot;:&quot;Eawag &amp; FOEN&quot;,&quot;given&quot;:&quot;&quot;,&quot;parse-names&quot;:false,&quot;dropping-particle&quot;:&quot;&quot;,&quot;non-dropping-particle&quot;:&quot;&quot;}],&quot;DOI&quot;:&quot;https://doi.org/10.25678/00069G&quot;,&quot;issued&quot;:{&quot;date-parts&quot;:[[2022]]},&quot;container-title-short&quot;:&quot;&quot;},&quot;isTemporary&quot;:false}]},{&quot;citationID&quot;:&quot;MENDELEY_CITATION_5d7f094d-6a86-42a6-9292-50d9591a176f&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&quot;,&quot;citationItems&quot;:[{&quot;id&quot;:&quot;4cce851c-7386-3e30-872c-0a3a1519cb38&quot;,&quot;itemData&quot;:{&quot;type&quot;:&quot;article-journal&quot;,&quot;id&quot;:&quot;4cce851c-7386-3e30-872c-0a3a1519cb38&quot;,&quot;title&quot;:&quot;NADUF - National long-term surveillance of Swiss rivers (2022-1) (Version 2022-1) [Data set].&quot;,&quot;author&quot;:[{&quot;family&quot;:&quot;Eawag &amp; FOEN&quot;,&quot;given&quot;:&quot;&quot;,&quot;parse-names&quot;:false,&quot;dropping-particle&quot;:&quot;&quot;,&quot;non-dropping-particle&quot;:&quot;&quot;}],&quot;DOI&quot;:&quot;https://doi.org/10.25678/00069G&quot;,&quot;issued&quot;:{&quot;date-parts&quot;:[[2022]]},&quot;container-title-short&quot;:&quot;&quot;},&quot;isTemporary&quot;:false}]},{&quot;citationID&quot;:&quot;MENDELEY_CITATION_4064ae3b-1df3-4e57-9ac0-03e6b3264f23&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&quot;,&quot;citationItems&quot;:[{&quot;id&quot;:&quot;f21a6c05-a46d-3cd2-87e2-dceeeac0bb8a&quot;,&quot;itemData&quot;:{&quot;type&quot;:&quot;chapter&quot;,&quot;id&quot;:&quot;f21a6c05-a46d-3cd2-87e2-dceeeac0bb8a&quot;,&quot;title&quot;:&quot;Comment et pourquoi le niveau des lacs est-il régulé ?&quot;,&quot;author&quot;:[{&quot;family&quot;:&quot;Jalinoux&quot;,&quot;given&quot;:&quot;R.&quot;,&quot;parse-names&quot;:false,&quot;dropping-particle&quot;:&quot;&quot;,&quot;non-dropping-particle&quot;:&quot;&quot;},{&quot;family&quot;:&quot;Pasquini&quot;,&quot;given&quot;:&quot;F.&quot;,&quot;parse-names&quot;:false,&quot;dropping-particle&quot;:&quot;&quot;,&quot;non-dropping-particle&quot;:&quot;&quot;},{&quot;family&quot;:&quot;SILA&quot;,&quot;given&quot;:&quot;&quot;,&quot;parse-names&quot;:false,&quot;dropping-particle&quot;:&quot;&quot;,&quot;non-dropping-particle&quot;:&quot;&quot;}],&quot;container-title&quot;:&quot; Le tour des grands lacs alpins naturels en 80 questions&quot;,&quot;chapter-number&quot;:&quot;6&quot;,&quot;editor&quot;:[{&quot;family&quot;:&quot;Montuelle&quot;,&quot;given&quot;:&quot;B.&quot;,&quot;parse-names&quot;:false,&quot;dropping-particle&quot;:&quot;&quot;,&quot;non-dropping-particle&quot;:&quot;&quot;},{&quot;family&quot;:&quot;Clemens&quot;,&quot;given&quot;:&quot;A.&quot;,&quot;parse-names&quot;:false,&quot;dropping-particle&quot;:&quot;&quot;,&quot;non-dropping-particle&quot;:&quot;&quot;}],&quot;issued&quot;:{&quot;date-parts&quot;:[[2015]]},&quot;publisher-place&quot;:&quot;Lyon&quot;,&quot;container-title-short&quot;:&quot;&quot;},&quot;isTemporary&quot;:false}]},{&quot;citationID&quot;:&quot;MENDELEY_CITATION_20263764-4b5c-4031-aa1f-0b683e9a8e42&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&quot;,&quot;citationItems&quot;:[{&quot;id&quot;:&quot;9f5f2fdf-ccfc-371b-afb1-c00d8df1bb2d&quot;,&quot;itemData&quot;:{&quot;type&quot;:&quot;article-journal&quot;,&quot;id&quot;:&quot;9f5f2fdf-ccfc-371b-afb1-c00d8df1bb2d&quot;,&quot;title&quot;:&quot;Effects of climate change on deepwater oxygen and winter mixing in a deep lake (Lake Geneva): Comparing observational findings and modeling&quot;,&quot;author&quot;:[{&quot;family&quot;:&quot;Schwefel&quot;,&quot;given&quot;:&quot;Robert&quot;,&quot;parse-names&quot;:false,&quot;dropping-particle&quot;:&quot;&quot;,&quot;non-dropping-particle&quot;:&quot;&quot;},{&quot;family&quot;:&quot;Gaudard&quot;,&quot;given&quot;:&quot;Adrien&quot;,&quot;parse-names&quot;:false,&quot;dropping-particle&quot;:&quot;&quot;,&quot;non-dropping-particle&quot;:&quot;&quot;},{&quot;family&quot;:&quot;Wüest&quot;,&quot;given&quot;:&quot;Alfred&quot;,&quot;parse-names&quot;:false,&quot;dropping-particle&quot;:&quot;&quot;,&quot;non-dropping-particle&quot;:&quot;&quot;},{&quot;family&quot;:&quot;Bouffard&quot;,&quot;given&quot;:&quot;Damien&quot;,&quot;parse-names&quot;:false,&quot;dropping-particle&quot;:&quot;&quot;,&quot;non-dropping-particle&quot;:&quot;&quot;}],&quot;container-title&quot;:&quot;Water Resources Research&quot;,&quot;container-title-short&quot;:&quot;Water Resour Res&quot;,&quot;DOI&quot;:&quot;10.1002/2016WR019194&quot;,&quot;ISSN&quot;:&quot;19447973&quot;,&quot;issued&quot;:{&quot;date-parts&quot;:[[2016,11,1]]},&quot;page&quot;:&quot;8811-8826&quot;,&quot;abstract&quot;:&quot;Low concentrations of dissolved oxygen remain a global concern regarding the ecological health of lakes and reservoirs. In addition to high nutrient loads, climate-induced changes in lake stratification and mixing represent additional anthropogenic menace resulting in decreased deepwater oxygen levels. The analysis of 43 years of monitoring data from Lake Geneva shows no decreasing trend neither in the areal hypolimnetic mineralization rate nor in the extent of hypoxia. Instead, hypoxic conditions are predominantly controlled by deep mixing in winter and much less by the trophic variations over the past decades. To reproduce winter mixing, the one-dimensional hydrodynamic model SIMSTRAT was specially adapted to deep lakes and run for several climate scenarios. The simulations predicted a decrease in the maximum winter mixing depth from an average of ∼172 m for 1981–2012 to ∼136 m and ∼127 m in response to predicted atmospheric temperatures between 2045–2076 and 2070–2101 according to Intergovernmental Panel on Climate Change scenarios. Concurrently, events with complete homogenization of temperature and oxygen in winter will decrease by ∼50%. Consequently, the hypolimnetic oxygen concentrations will significantly decrease. These results demonstrate that changes in deep mixing can have stronger impact than eutrophication on the deepwater oxygen levels of oligomictic lakes.&quot;,&quot;publisher&quot;:&quot;Blackwell Publishing Ltd&quot;,&quot;issue&quot;:&quot;11&quot;,&quot;volume&quot;:&quot;52&quot;},&quot;isTemporary&quot;:false},{&quot;id&quot;:&quot;3b6b9843-7284-3473-aefd-7a10ef36e634&quot;,&quot;itemData&quot;:{&quot;type&quot;:&quot;article-journal&quot;,&quot;id&quot;:&quot;3b6b9843-7284-3473-aefd-7a10ef36e634&quot;,&quot;title&quot;:&quot;Past and future climate change effects on the thermal regime and oxygen solubility of four peri-alpine lakes&quot;,&quot;author&quot;:[{&quot;family&quot;:&quot;Desgué-Itier&quot;,&quot;given&quot;:&quot;Olivia&quot;,&quot;parse-names&quot;:false,&quot;dropping-particle&quot;:&quot;&quot;,&quot;non-dropping-particle&quot;:&quot;&quot;},{&quot;family&quot;:&quot;Melo Vieira Soares&quot;,&quot;given&quot;:&quot;Laura&quot;,&quot;parse-names&quot;:false,&quot;dropping-particle&quot;:&quot;&quot;,&quot;non-dropping-particle&quot;:&quot;&quot;},{&quot;family&quot;:&quot;Anneville&quot;,&quot;given&quot;:&quot;Orlane&quot;,&quot;parse-names&quot;:false,&quot;dropping-particle&quot;:&quot;&quot;,&quot;non-dropping-particle&quot;:&quot;&quot;},{&quot;family&quot;:&quot;Bouffard&quot;,&quot;given&quot;:&quot;Damien&quot;,&quot;parse-names&quot;:false,&quot;dropping-particle&quot;:&quot;&quot;,&quot;non-dropping-particle&quot;:&quot;&quot;},{&quot;family&quot;:&quot;Chanudet&quot;,&quot;given&quot;:&quot;Vincent&quot;,&quot;parse-names&quot;:false,&quot;dropping-particle&quot;:&quot;&quot;,&quot;non-dropping-particle&quot;:&quot;&quot;},{&quot;family&quot;:&quot;Danis&quot;,&quot;given&quot;:&quot;Pierre Alain&quot;,&quot;parse-names&quot;:false,&quot;dropping-particle&quot;:&quot;&quot;,&quot;non-dropping-particle&quot;:&quot;&quot;},{&quot;family&quot;:&quot;Domaizon&quot;,&quot;given&quot;:&quot;Isabelle&quot;,&quot;parse-names&quot;:false,&quot;dropping-particle&quot;:&quot;&quot;,&quot;non-dropping-particle&quot;:&quot;&quot;},{&quot;family&quot;:&quot;Guillard&quot;,&quot;given&quot;:&quot;Jean&quot;,&quot;parse-names&quot;:false,&quot;dropping-particle&quot;:&quot;&quot;,&quot;non-dropping-particle&quot;:&quot;&quot;},{&quot;family&quot;:&quot;Mazure&quot;,&quot;given&quot;:&quot;Théo&quot;,&quot;parse-names&quot;:false,&quot;dropping-particle&quot;:&quot;&quot;,&quot;non-dropping-particle&quot;:&quot;&quot;},{&quot;family&quot;:&quot;Sharaf&quot;,&quot;given&quot;:&quot;Najwa&quot;,&quot;parse-names&quot;:false,&quot;dropping-particle&quot;:&quot;&quot;,&quot;non-dropping-particle&quot;:&quot;&quot;},{&quot;family&quot;:&quot;Soulignac&quot;,&quot;given&quot;:&quot;Frédéric&quot;,&quot;parse-names&quot;:false,&quot;dropping-particle&quot;:&quot;&quot;,&quot;non-dropping-particle&quot;:&quot;&quot;},{&quot;family&quot;:&quot;Tran-Khac&quot;,&quot;given&quot;:&quot;Viet&quot;,&quot;parse-names&quot;:false,&quot;dropping-particle&quot;:&quot;&quot;,&quot;non-dropping-particle&quot;:&quot;&quot;},{&quot;family&quot;:&quot;Vinçon-Leite&quot;,&quot;given&quot;:&quot;Brigitte&quot;,&quot;parse-names&quot;:false,&quot;dropping-particle&quot;:&quot;&quot;,&quot;non-dropping-particle&quot;:&quot;&quot;},{&quot;family&quot;:&quot;Jenny&quot;,&quot;given&quot;:&quot;Jean Philippe&quot;,&quot;parse-names&quot;:false,&quot;dropping-particle&quot;:&quot;&quot;,&quot;non-dropping-particle&quot;:&quot;&quot;}],&quot;container-title&quot;:&quot;Hydrology and Earth System Sciences&quot;,&quot;container-title-short&quot;:&quot;Hydrol Earth Syst Sci&quot;,&quot;DOI&quot;:&quot;10.5194/hess-27-837-2023&quot;,&quot;ISSN&quot;:&quot;16077938&quot;,&quot;issued&quot;:{&quot;date-parts&quot;:[[2023,2,16]]},&quot;page&quot;:&quot;837-859&quot;,&quot;abstract&quot;:&quot;Long-term effects of climate change on lakes globally will include a substantial modification in the thermal regime and the oxygen solubility of lakes, resulting in the alteration of ecosystem processes, habitats, and concentrations of critical substances. Recent efforts have led to the development of long-term model projections of climate change effects on lake thermal regimes and oxygen solubility. However, such projections are hardly ever confronted with observations extending over multiple decades. Furthermore, global-scale forcing parameters in lake models present several limitations, such as the need of significant downscaling. In this study, the effects of climate change on thermal regime and oxygen solubility were analyzed in the four largest French peri-alpine lakes over 1850-2100. We tested several one-dimensional (1D) lake models' robustness for long-term variations based on up to 63 years of limnological data collected by the French Observatory of LAkes (OLA). Here, we evaluate the possibility of forcing mechanistic models by following the long-term evolution of shortwave radiation and air temperature while providing realistic seasonal trends for the other variables for which local-scale downscaling often lacks accuracy. Based on this approach, MyLake, forced by air temperatures and shortwave radiations, predicted accurately the variations in the lake thermal regime over the last 4 to 6 decades, with RMSE &lt; 1.95 ° C. Over the previous 3 decades, water temperatures have increased by 0.46 ° C per decade (±0.02 ° C) in the epilimnion and 0.33 ° C per decade (±0.06 ° C) in the hypolimnion. Concomitantly and due to thermal change, O2 solubility has decreased by -0.104 mg L-1 per decade (±0.005 mg L-1) and -0.096 mg L-1 per decade (±0.011 mg L-1) in the epilimnion and hypolimnion, respectively. Based on the shared socio-economic pathway SSP370 of the Intergovernmental Panel on Climate Change (IPCC), peri-alpine lakes could face an increase of 3.80 ° C (±0.20 ° C) in the next 70 years, accompanied by a decline of 1.0 mg L-1 (±0.1 mg L-1) of O2 solubility. Together, these results highlight a critical alteration in lake thermal and oxygen conditions in the coming decades, and a need for a better integration of long-term lake observatories data and lake models to anticipate climate effects on lake thermal regimes and habitats.&quot;,&quot;publisher&quot;:&quot;Copernicus Publications&quot;,&quot;issue&quot;:&quot;3&quot;,&quot;volume&quot;:&quot;27&quot;},&quot;isTemporary&quot;:false}]},{&quot;citationID&quot;:&quot;MENDELEY_CITATION_de4dc0a1-2ef7-4fa4-b9d3-e054920f5eab&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&quot;,&quot;citationItems&quot;:[{&quot;id&quot;:&quot;b778d133-8fd8-378a-9489-d49dd1280e28&quot;,&quot;itemData&quot;:{&quot;type&quot;:&quot;article-journal&quot;,&quot;id&quot;:&quot;b778d133-8fd8-378a-9489-d49dd1280e28&quot;,&quot;title&quot;:&quot;A hybrid model for river water temperature as a function of air temperature and discharge&quot;,&quot;author&quot;:[{&quot;family&quot;:&quot;Toffolon&quot;,&quot;given&quot;:&quot;Marco&quot;,&quot;parse-names&quot;:false,&quot;dropping-particle&quot;:&quot;&quot;,&quot;non-dropping-particle&quot;:&quot;&quot;},{&quot;family&quot;:&quot;Piccolroaz&quot;,&quot;given&quot;:&quot;Sebastiano&quot;,&quot;parse-names&quot;:false,&quot;dropping-particle&quot;:&quot;&quot;,&quot;non-dropping-particle&quot;:&quot;&quot;}],&quot;container-title&quot;:&quot;Environmental Research Letters&quot;,&quot;DOI&quot;:&quot;10.1088/1748-9326/10/11/114011&quot;,&quot;ISSN&quot;:&quot;17489326&quot;,&quot;issued&quot;:{&quot;date-parts&quot;:[[2015]]},&quot;abstract&quot;:&quot;Water temperature controls many biochemical and ecological processes in rivers, and theoretically depends on multiple factors. Here we formulate a model to predict daily averaged river water temperature as a function of air temperature and discharge, with the latter variable being more relevant in some specific cases (e.g., snowmelt-fed rivers, rivers impacted by hydropower production). The model uses a hybrid formulation characterized by a physically based structure associated with a stochastic calibration of the parameters. The interpretation of the parameter values allows for better understanding of river thermal dynamics and the identification of the most relevant factors affecting it. The satisfactory agreement of different versions of the model with measurements in three different rivers (root mean square error smaller than 1oC, at a daily timescale) suggests that the proposed model can represent a useful tool to synthetically describe medium- and long-term behavior, and capture the changes induced by varying external conditions.&quot;,&quot;publisher&quot;:&quot;IOP Publishing&quot;,&quot;issue&quot;:&quot;11&quot;,&quot;volume&quot;:&quot;10&quot;,&quot;container-title-short&quot;:&quot;&quot;},&quot;isTemporary&quot;:false}]},{&quot;citationID&quot;:&quot;MENDELEY_CITATION_9eb704a1-17dd-4481-9a78-3107b01cd3c8&quot;,&quot;properties&quot;:{&quot;noteIndex&quot;:0},&quot;isEdited&quot;:false,&quot;manualOverride&quot;:{&quot;isManuallyOverridden&quot;:false,&quot;citeprocText&quot;:&quot;&lt;sup&gt;6,7&lt;/sup&gt;&quot;,&quot;manualOverrideText&quot;:&quot;&quot;},&quot;citationTag&quot;:&quot;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&quot;,&quot;citationItems&quot;:[{&quot;id&quot;:&quot;f757451c-ef93-38a2-83ce-9c2bfc89e8fb&quot;,&quot;itemData&quot;:{&quot;type&quot;:&quot;article-journal&quot;,&quot;id&quot;:&quot;f757451c-ef93-38a2-83ce-9c2bfc89e8fb&quot;,&quot;title&quot;:&quot;Modelling interactive effects of multiple disturbances on a coastal lake ecosystem: Implications for management&quot;,&quot;author&quot;:[{&quot;family&quot;:&quot;Jones&quot;,&quot;given&quot;:&quot;Hannah F.E.&quot;,&quot;parse-names&quot;:false,&quot;dropping-particle&quot;:&quot;&quot;,&quot;non-dropping-particle&quot;:&quot;&quot;},{&quot;family&quot;:&quot;Özkundakci&quot;,&quot;given&quot;:&quot;Deniz&quot;,&quot;parse-names&quot;:false,&quot;dropping-particle&quot;:&quot;&quot;,&quot;non-dropping-particle&quot;:&quot;&quot;},{&quot;family&quot;:&quot;McBride&quot;,&quot;given&quot;:&quot;Chris G.&quot;,&quot;parse-names&quot;:false,&quot;dropping-particle&quot;:&quot;&quot;,&quot;non-dropping-particle&quot;:&quot;&quot;},{&quot;family&quot;:&quot;Pilditch&quot;,&quot;given&quot;:&quot;Conrad A.&quot;,&quot;parse-names&quot;:false,&quot;dropping-particle&quot;:&quot;&quot;,&quot;non-dropping-particle&quot;:&quot;&quot;},{&quot;family&quot;:&quot;Allan&quot;,&quot;given&quot;:&quot;Mathew G.&quot;,&quot;parse-names&quot;:false,&quot;dropping-particle&quot;:&quot;&quot;,&quot;non-dropping-particle&quot;:&quot;&quot;},{&quot;family&quot;:&quot;Hamilton&quot;,&quot;given&quot;:&quot;David P.&quot;,&quot;parse-names&quot;:false,&quot;dropping-particle&quot;:&quot;&quot;,&quot;non-dropping-particle&quot;:&quot;&quot;}],&quot;container-title&quot;:&quot;Journal of Environmental Management&quot;,&quot;container-title-short&quot;:&quot;J Environ Manage&quot;,&quot;DOI&quot;:&quot;10.1016/j.jenvman.2017.11.063&quot;,&quot;ISSN&quot;:&quot;10958630&quot;,&quot;issued&quot;:{&quot;date-parts&quot;:[[2018]]},&quot;page&quot;:&quot;444-455&quot;,&quot;abstract&quot;:&quot;Coastal lakes, also known as temporarily open/closed estuaries or intermittently closed and open lakes and lagoons, are common worldwide, are typically sites of high biodiversity and often contain abundant macrophyte populations. Anthropogenic stressors such as increased nutrient and sediment loading have adverse effects on submerged macrophytes, and when closed, the lack of tidal flushing makes coastal lakes highly susceptible to eutrophication. Lake openings to the sea may occur naturally, but many coastal lakes are also opened artificially, often to reduce inundation of surrounding land. Here we used a coupled hydrodynamic-ecological model (DYRESM-CAEDYM), modified to include dynamic feedback between submerged macrophyte biomass and sediment resuspension, to explore the interactive effects of multiple disturbances (openings, eutrophication and climate change) on the dynamics of primary producers in a coastal lake (Waituna Lagoon) in South Island, New Zealand. Our results indicate that with exposure to high external nutrient loads, the frequent disturbances caused by artificial openings prevent sustained dominance by algae (algal biomass averaged 192 g C m−2 with artificial openings compared to 453 g C m−2 with no openings). However, under current nutrient loading, climate change is likely to enhance the effects of eutrophication on the system (algal biomass averaged 227 g C m−2 with climate change compared with 192 g C m−2 for current climate). The model provides a decision-support tool to guide lake management in setting limits for nutrient loads and managing the opening regime, in order to prevent eutrophication and the potential collapse of the macrophyte community.&quot;,&quot;volume&quot;:&quot;207&quot;},&quot;isTemporary&quot;:false},{&quot;id&quot;:&quot;2639d4a5-eb68-3bb0-8b71-7aca2c3e9f75&quot;,&quot;itemData&quot;:{&quot;type&quot;:&quot;article-journal&quot;,&quot;id&quot;:&quot;2639d4a5-eb68-3bb0-8b71-7aca2c3e9f75&quot;,&quot;title&quot;:&quot;Sixty years since the creation of Lake Kariba: Thermal and oxygen dynamics in the riverine and lacustrine sub-basins&quot;,&quot;author&quot;:[{&quot;family&quot;:&quot;Calamita&quot;,&quot;given&quot;:&quot;Elisa&quot;,&quot;parse-names&quot;:false,&quot;dropping-particle&quot;:&quot;&quot;,&quot;non-dropping-particle&quot;:&quot;&quot;},{&quot;family&quot;:&quot;Schmid&quot;,&quot;given&quot;:&quot;Martin&quot;,&quot;parse-names&quot;:false,&quot;dropping-particle&quot;:&quot;&quot;,&quot;non-dropping-particle&quot;:&quot;&quot;},{&quot;family&quot;:&quot;Kunz&quot;,&quot;given&quot;:&quot;Manuel&quot;,&quot;parse-names&quot;:false,&quot;dropping-particle&quot;:&quot;&quot;,&quot;non-dropping-particle&quot;:&quot;&quot;},{&quot;family&quot;:&quot;Ndebele-Murisa&quot;,&quot;given&quot;:&quot;Mzime Regina&quot;,&quot;parse-names&quot;:false,&quot;dropping-particle&quot;:&quot;&quot;,&quot;non-dropping-particle&quot;:&quot;&quot;},{&quot;family&quot;:&quot;Magadza&quot;,&quot;given&quot;:&quot;Christopher H.D.&quot;,&quot;parse-names&quot;:false,&quot;dropping-particle&quot;:&quot;&quot;,&quot;non-dropping-particle&quot;:&quot;&quot;},{&quot;family&quot;:&quot;Nyambe&quot;,&quot;given&quot;:&quot;Imasiku&quot;,&quot;parse-names&quot;:false,&quot;dropping-particle&quot;:&quot;&quot;,&quot;non-dropping-particle&quot;:&quot;&quot;},{&quot;family&quot;:&quot;Wehrli&quot;,&quot;given&quot;:&quot;Bernhard&quot;,&quot;parse-names&quot;:false,&quot;dropping-particle&quot;:&quot;&quot;,&quot;non-dropping-particle&quot;:&quot;&quot;}],&quot;container-title&quot;:&quot;PLoS ONE&quot;,&quot;container-title-short&quot;:&quot;PLoS One&quot;,&quot;DOI&quot;:&quot;10.1371/journal.pone.0224679&quot;,&quot;ISBN&quot;:&quot;1111111111&quot;,&quot;ISSN&quot;:&quot;19326203&quot;,&quot;issued&quot;:{&quot;date-parts&quot;:[[2019]]},&quot;page&quot;:&quot;1-22&quot;,&quot;abstract&quot;:&quot;The current boom of dam construction at low latitudes endangers the integrity and function of major tropical river systems. A deeper understanding of the physical and chemical functioning of tropical reservoirs is essential to mitigate dam-related impacts. However, the development of predictive tools is hampered by a lack of consistent data on physical mixing and biogeochemistry of tropical reservoirs. In this study, we focus on Lake Kariba (Southern Africa), the largest artificial lake in the world by volume. Kariba Dam forms a transboundary reservoir between Zambia and Zimbabwe, and therefore its management represents a socio-politically sensitive issue because the Kariba Dam operation completely changed the downstream hydrological regime. Although Lake Kariba represents a unique and scientifically interesting case study, there is no consistent dataset documenting its physical and chemical behaviour over time. This limits the scope for quantitative studies of this reservoir and its downstream impacts. To address this research gap, we aggregated a consistent database of in situ measurements of temperature and oxygen depth profiles for the entire 60 years of Lake Kariba’s lifetime and performed a detailed statistical analysis of the thermal and oxygen regime of the artificial lake to classify the different behaviours of the lake’s sub-basins. We demonstrate that the seasonal stratification strongly depends on the depth of the water column and on the distance from the lake inflow. Satellite data confirm these spatiotemporal variations in surface temperature, and reveal a consistent longitudinal warming trend of the lake surface water temperature of about 1.5οC from the inflow to the dam. Finally, our results suggest that the stratification dynamics of the lacustrine sub-basins have the potential to alter the downstream Zambezi water quality. Future research should focus on assessing such alterations and developing strategies to mitigate them.&quot;,&quot;issue&quot;:&quot;11&quot;,&quot;volume&quot;:&quot;14&quot;},&quot;isTemporary&quot;:false}]},{&quot;citationID&quot;:&quot;MENDELEY_CITATION_8b5ad419-56c8-452d-84d4-428774d11b12&quot;,&quot;properties&quot;:{&quot;noteIndex&quot;:0},&quot;isEdited&quot;:false,&quot;manualOverride&quot;:{&quot;isManuallyOverridden&quot;:false,&quot;citeprocText&quot;:&quot;&lt;sup&gt;8,9&lt;/sup&gt;&quot;,&quot;manualOverrideText&quot;:&quot;&quot;},&quot;citationTag&quot;:&quot;MENDELEY_CITATION_v3_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&quot;,&quot;citationItems&quot;:[{&quot;id&quot;:&quot;b5fdfa2d-043b-3a88-8098-e7d5958b5ed3&quot;,&quot;itemData&quot;:{&quot;type&quot;:&quot;article-journal&quot;,&quot;id&quot;:&quot;b5fdfa2d-043b-3a88-8098-e7d5958b5ed3&quot;,&quot;title&quot;:&quot;Modelling the relative importance of internal and external nutrient loads on water column nutrient concentrations and phytoplankton biomass in a shallow polymictic lake&quot;,&quot;author&quot;:[{&quot;family&quot;:&quot;Burger&quot;,&quot;given&quot;:&quot;David F.&quot;,&quot;parse-names&quot;:false,&quot;dropping-particle&quot;:&quot;&quot;,&quot;non-dropping-particle&quot;:&quot;&quot;},{&quot;family&quot;:&quot;Hamilton&quot;,&quot;given&quot;:&quot;David P.&quot;,&quot;parse-names&quot;:false,&quot;dropping-particle&quot;:&quot;&quot;,&quot;non-dropping-particle&quot;:&quot;&quot;},{&quot;family&quot;:&quot;Pilditch&quot;,&quot;given&quot;:&quot;Conrad A.&quot;,&quot;parse-names&quot;:false,&quot;dropping-particle&quot;:&quot;&quot;,&quot;non-dropping-particle&quot;:&quot;&quot;}],&quot;container-title&quot;:&quot;Ecological Modelling&quot;,&quot;container-title-short&quot;:&quot;Ecol Modell&quot;,&quot;DOI&quot;:&quot;10.1016/j.ecolmodel.2007.09.028&quot;,&quot;ISSN&quot;:&quot;03043800&quot;,&quot;issued&quot;:{&quot;date-parts&quot;:[[2008]]},&quot;page&quot;:&quot;411-423&quot;,&quot;abstract&quot;:&quot;Lake Rotorua is a large (area 79 km2), shallow (mean depth 10.8 m), polymictic lake in central North Island, New Zealand. The lake is eutrophic, with a mean external aerial load of 18.5 mg m-2 d-1 for total nitrogen and 1.2 mg m-2 d-1 for total phosphorus. Blooms of cyanobacteria and occasional anoxia of bottom waters occur during summer (December-March). We used a vertically resolved water quality model, DYRESM-CAEDYM, to examine the relative importance of internal and external nutrient inputs on water column nutrient concentrations and phytoplankton biomass, with particular emphasis on cyanobacteria. External nutrient loads associated with nine major inflows to the lake and three additional inflows representing smaller geothermal and coldwater flows and residual flows, were represented as inputs to the model. Other forcing inputs to the model included local meteorological data, discharge from the only outflow, the Ohau Channel, and measured rates of sediment nutrient release obtained from benthic chamber deployments which were used to prescribe ranges of sediment nutrient release that were simulated dynamically within the model. Profiles of water column nutrient concentrations, surface chlorophyll a concentrations and continuous temperature and dissolved oxygen measurements were used to validate the model. Simulated water column temperature and soluble reactive phosphorus (SRP) and ammonium (NH4) concentrations closely matched field measurements, and captured the timing and duration of stratification events as well as subsequent changes in bottom water nutrient concentrations. Surface water concentrations of chlorophyll a were also similar between simulated and observed data. Model simulations indicate that reductions in sediment nutrient fluxes would be more effective in reducing cyanobacterial biomass than similar proportional reductions in catchment fluxes, due to the coincidence of large sediment nutrient release events with high cyanobacterial biomass. This finding indicates that only a significant and prolonged reduction in external loads, which in turn reduces internal loads, will ultimately reduce cyanobacterial biomass in Lake Rotorua. © 2007 Elsevier B.V. All rights reserved.&quot;,&quot;issue&quot;:&quot;3-4&quot;,&quot;volume&quot;:&quot;211&quot;},&quot;isTemporary&quot;:false},{&quot;id&quot;:&quot;8ae23464-8df3-3099-838e-372b38136d45&quot;,&quot;itemData&quot;:{&quot;type&quot;:&quot;article-journal&quot;,&quot;id&quot;:&quot;8ae23464-8df3-3099-838e-372b38136d45&quot;,&quot;title&quot;:&quot;Modelling the response of a highly eutrophic lake to reductions in external and internal nutrient loading&quot;,&quot;author&quot;:[{&quot;family&quot;:&quot;Özkundakci&quot;,&quot;given&quot;:&quot;D.&quot;,&quot;parse-names&quot;:false,&quot;dropping-particle&quot;:&quot;&quot;,&quot;non-dropping-particle&quot;:&quot;&quot;},{&quot;family&quot;:&quot;Hamilton&quot;,&quot;given&quot;:&quot;D. P.&quot;,&quot;parse-names&quot;:false,&quot;dropping-particle&quot;:&quot;&quot;,&quot;non-dropping-particle&quot;:&quot;&quot;},{&quot;family&quot;:&quot;Trolle&quot;,&quot;given&quot;:&quot;D.&quot;,&quot;parse-names&quot;:false,&quot;dropping-particle&quot;:&quot;&quot;,&quot;non-dropping-particle&quot;:&quot;&quot;}],&quot;container-title&quot;:&quot;New Zealand Journal of Marine and Freshwater Research&quot;,&quot;container-title-short&quot;:&quot;N Z J Mar Freshwater Res&quot;,&quot;DOI&quot;:&quot;10.1080/00288330.2010.548072&quot;,&quot;ISSN&quot;:&quot;00288330&quot;,&quot;issued&quot;:{&quot;date-parts&quot;:[[2011]]},&quot;page&quot;:&quot;165-185&quot;,&quot;abstract&quot;:&quot;The reduction of macronutrients to levels that limit primary production is often a critical element of mitigating eutrophication and reducing the potential for algal blooms. Lake Okaro has remained highly eutrophic despite an intensive catchment and in-lake restoration programme, including implementation of a constructed wetland, riparian protection, an alum application and application of a modified zeolite mineral (Z2G1) to reduce internal nutrient loading. A one-dimensional process-based ecosystem model (DYRESM-CAEDYM) was used in this study to investigate the need for further nutrient loading reductions of both nitrogen (N) and phosphorus (P). The model was calibrated against field data for a 2-year period and validated over two separate 1-year periods. Model simulations suggest that the trophic status of the lake, measured quantitatively with the Trophic Level Index (TLI), could shift from highly eutrophic to mesotrophic with external and internal loads of both N and P reduced by 75-90%. The magnitude of the nutrient load reductions is indicative of a major challenge in being able to effect transitions across trophic state categories for eutrophic lakes. © 2011 The Royal Society of New Zealand.&quot;,&quot;issue&quot;:&quot;2&quot;,&quot;volume&quot;:&quot;45&quot;},&quot;isTemporary&quot;:false}]},{&quot;citationID&quot;:&quot;MENDELEY_CITATION_484990ed-5051-47cd-a93f-cd3a2a98c258&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&quot;,&quot;citationItems&quot;:[{&quot;id&quot;:&quot;4f9ce11b-2824-38c6-8d47-f839366e8ef8&quot;,&quot;itemData&quot;:{&quot;type&quot;:&quot;article-journal&quot;,&quot;id&quot;:&quot;4f9ce11b-2824-38c6-8d47-f839366e8ef8&quot;,&quot;title&quot;:&quot;A system of metrics for the assessment and improvement of aquatic ecosystem models&quot;,&quot;author&quot;:[{&quot;family&quot;:&quot;Hipsey&quot;,&quot;given&quot;:&quot;Matthew R.&quot;,&quot;parse-names&quot;:false,&quot;dropping-particle&quot;:&quot;&quot;,&quot;non-dropping-particle&quot;:&quot;&quot;},{&quot;family&quot;:&quot;Gal&quot;,&quot;given&quot;:&quot;Gideon&quot;,&quot;parse-names&quot;:false,&quot;dropping-particle&quot;:&quot;&quot;,&quot;non-dropping-particle&quot;:&quot;&quot;},{&quot;family&quot;:&quot;Arhonditsis&quot;,&quot;given&quot;:&quot;George B.&quot;,&quot;parse-names&quot;:false,&quot;dropping-particle&quot;:&quot;&quot;,&quot;non-dropping-particle&quot;:&quot;&quot;},{&quot;family&quot;:&quot;Carey&quot;,&quot;given&quot;:&quot;Cayelan C.&quot;,&quot;parse-names&quot;:false,&quot;dropping-particle&quot;:&quot;&quot;,&quot;non-dropping-particle&quot;:&quot;&quot;},{&quot;family&quot;:&quot;Elliott&quot;,&quot;given&quot;:&quot;J. Alex&quot;,&quot;parse-names&quot;:false,&quot;dropping-particle&quot;:&quot;&quot;,&quot;non-dropping-particle&quot;:&quot;&quot;},{&quot;family&quot;:&quot;Frassl&quot;,&quot;given&quot;:&quot;Marieke A.&quot;,&quot;parse-names&quot;:false,&quot;dropping-particle&quot;:&quot;&quot;,&quot;non-dropping-particle&quot;:&quot;&quot;},{&quot;family&quot;:&quot;Janse&quot;,&quot;given&quot;:&quot;Jan H.&quot;,&quot;parse-names&quot;:false,&quot;dropping-particle&quot;:&quot;&quot;,&quot;non-dropping-particle&quot;:&quot;&quot;},{&quot;family&quot;:&quot;Mora&quot;,&quot;given&quot;:&quot;Lee&quot;,&quot;parse-names&quot;:false,&quot;dropping-particle&quot;:&quot;&quot;,&quot;non-dropping-particle&quot;:&quot;de&quot;},{&quot;family&quot;:&quot;Robson&quot;,&quot;given&quot;:&quot;Barbara J.&quot;,&quot;parse-names&quot;:false,&quot;dropping-particle&quot;:&quot;&quot;,&quot;non-dropping-particle&quot;:&quot;&quot;}],&quot;container-title&quot;:&quot;Environmental Modelling and Software&quot;,&quot;DOI&quot;:&quot;10.1016/j.envsoft.2020.104697&quot;,&quot;ISSN&quot;:&quot;13648152&quot;,&quot;issued&quot;:{&quot;date-parts&quot;:[[2020]]},&quot;abstract&quot;:&quot;In this paper, we introduce the CSPS framework for the hierarchical assessment of aquatic ecosystem models built on a range of metrics and characteristic signatures relevant to aquatic ecosystem condition. The framework is comprised of four levels: 0) conceptual validation; 1) comparison of simulated state variables with observations (‘state validation’); 2) comparison of fluxes with measured process rates (‘process validation’); and 3) assessment of system-level emergent properties, patterns and relationships (‘system validation’). Of these, only levels 0 and 1 are routinely undertaken at present. To highlight a diverse range of contexts relevant to the aquatic ecosystem modelling community, we present several case studies of improved validation approaches using the level 0–3 assessment hierarchy. We envision that the community–driven adoption of these metrics will lead to more rigorously assessed models, ultimately accelerating advances in model structure and function, and improved confidence in model predictions.&quot;,&quot;issue&quot;:&quot;April&quot;,&quot;volume&quot;:&quot;128&quot;,&quot;container-title-short&quot;:&quot;&quot;},&quot;isTemporary&quot;:false}]},{&quot;citationID&quot;:&quot;MENDELEY_CITATION_62e489fa-0757-487f-8021-b57f0e203bcb&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&quot;,&quot;citationItems&quot;:[{&quot;id&quot;:&quot;3b6b9843-7284-3473-aefd-7a10ef36e634&quot;,&quot;itemData&quot;:{&quot;type&quot;:&quot;article-journal&quot;,&quot;id&quot;:&quot;3b6b9843-7284-3473-aefd-7a10ef36e634&quot;,&quot;title&quot;:&quot;Past and future climate change effects on the thermal regime and oxygen solubility of four peri-alpine lakes&quot;,&quot;author&quot;:[{&quot;family&quot;:&quot;Desgué-Itier&quot;,&quot;given&quot;:&quot;Olivia&quot;,&quot;parse-names&quot;:false,&quot;dropping-particle&quot;:&quot;&quot;,&quot;non-dropping-particle&quot;:&quot;&quot;},{&quot;family&quot;:&quot;Melo Vieira Soares&quot;,&quot;given&quot;:&quot;Laura&quot;,&quot;parse-names&quot;:false,&quot;dropping-particle&quot;:&quot;&quot;,&quot;non-dropping-particle&quot;:&quot;&quot;},{&quot;family&quot;:&quot;Anneville&quot;,&quot;given&quot;:&quot;Orlane&quot;,&quot;parse-names&quot;:false,&quot;dropping-particle&quot;:&quot;&quot;,&quot;non-dropping-particle&quot;:&quot;&quot;},{&quot;family&quot;:&quot;Bouffard&quot;,&quot;given&quot;:&quot;Damien&quot;,&quot;parse-names&quot;:false,&quot;dropping-particle&quot;:&quot;&quot;,&quot;non-dropping-particle&quot;:&quot;&quot;},{&quot;family&quot;:&quot;Chanudet&quot;,&quot;given&quot;:&quot;Vincent&quot;,&quot;parse-names&quot;:false,&quot;dropping-particle&quot;:&quot;&quot;,&quot;non-dropping-particle&quot;:&quot;&quot;},{&quot;family&quot;:&quot;Danis&quot;,&quot;given&quot;:&quot;Pierre Alain&quot;,&quot;parse-names&quot;:false,&quot;dropping-particle&quot;:&quot;&quot;,&quot;non-dropping-particle&quot;:&quot;&quot;},{&quot;family&quot;:&quot;Domaizon&quot;,&quot;given&quot;:&quot;Isabelle&quot;,&quot;parse-names&quot;:false,&quot;dropping-particle&quot;:&quot;&quot;,&quot;non-dropping-particle&quot;:&quot;&quot;},{&quot;family&quot;:&quot;Guillard&quot;,&quot;given&quot;:&quot;Jean&quot;,&quot;parse-names&quot;:false,&quot;dropping-particle&quot;:&quot;&quot;,&quot;non-dropping-particle&quot;:&quot;&quot;},{&quot;family&quot;:&quot;Mazure&quot;,&quot;given&quot;:&quot;Théo&quot;,&quot;parse-names&quot;:false,&quot;dropping-particle&quot;:&quot;&quot;,&quot;non-dropping-particle&quot;:&quot;&quot;},{&quot;family&quot;:&quot;Sharaf&quot;,&quot;given&quot;:&quot;Najwa&quot;,&quot;parse-names&quot;:false,&quot;dropping-particle&quot;:&quot;&quot;,&quot;non-dropping-particle&quot;:&quot;&quot;},{&quot;family&quot;:&quot;Soulignac&quot;,&quot;given&quot;:&quot;Frédéric&quot;,&quot;parse-names&quot;:false,&quot;dropping-particle&quot;:&quot;&quot;,&quot;non-dropping-particle&quot;:&quot;&quot;},{&quot;family&quot;:&quot;Tran-Khac&quot;,&quot;given&quot;:&quot;Viet&quot;,&quot;parse-names&quot;:false,&quot;dropping-particle&quot;:&quot;&quot;,&quot;non-dropping-particle&quot;:&quot;&quot;},{&quot;family&quot;:&quot;Vinçon-Leite&quot;,&quot;given&quot;:&quot;Brigitte&quot;,&quot;parse-names&quot;:false,&quot;dropping-particle&quot;:&quot;&quot;,&quot;non-dropping-particle&quot;:&quot;&quot;},{&quot;family&quot;:&quot;Jenny&quot;,&quot;given&quot;:&quot;Jean Philippe&quot;,&quot;parse-names&quot;:false,&quot;dropping-particle&quot;:&quot;&quot;,&quot;non-dropping-particle&quot;:&quot;&quot;}],&quot;container-title&quot;:&quot;Hydrology and Earth System Sciences&quot;,&quot;container-title-short&quot;:&quot;Hydrol Earth Syst Sci&quot;,&quot;DOI&quot;:&quot;10.5194/hess-27-837-2023&quot;,&quot;ISSN&quot;:&quot;16077938&quot;,&quot;issued&quot;:{&quot;date-parts&quot;:[[2023,2,16]]},&quot;page&quot;:&quot;837-859&quot;,&quot;abstract&quot;:&quot;Long-term effects of climate change on lakes globally will include a substantial modification in the thermal regime and the oxygen solubility of lakes, resulting in the alteration of ecosystem processes, habitats, and concentrations of critical substances. Recent efforts have led to the development of long-term model projections of climate change effects on lake thermal regimes and oxygen solubility. However, such projections are hardly ever confronted with observations extending over multiple decades. Furthermore, global-scale forcing parameters in lake models present several limitations, such as the need of significant downscaling. In this study, the effects of climate change on thermal regime and oxygen solubility were analyzed in the four largest French peri-alpine lakes over 1850-2100. We tested several one-dimensional (1D) lake models' robustness for long-term variations based on up to 63 years of limnological data collected by the French Observatory of LAkes (OLA). Here, we evaluate the possibility of forcing mechanistic models by following the long-term evolution of shortwave radiation and air temperature while providing realistic seasonal trends for the other variables for which local-scale downscaling often lacks accuracy. Based on this approach, MyLake, forced by air temperatures and shortwave radiations, predicted accurately the variations in the lake thermal regime over the last 4 to 6 decades, with RMSE &lt; 1.95 ° C. Over the previous 3 decades, water temperatures have increased by 0.46 ° C per decade (±0.02 ° C) in the epilimnion and 0.33 ° C per decade (±0.06 ° C) in the hypolimnion. Concomitantly and due to thermal change, O2 solubility has decreased by -0.104 mg L-1 per decade (±0.005 mg L-1) and -0.096 mg L-1 per decade (±0.011 mg L-1) in the epilimnion and hypolimnion, respectively. Based on the shared socio-economic pathway SSP370 of the Intergovernmental Panel on Climate Change (IPCC), peri-alpine lakes could face an increase of 3.80 ° C (±0.20 ° C) in the next 70 years, accompanied by a decline of 1.0 mg L-1 (±0.1 mg L-1) of O2 solubility. Together, these results highlight a critical alteration in lake thermal and oxygen conditions in the coming decades, and a need for a better integration of long-term lake observatories data and lake models to anticipate climate effects on lake thermal regimes and habitats.&quot;,&quot;publisher&quot;:&quot;Copernicus Publications&quot;,&quot;issue&quot;:&quot;3&quot;,&quot;volume&quot;:&quot;27&quot;},&quot;isTemporary&quot;:false}]},{&quot;citationID&quot;:&quot;MENDELEY_CITATION_839e182b-fea0-4e53-bc69-96b76da6fa7b&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&quot;,&quot;citationItems&quot;:[{&quot;id&quot;:&quot;6c6d6e90-3392-3ad2-9bf0-7bff4bcfc4ef&quot;,&quot;itemData&quot;:{&quot;type&quot;:&quot;article&quot;,&quot;id&quot;:&quot;6c6d6e90-3392-3ad2-9bf0-7bff4bcfc4ef&quot;,&quot;title&quot;:&quot;Modelling Aquatic Eco-Dynamics: Overview of the AED modular simulation platform&quot;,&quot;author&quot;:[{&quot;family&quot;:&quot;Hipsey&quot;,&quot;given&quot;:&quot;M.R.&quot;,&quot;parse-names&quot;:false,&quot;dropping-particle&quot;:&quot;&quot;,&quot;non-dropping-particle&quot;:&quot;&quot;}],&quot;issued&quot;:{&quot;date-parts&quot;:[[2022]]},&quot;container-title-short&quot;:&quot;&quot;},&quot;isTemporary&quot;:false}]},{&quot;citationID&quot;:&quot;MENDELEY_CITATION_4efe95e8-6de6-4e49-bfbe-2975d41c3924&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&quot;,&quot;citationItems&quot;:[{&quot;id&quot;:&quot;6d8186c9-a28a-3569-8f8f-da46b02eb896&quot;,&quot;itemData&quot;:{&quot;type&quot;:&quot;webpage&quot;,&quot;id&quot;:&quot;6d8186c9-a28a-3569-8f8f-da46b02eb896&quot;,&quot;title&quot;:&quot;The CMA Evolution Strategy: A Tutorial&quot;,&quot;author&quot;:[{&quot;family&quot;:&quot;Hansen&quot;,&quot;given&quot;:&quot;Nikolaus&quot;,&quot;parse-names&quot;:false,&quot;dropping-particle&quot;:&quot;&quot;,&quot;non-dropping-particle&quot;:&quot;&quot;}],&quot;container-title&quot;:&quot;https://arxiv.org/abs/1604.00772&quot;,&quot;issued&quot;:{&quot;date-parts&quot;:[[2016]]},&quot;container-title-short&quot;:&quot;&quot;},&quot;isTemporary&quot;:false}]},{&quot;citationID&quot;:&quot;MENDELEY_CITATION_159eac2e-a8ff-42f1-8c5a-953ee4f338a6&quot;,&quot;properties&quot;:{&quot;noteIndex&quot;:0},&quot;isEdited&quot;:false,&quot;manualOverride&quot;:{&quot;isManuallyOverridden&quot;:false,&quot;citeprocText&quot;:&quot;&lt;sup&gt;13–15&lt;/sup&gt;&quot;,&quot;manualOverrideText&quot;:&quot;&quot;},&quot;citationTag&quot;:&quot;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&quot;,&quot;citationItems&quot;:[{&quot;id&quot;:&quot;9e934092-631a-3ff0-ac5f-a427e3410360&quot;,&quot;itemData&quot;:{&quot;type&quot;:&quot;article-journal&quot;,&quot;id&quot;:&quot;9e934092-631a-3ff0-ac5f-a427e3410360&quot;,&quot;title&quot;:&quot;Applicability of a one-dimensional coupled ecological-hydrodynamic numerical model to future projections in a very deep large lake (Lake Maggiore, Northern Italy/Southern Switzerland)&quot;,&quot;author&quot;:[{&quot;family&quot;:&quot;Fenocchi&quot;,&quot;given&quot;:&quot;Andrea&quot;,&quot;parse-names&quot;:false,&quot;dropping-particle&quot;:&quot;&quot;,&quot;non-dropping-particle&quot;:&quot;&quot;},{&quot;family&quot;:&quot;Rogora&quot;,&quot;given&quot;:&quot;Michela&quot;,&quot;parse-names&quot;:false,&quot;dropping-particle&quot;:&quot;&quot;,&quot;non-dropping-particle&quot;:&quot;&quot;},{&quot;family&quot;:&quot;Morabito&quot;,&quot;given&quot;:&quot;Giuseppe&quot;,&quot;parse-names&quot;:false,&quot;dropping-particle&quot;:&quot;&quot;,&quot;non-dropping-particle&quot;:&quot;&quot;},{&quot;family&quot;:&quot;Marchetto&quot;,&quot;given&quot;:&quot;Aldo&quot;,&quot;parse-names&quot;:false,&quot;dropping-particle&quot;:&quot;&quot;,&quot;non-dropping-particle&quot;:&quot;&quot;},{&quot;family&quot;:&quot;Sibilla&quot;,&quot;given&quot;:&quot;Stefano&quot;,&quot;parse-names&quot;:false,&quot;dropping-particle&quot;:&quot;&quot;,&quot;non-dropping-particle&quot;:&quot;&quot;},{&quot;family&quot;:&quot;Dresti&quot;,&quot;given&quot;:&quot;Claudia&quot;,&quot;parse-names&quot;:false,&quot;dropping-particle&quot;:&quot;&quot;,&quot;non-dropping-particle&quot;:&quot;&quot;}],&quot;container-title&quot;:&quot;Ecological Modelling&quot;,&quot;container-title-short&quot;:&quot;Ecol Modell&quot;,&quot;DOI&quot;:&quot;10.1016/j.ecolmodel.2018.11.005&quot;,&quot;ISSN&quot;:&quot;03043800&quot;,&quot;URL&quot;:&quot;https://doi.org/10.1016/j.ecolmodel.2018.11.005&quot;,&quot;issued&quot;:{&quot;date-parts&quot;:[[2019]]},&quot;page&quot;:&quot;38-51&quot;,&quot;abstract&quot;:&quot;One-dimensional coupled ecological-hydrodynamic numerical models of lakes require extensive calibration of their chemical and biological parameters. Application of these models to future projections relies on the time invariance of the calibrated model parameters and of the adopted schematisation. This is mere speculation for real ecosystems, so that it is relevant to explore the limits of coupled models over extended periods. To date, almost all applications in literature have been calibrated over a couple of years at most, with comparable validation periods, if present. Furthermore, past studies mostly concerned shallow to moderately deep small lakes, so that reproducing the hypolimnetic chemical evolution of very deep large lakes has generally been overlooked. Last, most works did not compare with observations or even model the succession of phytoplankton species, but only dealt with total Chlorophyll-a. Here, the GLM-AED2 (General Lake Model – Aquatic EcoDynamics) coupled model was calibrated and validated for an overall 16.75-year period for the 370-m deep and 213-km2 wide Lake Maggiore (Northern Italy/Southern Switzerland), focusing on the reproduction of both deep-water chemistry and phytoplankton biomass and succession. Despite the modelling simplifications needed for this complex basin, the resulting performances are comparable to those in literature for shallower and smaller lakes over shorter periods. Still, extreme care must be put when interpreting the results of coupled ecological-hydrodynamic models for long-term projections, especially regarding the evolution of phytoplankton.&quot;,&quot;publisher&quot;:&quot;Elsevier&quot;,&quot;volume&quot;:&quot;392&quot;},&quot;isTemporary&quot;:false},{&quot;id&quot;:&quot;c00be1bf-2825-3ac9-9d12-359f03b8d608&quot;,&quot;itemData&quot;:{&quot;type&quot;:&quot;article-journal&quot;,&quot;id&quot;:&quot;c00be1bf-2825-3ac9-9d12-359f03b8d608&quot;,&quot;title&quot;:&quot;Lake thermal structure drives interannual variability in summer anoxia dynamics in a eutrophic lake over 37 years&quot;,&quot;author&quot;:[{&quot;family&quot;:&quot;Ladwig&quot;,&quot;given&quot;:&quot;Robert&quot;,&quot;parse-names&quot;:false,&quot;dropping-particle&quot;:&quot;&quot;,&quot;non-dropping-particle&quot;:&quot;&quot;},{&quot;family&quot;:&quot;Hanson&quot;,&quot;given&quot;:&quot;Paul C.&quot;,&quot;parse-names&quot;:false,&quot;dropping-particle&quot;:&quot;&quot;,&quot;non-dropping-particle&quot;:&quot;&quot;},{&quot;family&quot;:&quot;Dugan&quot;,&quot;given&quot;:&quot;Hilary A.&quot;,&quot;parse-names&quot;:false,&quot;dropping-particle&quot;:&quot;&quot;,&quot;non-dropping-particle&quot;:&quot;&quot;},{&quot;family&quot;:&quot;Carey&quot;,&quot;given&quot;:&quot;Cayelan C.&quot;,&quot;parse-names&quot;:false,&quot;dropping-particle&quot;:&quot;&quot;,&quot;non-dropping-particle&quot;:&quot;&quot;},{&quot;family&quot;:&quot;Zhang&quot;,&quot;given&quot;:&quot;Yu&quot;,&quot;parse-names&quot;:false,&quot;dropping-particle&quot;:&quot;&quot;,&quot;non-dropping-particle&quot;:&quot;&quot;},{&quot;family&quot;:&quot;Shu&quot;,&quot;given&quot;:&quot;Lele&quot;,&quot;parse-names&quot;:false,&quot;dropping-particle&quot;:&quot;&quot;,&quot;non-dropping-particle&quot;:&quot;&quot;},{&quot;family&quot;:&quot;Duffy&quot;,&quot;given&quot;:&quot;Christopher J.&quot;,&quot;parse-names&quot;:false,&quot;dropping-particle&quot;:&quot;&quot;,&quot;non-dropping-particle&quot;:&quot;&quot;},{&quot;family&quot;:&quot;Cobourn&quot;,&quot;given&quot;:&quot;Kelly M.&quot;,&quot;parse-names&quot;:false,&quot;dropping-particle&quot;:&quot;&quot;,&quot;non-dropping-particle&quot;:&quot;&quot;}],&quot;container-title&quot;:&quot;Hydrology and Earth System Sciences&quot;,&quot;container-title-short&quot;:&quot;Hydrol Earth Syst Sci&quot;,&quot;DOI&quot;:&quot;10.5194/hess-25-1009-2021&quot;,&quot;ISSN&quot;:&quot;16077938&quot;,&quot;issued&quot;:{&quot;date-parts&quot;:[[2021,2,25]]},&quot;page&quot;:&quot;1009-1032&quot;,&quot;abstract&quot;:&quot;The concentration of oxygen is fundamental tolake water quality and ecosystem functioning through itscontrol over habitat availability for organisms, redox reactions, and recycling of organic material. In many eutrophiclakes, oxygen depletion in the bottom layer (hypolimnion) occurs annually during summer stratification. The temporal and spatial extent of summer hypolimneticanoxia is determined by interactions between the lake andits external drivers (e.g., catchment characteristics, nutrientloads, meteorology) as well as internal feedback mechanisms (e.g., organic matter recycling, phytoplankton blooms). Howthese drivers interact to control the evolution of lake anoxiaover decadal timescales will determine, in part, the futurelake water quality. In this study, we used a verticalone-dimensional hydrodynamic ecological model (GLMAED2) coupled with a calibrated hydrological catchmentmodel (PIHM-Lake) to simulate the thermal and water qualitydynamics of the eutrophic Lake Mendota (USA) over a37 year period. The calibration and validation of the lakemodel consisted of a global sensitivity evaluation as well asthe application of an optimization algorithm to improve thefit between observed and simulated data. We calculated stabilityindices (Schmidt stability, Birgean work, stored internalheat), identified spring mixing and summer stratificationperiods, and quantified the energy required for stratificationand mixing. To qualify which external and internal factorswere most important in driving the interannual variation insummer anoxia, we applied a random-forest classifier andmultiple linear regressions to modeled ecosystem variables (e.g., stratification onset and offset, ice duration, gross primaryproduction). Lake Mendota exhibited prolonged hypolimneticanoxia each summer, lasting between 50 60 d. The summer heat budget, the timing of thermal stratification, and the gross primary production in the epilimnion prior tosummer stratification were the most important predictors ofthe spatial and temporal extent of summer anoxia periods inLake Mendota. Interannual variability in anoxia was largelydriven by physical factors: earlier onset of thermal stratificationin combination with a higher vertical stability stronglyaffected the duration and spatial extent of summer anoxia. A measured step change upward in summer anoxia in 2010was unexplained by the GLM-AED2 model. Although thecause remains unknown, possible factors include invasion bythe predacious zooplankton Bythotrephes longimanus. As theheat budget depended primarily on external meteorologicalconditions, the spatial and temporal extent of summer anoxiain Lake Mendota is likely to increase in the near future as a result of projected climate change in the region.&quot;,&quot;publisher&quot;:&quot;Copernicus GmbH&quot;,&quot;issue&quot;:&quot;2&quot;,&quot;volume&quot;:&quot;25&quot;},&quot;isTemporary&quot;:false},{&quot;id&quot;:&quot;e2eb66b0-2c3d-3b24-bdc5-dc66432ef148&quot;,&quot;itemData&quot;:{&quot;type&quot;:&quot;article-journal&quot;,&quot;id&quot;:&quot;e2eb66b0-2c3d-3b24-bdc5-dc66432ef148&quot;,&quot;title&quot;:&quot;Ensemble warming projections in Germany's largest drinking water reservoir and potential adaptation strategies&quot;,&quot;author&quot;:[{&quot;family&quot;:&quot;Mi&quot;,&quot;given&quot;:&quot;Chenxi&quot;,&quot;parse-names&quot;:false,&quot;dropping-particle&quot;:&quot;&quot;,&quot;non-dropping-particle&quot;:&quot;&quot;},{&quot;family&quot;:&quot;Shatwell&quot;,&quot;given&quot;:&quot;Tom&quot;,&quot;parse-names&quot;:false,&quot;dropping-particle&quot;:&quot;&quot;,&quot;non-dropping-particle&quot;:&quot;&quot;},{&quot;family&quot;:&quot;Ma&quot;,&quot;given&quot;:&quot;Jun&quot;,&quot;parse-names&quot;:false,&quot;dropping-particle&quot;:&quot;&quot;,&quot;non-dropping-particle&quot;:&quot;&quot;},{&quot;family&quot;:&quot;Xu&quot;,&quot;given&quot;:&quot;Yaqian&quot;,&quot;parse-names&quot;:false,&quot;dropping-particle&quot;:&quot;&quot;,&quot;non-dropping-particle&quot;:&quot;&quot;},{&quot;family&quot;:&quot;Su&quot;,&quot;given&quot;:&quot;Fangli&quot;,&quot;parse-names&quot;:false,&quot;dropping-particle&quot;:&quot;&quot;,&quot;non-dropping-particle&quot;:&quot;&quot;},{&quot;family&quot;:&quot;Rinke&quot;,&quot;given&quot;:&quot;Karsten&quot;,&quot;parse-names&quot;:false,&quot;dropping-particle&quot;:&quot;&quot;,&quot;non-dropping-particle&quot;:&quot;&quot;}],&quot;container-title&quot;:&quot;Science of the Total Environment&quot;,&quot;DOI&quot;:&quot;10.1016/j.scitotenv.2020.141366&quot;,&quot;ISSN&quot;:&quot;18791026&quot;,&quot;PMID&quot;:&quot;32798870&quot;,&quot;issued&quot;:{&quot;date-parts&quot;:[[2020]]},&quot;page&quot;:&quot;141366&quot;,&quot;abstract&quot;:&quot;The thermal structure in reservoirs affects the development of aquatic ecosystems, and can be substantially influenced by climate change and management strategies. We applied a two-dimensional hydrodynamic model to explore the response of the thermal structure in Germany's largest drinking water reservoir, Rappbode Reservoir, to future climate projections and different water withdrawal strategies. We used projections for representative concentration pathways (RCP) 2.6, 6.0 and 8.5 from an ensemble of 4 different global climate models. Simulation results showed that epilimnetic water temperatures in the reservoir strongly increased under all three climate scenarios. Hypolimnetic temperatures remained rather constant under RCP 2.6 and RCP 6.0 but increased markedly under RCP 8.5. Under the intense warming in RCP 8.5, hypolimnion temperatures were projected to rise from 5 °C to 8 °C by the end of the century. Stratification in the reservoir was projected to be more stable under RCP 6.0 and RCP 8.5, but did not show significant changes under RCP 2.6. Similar results were found with respect to the light intensity within the mixed-layer. Moreover, the results suggested that surface withdrawal can be an effective adaptation strategy under strong climate warming (RCP 8.5) to reduce surface warming and avoid hypolimnetic warming. This study documents how global scale climate projections can be translated into site-specific climate impacts to derive adaptation strategies for reservoir operation. Moreover, our results illustrate that the most intense warming scenario, i.e. RCP 8.5, demands far-reaching climate adaptation while the mitigation scenario (RCP 2.6) does not require adaptation of reservoir management before 2100.&quot;,&quot;volume&quot;:&quot;748&quot;,&quot;container-title-short&quot;:&quot;&quot;},&quot;isTemporary&quot;:false}]},{&quot;citationID&quot;:&quot;MENDELEY_CITATION_d11bce63-017b-4e3a-8224-737069a4d967&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&quot;,&quot;citationItems&quot;:[{&quot;id&quot;:&quot;3fa689e6-c129-3dec-82d0-94408ed96ea4&quot;,&quot;itemData&quot;:{&quot;type&quot;:&quot;article-journal&quot;,&quot;id&quot;:&quot;3fa689e6-c129-3dec-82d0-94408ed96ea4&quot;,&quot;title&quot;:&quot;Contribution of 3D coupled hydrodynamic-ecological modeling to assess the representativeness of a sampling protocol for lake water quality assessment&quot;,&quot;author&quot;:[{&quot;family&quot;:&quot;Soulignac&quot;,&quot;given&quot;:&quot;Frédéric&quot;,&quot;parse-names&quot;:false,&quot;dropping-particle&quot;:&quot;&quot;,&quot;non-dropping-particle&quot;:&quot;&quot;},{&quot;family&quot;:&quot;Anneville&quot;,&quot;given&quot;:&quot;Orlane&quot;,&quot;parse-names&quot;:false,&quot;dropping-particle&quot;:&quot;&quot;,&quot;non-dropping-particle&quot;:&quot;&quot;},{&quot;family&quot;:&quot;Bouffard&quot;,&quot;given&quot;:&quot;Damien&quot;,&quot;parse-names&quot;:false,&quot;dropping-particle&quot;:&quot;&quot;,&quot;non-dropping-particle&quot;:&quot;&quot;},{&quot;family&quot;:&quot;Chanudet&quot;,&quot;given&quot;:&quot;Vincent&quot;,&quot;parse-names&quot;:false,&quot;dropping-particle&quot;:&quot;&quot;,&quot;non-dropping-particle&quot;:&quot;&quot;},{&quot;family&quot;:&quot;Dambrine&quot;,&quot;given&quot;:&quot;Etienne&quot;,&quot;parse-names&quot;:false,&quot;dropping-particle&quot;:&quot;&quot;,&quot;non-dropping-particle&quot;:&quot;&quot;},{&quot;family&quot;:&quot;Guénand&quot;,&quot;given&quot;:&quot;Yann&quot;,&quot;parse-names&quot;:false,&quot;dropping-particle&quot;:&quot;&quot;,&quot;non-dropping-particle&quot;:&quot;&quot;},{&quot;family&quot;:&quot;Harmel&quot;,&quot;given&quot;:&quot;Tristan&quot;,&quot;parse-names&quot;:false,&quot;dropping-particle&quot;:&quot;&quot;,&quot;non-dropping-particle&quot;:&quot;&quot;},{&quot;family&quot;:&quot;Ibelings&quot;,&quot;given&quot;:&quot;Bastiaan W&quot;,&quot;parse-names&quot;:false,&quot;dropping-particle&quot;:&quot;&quot;,&quot;non-dropping-particle&quot;:&quot;&quot;},{&quot;family&quot;:&quot;Trevisan&quot;,&quot;given&quot;:&quot;Dominique&quot;,&quot;parse-names&quot;:false,&quot;dropping-particle&quot;:&quot;&quot;,&quot;non-dropping-particle&quot;:&quot;&quot;},{&quot;family&quot;:&quot;Uittenbogaard&quot;,&quot;given&quot;:&quot;Rob&quot;,&quot;parse-names&quot;:false,&quot;dropping-particle&quot;:&quot;&quot;,&quot;non-dropping-particle&quot;:&quot;&quot;},{&quot;family&quot;:&quot;Danis&quot;,&quot;given&quot;:&quot;Pierre-Alain&quot;,&quot;parse-names&quot;:false,&quot;dropping-particle&quot;:&quot;&quot;,&quot;non-dropping-particle&quot;:&quot;&quot;}],&quot;container-title&quot;:&quot;Knowledge &amp; Management of Aquatic Ecosystems&quot;,&quot;container-title-short&quot;:&quot;Knowl Manag Aquat Ecosyst&quot;,&quot;DOI&quot;:&quot;10.1051/kmae/2019034&quot;,&quot;ISSN&quot;:&quot;1961-9502&quot;,&quot;issued&quot;:{&quot;date-parts&quot;:[[2019]]},&quot;page&quot;:&quot;42&quot;,&quot;abstract&quot;:&quot;This study deals with the impact of spatio-temporal heterogeneities on the assessment of lake ecological status according to the European water framework directive (WFD). A method, based on three-dimensional coupled hydrodynamic and ecological modeling, is presented to assess the variability of lake ecological status, and to locate the most representative sampling station of Lake Geneva (France/Switzerland). Five variables used in the lake ecological status evaluation were simulated by using the free software Delft3D. The numerical simulation results showed that the simulated ecological status based on chlorophyll a and total phosphorus concentrations measured at the regulatory monitoring station depend on the choice of the sampling date. Results also indicated a strong spatial heterogeneity in ecological status that varies from “poor” to “good” along an East-West gradient. Finally, the numerical simulation results showed that the most representative point of a mean theoretical ecological quality for Lake Geneva would be located in the center of the upper basin, close to the historical sampling station.Cette étude traite de l'impact des hétérogénéités spatio-temporelles sur l'évaluation de l'état écologique des lacs conformément à la directive-cadre européenne sur l'eau (DCE). Une méthode, basée sur la modélisation tridimensionnelle couplée hydrodynamique et écologique, est présentée pour évaluer la variabilité de l'état écologique et pour localiser la station d'échantillonnage la plus représentative du lac Léman. Cinq variables utilisées dans l'évaluation de l'état écologique ont été simulées en utilisant le logiciel libre Delft3D. Les résultats des simulations numériques ont montré que l'état écologique simulé basé sur les concentrations en chlorophylle a et en phosphore total mesurées à la station de suivi réglementaire dépend du choix de la date d'échantillonnage. Les résultats ont aussi indiqué des fortes hétérogénéités spatiales de l'état écologique allant de « médiocre » à « bon » le long d'un gradient est-ouest. Finalement, les résultats de simulations numériques ont montré que le point le plus représentatif d'un état écologique théorique moyen du lac Léman serait situé au centre du grand bassin, proche de la station d'échantillonnage historique.&quot;,&quot;issue&quot;:&quot;420&quot;},&quot;isTemporary&quot;:false}]},{&quot;citationID&quot;:&quot;MENDELEY_CITATION_57546917-ca06-4b84-b6fb-091a3378157c&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&quot;,&quot;citationItems&quot;:[{&quot;id&quot;:&quot;42ffef69-4f19-3a64-a45e-0ed5b71ac1e1&quot;,&quot;itemData&quot;:{&quot;type&quot;:&quot;article&quot;,&quot;id&quot;:&quot;42ffef69-4f19-3a64-a45e-0ed5b71ac1e1&quot;,&quot;title&quot;:&quot;Deterministic modelling of freshwater lakes and reservoirs: Current trends and recent progress&quot;,&quot;author&quot;:[{&quot;family&quot;:&quot;Soares&quot;,&quot;given&quot;:&quot;Laura Melo Vieira&quot;,&quot;parse-names&quot;:false,&quot;dropping-particle&quot;:&quot;&quot;,&quot;non-dropping-particle&quot;:&quot;&quot;},{&quot;family&quot;:&quot;Calijuri&quot;,&quot;given&quot;:&quot;Maria do Carmo&quot;,&quot;parse-names&quot;:false,&quot;dropping-particle&quot;:&quot;&quot;,&quot;non-dropping-particle&quot;:&quot;&quot;}],&quot;container-title&quot;:&quot;Environmental Modelling and Software&quot;,&quot;DOI&quot;:&quot;10.1016/j.envsoft.2021.105143&quot;,&quot;ISSN&quot;:&quot;13648152&quot;,&quot;issued&quot;:{&quot;date-parts&quot;:[[2021,10,1]]},&quot;abstract&quot;:&quot;Deterministic models have emerged as a widely accepted tool for investigations in lentic aquatic ecosystems. In this study, an extensive literature review is provided by an inventory of papers published over the last six years (2015–2020) to explore the recent progress of deterministic models applied to lakes and reservoirs. The current trends include the application of well-established models across broad ranges of time and spatial scales; the integration of lake, catchment and climate models, in addition to multi-model ensemble approaches; and the proliferation of high-frequency sensors and the usage of remote sensing images for model initialisation, forcing data inputs, and calibration and validation. It is expected that the emerging trends in modelling lakes and reservoirs can be of great use for future research prospects as a source of information for subsequent studies in the field.&quot;,&quot;publisher&quot;:&quot;Elsevier Ltd&quot;,&quot;volume&quot;:&quot;144&quot;,&quot;container-title-short&quot;:&quot;&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7650A1-1694-D94B-BE2D-5AC6B56B05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484</TotalTime>
  <Pages>20</Pages>
  <Words>3931</Words>
  <Characters>22413</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Soares</dc:creator>
  <cp:keywords/>
  <dc:description/>
  <cp:lastModifiedBy>Laura Soares</cp:lastModifiedBy>
  <cp:revision>49</cp:revision>
  <dcterms:created xsi:type="dcterms:W3CDTF">2022-11-07T15:34:00Z</dcterms:created>
  <dcterms:modified xsi:type="dcterms:W3CDTF">2023-08-04T12:30:00Z</dcterms:modified>
</cp:coreProperties>
</file>