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15CD4" w14:textId="51247100" w:rsidR="00D1582B" w:rsidRPr="00ED40F9" w:rsidRDefault="00D1582B" w:rsidP="00D1582B">
      <w:pPr>
        <w:spacing w:after="120" w:line="500" w:lineRule="exact"/>
        <w:jc w:val="both"/>
        <w:rPr>
          <w:rFonts w:ascii="Times New Roman" w:hAnsi="Times New Roman" w:cs="Times New Roman"/>
          <w:b/>
          <w:bCs/>
          <w:sz w:val="24"/>
          <w:szCs w:val="24"/>
          <w:lang w:val="en-US"/>
        </w:rPr>
      </w:pPr>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1D751F">
        <w:rPr>
          <w:rFonts w:ascii="Times New Roman" w:hAnsi="Times New Roman" w:cs="Times New Roman"/>
          <w:b/>
          <w:bCs/>
          <w:sz w:val="24"/>
          <w:szCs w:val="24"/>
          <w:lang w:val="en-US"/>
        </w:rPr>
        <w:t xml:space="preserve"> in Spain</w:t>
      </w:r>
    </w:p>
    <w:p w14:paraId="2E132E99" w14:textId="77777777" w:rsidR="00D1582B" w:rsidRPr="00EB29B2" w:rsidRDefault="00D1582B" w:rsidP="00D1582B">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F0FC3">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F0FC3">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F0FC3">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F0FC3">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F0FC3">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F0FC3">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F0FC3">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F0FC3">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F0FC3">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F0FC3">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F0FC3">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F0FC3">
        <w:rPr>
          <w:rFonts w:ascii="Times New Roman" w:hAnsi="Times New Roman" w:cs="Times New Roman"/>
          <w:sz w:val="24"/>
          <w:szCs w:val="24"/>
          <w:vertAlign w:val="superscript"/>
        </w:rPr>
        <w:t>15</w:t>
      </w:r>
    </w:p>
    <w:p w14:paraId="0F535144" w14:textId="56796A1B" w:rsidR="00A654C5" w:rsidRDefault="00D1582B" w:rsidP="00E66703">
      <w:pPr>
        <w:spacing w:line="500" w:lineRule="exact"/>
        <w:jc w:val="both"/>
        <w:rPr>
          <w:rFonts w:ascii="Times New Roman" w:hAnsi="Times New Roman" w:cs="Times New Roman"/>
          <w:sz w:val="24"/>
          <w:szCs w:val="24"/>
          <w:lang w:val="en-US"/>
        </w:rPr>
      </w:pPr>
      <w:r w:rsidRPr="002F0FC3">
        <w:rPr>
          <w:rFonts w:ascii="Times New Roman" w:hAnsi="Times New Roman" w:cs="Times New Roman"/>
          <w:b/>
          <w:bCs/>
          <w:sz w:val="24"/>
          <w:szCs w:val="24"/>
          <w:lang w:val="en-US"/>
        </w:rPr>
        <w:t>Affiliations</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1</w:t>
      </w:r>
      <w:r w:rsidRPr="002F0FC3">
        <w:rPr>
          <w:rFonts w:ascii="Times New Roman" w:hAnsi="Times New Roman" w:cs="Times New Roman"/>
          <w:sz w:val="24"/>
          <w:szCs w:val="24"/>
          <w:lang w:val="en-US"/>
        </w:rPr>
        <w:t xml:space="preserve">Department of Economics, University Carlos III, Madrid, Spain; </w:t>
      </w:r>
      <w:r w:rsidRPr="002F0FC3">
        <w:rPr>
          <w:rFonts w:ascii="Times New Roman" w:hAnsi="Times New Roman" w:cs="Times New Roman"/>
          <w:sz w:val="24"/>
          <w:szCs w:val="24"/>
          <w:vertAlign w:val="superscript"/>
          <w:lang w:val="en-US"/>
        </w:rPr>
        <w:t>2</w:t>
      </w:r>
      <w:r w:rsidRPr="002F0FC3">
        <w:rPr>
          <w:rFonts w:ascii="Times New Roman" w:hAnsi="Times New Roman" w:cs="Times New Roman"/>
          <w:sz w:val="24"/>
          <w:szCs w:val="24"/>
          <w:lang w:val="en-US"/>
        </w:rPr>
        <w:t xml:space="preserve">Department of Management, Bioregión de Salud y Bienestar (BioMad), Madrid, Spain; </w:t>
      </w:r>
      <w:r w:rsidRPr="002F0FC3">
        <w:rPr>
          <w:rFonts w:ascii="Times New Roman" w:hAnsi="Times New Roman" w:cs="Times New Roman"/>
          <w:sz w:val="24"/>
          <w:szCs w:val="24"/>
          <w:vertAlign w:val="superscript"/>
          <w:lang w:val="en-US"/>
        </w:rPr>
        <w:t>3</w:t>
      </w:r>
      <w:r w:rsidRPr="002F0FC3">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F0FC3">
        <w:rPr>
          <w:rFonts w:ascii="Times New Roman" w:hAnsi="Times New Roman" w:cs="Times New Roman"/>
          <w:sz w:val="24"/>
          <w:szCs w:val="24"/>
          <w:vertAlign w:val="superscript"/>
          <w:lang w:val="en-US"/>
        </w:rPr>
        <w:t>4</w:t>
      </w:r>
      <w:r w:rsidRPr="002F0FC3">
        <w:rPr>
          <w:rFonts w:ascii="Times New Roman" w:hAnsi="Times New Roman" w:cs="Times New Roman"/>
          <w:sz w:val="24"/>
          <w:szCs w:val="24"/>
          <w:lang w:val="en-US"/>
        </w:rPr>
        <w:t xml:space="preserve">Catholic University of Valencia, Spain; </w:t>
      </w:r>
      <w:r w:rsidRPr="002F0FC3">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F0FC3">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6</w:t>
      </w:r>
      <w:r w:rsidRPr="002F0FC3">
        <w:rPr>
          <w:rFonts w:ascii="Times New Roman" w:hAnsi="Times New Roman" w:cs="Times New Roman"/>
          <w:sz w:val="24"/>
          <w:szCs w:val="24"/>
          <w:lang w:val="en-US"/>
        </w:rPr>
        <w:t xml:space="preserve">Weber Foundation, Madrid, Spain; </w:t>
      </w:r>
      <w:r w:rsidRPr="002F0FC3">
        <w:rPr>
          <w:rFonts w:ascii="Times New Roman" w:hAnsi="Times New Roman" w:cs="Times New Roman"/>
          <w:sz w:val="24"/>
          <w:szCs w:val="24"/>
          <w:vertAlign w:val="superscript"/>
          <w:lang w:val="en-US"/>
        </w:rPr>
        <w:t>7</w:t>
      </w:r>
      <w:r w:rsidRPr="002F0FC3">
        <w:rPr>
          <w:rFonts w:ascii="Times New Roman" w:hAnsi="Times New Roman" w:cs="Times New Roman"/>
          <w:sz w:val="24"/>
          <w:szCs w:val="24"/>
          <w:lang w:val="en-US"/>
        </w:rPr>
        <w:t xml:space="preserve">Department of Economic Analysis and Finances, University of Castilla-La Mancha. Toledo, Spain; </w:t>
      </w:r>
      <w:r w:rsidRPr="002F0FC3">
        <w:rPr>
          <w:rFonts w:ascii="Times New Roman" w:hAnsi="Times New Roman" w:cs="Times New Roman"/>
          <w:sz w:val="24"/>
          <w:szCs w:val="24"/>
          <w:vertAlign w:val="superscript"/>
          <w:lang w:val="en-US"/>
        </w:rPr>
        <w:t>8</w:t>
      </w:r>
      <w:r w:rsidRPr="002F0FC3">
        <w:rPr>
          <w:rFonts w:ascii="Times New Roman" w:hAnsi="Times New Roman" w:cs="Times New Roman"/>
          <w:sz w:val="24"/>
          <w:szCs w:val="24"/>
          <w:lang w:val="en-US"/>
        </w:rPr>
        <w:t xml:space="preserve">Department of Health Affairs and Policy Research, Vivactis Weber, Madrid, Spain; </w:t>
      </w:r>
      <w:r w:rsidRPr="002F0FC3">
        <w:rPr>
          <w:rFonts w:ascii="Times New Roman" w:hAnsi="Times New Roman" w:cs="Times New Roman"/>
          <w:sz w:val="24"/>
          <w:szCs w:val="24"/>
          <w:vertAlign w:val="superscript"/>
          <w:lang w:val="en-US"/>
        </w:rPr>
        <w:t>9</w:t>
      </w:r>
      <w:r w:rsidRPr="002F0FC3">
        <w:rPr>
          <w:rFonts w:ascii="Times New Roman" w:hAnsi="Times New Roman" w:cs="Times New Roman"/>
          <w:sz w:val="24"/>
          <w:szCs w:val="24"/>
          <w:lang w:val="en-US"/>
        </w:rPr>
        <w:t xml:space="preserve">Department of Primary Care, Rochapea Healthcare Center, Navarra, Spain; </w:t>
      </w:r>
      <w:r w:rsidRPr="002F0FC3">
        <w:rPr>
          <w:rFonts w:ascii="Times New Roman" w:hAnsi="Times New Roman" w:cs="Times New Roman"/>
          <w:sz w:val="24"/>
          <w:szCs w:val="24"/>
          <w:vertAlign w:val="superscript"/>
          <w:lang w:val="en-US"/>
        </w:rPr>
        <w:t>10</w:t>
      </w:r>
      <w:r w:rsidRPr="002F0FC3">
        <w:rPr>
          <w:rFonts w:ascii="Times New Roman" w:hAnsi="Times New Roman" w:cs="Times New Roman"/>
          <w:sz w:val="24"/>
          <w:szCs w:val="24"/>
          <w:lang w:val="en-US"/>
        </w:rPr>
        <w:t xml:space="preserve">Department of Pediatrics, Hospital Costa del Sol, Málaga, Spain; </w:t>
      </w:r>
      <w:r w:rsidRPr="002F0FC3">
        <w:rPr>
          <w:rFonts w:ascii="Times New Roman" w:hAnsi="Times New Roman" w:cs="Times New Roman"/>
          <w:sz w:val="24"/>
          <w:szCs w:val="24"/>
          <w:vertAlign w:val="superscript"/>
          <w:lang w:val="en-US"/>
        </w:rPr>
        <w:t>11</w:t>
      </w:r>
      <w:r w:rsidRPr="002F0FC3">
        <w:rPr>
          <w:rFonts w:ascii="Times New Roman" w:hAnsi="Times New Roman" w:cs="Times New Roman"/>
          <w:sz w:val="24"/>
          <w:szCs w:val="24"/>
          <w:lang w:val="en-US"/>
        </w:rPr>
        <w:t xml:space="preserve">Public Health Institute of Navarra, Navarra, Spain; </w:t>
      </w:r>
      <w:r w:rsidRPr="002F0FC3">
        <w:rPr>
          <w:rFonts w:ascii="Times New Roman" w:hAnsi="Times New Roman" w:cs="Times New Roman"/>
          <w:sz w:val="24"/>
          <w:szCs w:val="24"/>
          <w:vertAlign w:val="superscript"/>
          <w:lang w:val="en-US"/>
        </w:rPr>
        <w:t>12</w:t>
      </w:r>
      <w:r w:rsidRPr="002F0FC3">
        <w:rPr>
          <w:rFonts w:ascii="Times New Roman" w:hAnsi="Times New Roman" w:cs="Times New Roman"/>
          <w:sz w:val="24"/>
          <w:szCs w:val="24"/>
          <w:lang w:val="en-US"/>
        </w:rPr>
        <w:t xml:space="preserve">Department of Epidemiology, General Directorate of Public Health, Castilla y León, Spain; </w:t>
      </w:r>
      <w:r w:rsidRPr="002F0FC3">
        <w:rPr>
          <w:rFonts w:ascii="Times New Roman" w:hAnsi="Times New Roman" w:cs="Times New Roman"/>
          <w:sz w:val="24"/>
          <w:szCs w:val="24"/>
          <w:vertAlign w:val="superscript"/>
          <w:lang w:val="en-US"/>
        </w:rPr>
        <w:t>13</w:t>
      </w:r>
      <w:r w:rsidRPr="002F0FC3">
        <w:rPr>
          <w:rFonts w:ascii="Times New Roman" w:hAnsi="Times New Roman" w:cs="Times New Roman"/>
          <w:sz w:val="24"/>
          <w:szCs w:val="24"/>
          <w:lang w:val="en-US"/>
        </w:rPr>
        <w:t xml:space="preserve">Department of Pediatrics, Nazaret Healthcare Center, Valencia, Spain; </w:t>
      </w:r>
      <w:r w:rsidRPr="002F0FC3">
        <w:rPr>
          <w:rFonts w:ascii="Times New Roman" w:hAnsi="Times New Roman" w:cs="Times New Roman"/>
          <w:sz w:val="24"/>
          <w:szCs w:val="24"/>
          <w:vertAlign w:val="superscript"/>
          <w:lang w:val="en-US"/>
        </w:rPr>
        <w:t>14</w:t>
      </w:r>
      <w:r w:rsidRPr="002F0FC3">
        <w:rPr>
          <w:rFonts w:ascii="Times New Roman" w:hAnsi="Times New Roman" w:cs="Times New Roman"/>
          <w:sz w:val="24"/>
          <w:szCs w:val="24"/>
          <w:lang w:val="en-US"/>
        </w:rPr>
        <w:t xml:space="preserve">Department of Quantitative Methods in Economics and Management, University Las Palmas de Gran Canaria. Las Palmas, Spain; </w:t>
      </w:r>
      <w:r w:rsidRPr="002F0FC3">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AC191D" w:rsidRPr="007121F7">
        <w:rPr>
          <w:rFonts w:ascii="Times New Roman" w:hAnsi="Times New Roman" w:cs="Times New Roman"/>
          <w:sz w:val="24"/>
          <w:szCs w:val="24"/>
          <w:lang w:val="en-US"/>
        </w:rPr>
        <w:t>.</w:t>
      </w:r>
    </w:p>
    <w:p w14:paraId="65183C5A" w14:textId="77777777" w:rsidR="00E55FD2" w:rsidRDefault="00E55FD2" w:rsidP="00E55FD2">
      <w:pPr>
        <w:spacing w:line="500" w:lineRule="exact"/>
        <w:jc w:val="both"/>
        <w:rPr>
          <w:rFonts w:ascii="Times New Roman" w:hAnsi="Times New Roman" w:cs="Times New Roman"/>
          <w:sz w:val="24"/>
          <w:szCs w:val="24"/>
          <w:lang w:val="en-US"/>
        </w:rPr>
      </w:pPr>
    </w:p>
    <w:p w14:paraId="0B7114F3" w14:textId="0C3D67AD" w:rsidR="00A66D10" w:rsidRPr="00A70BA4" w:rsidRDefault="00A66D10" w:rsidP="00A66D10">
      <w:pPr>
        <w:spacing w:line="360" w:lineRule="auto"/>
        <w:jc w:val="both"/>
        <w:rPr>
          <w:rFonts w:ascii="Times New Roman" w:hAnsi="Times New Roman" w:cs="Times New Roman"/>
          <w:sz w:val="24"/>
          <w:szCs w:val="24"/>
          <w:lang w:val="en-US"/>
        </w:rPr>
      </w:pPr>
    </w:p>
    <w:p w14:paraId="20AF41C5" w14:textId="069A478B" w:rsidR="000128A7" w:rsidRDefault="001031E1">
      <w:pPr>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SUPPLEMENTARY FILE </w:t>
      </w:r>
      <w:r w:rsidR="00A66D10" w:rsidRPr="00A70BA4">
        <w:rPr>
          <w:rFonts w:ascii="Times New Roman" w:hAnsi="Times New Roman" w:cs="Times New Roman"/>
          <w:b/>
          <w:bCs/>
          <w:sz w:val="32"/>
          <w:szCs w:val="32"/>
          <w:lang w:val="en-US"/>
        </w:rPr>
        <w:t xml:space="preserve">1: </w:t>
      </w:r>
      <w:r>
        <w:rPr>
          <w:rFonts w:ascii="Times New Roman" w:hAnsi="Times New Roman" w:cs="Times New Roman"/>
          <w:b/>
          <w:bCs/>
          <w:sz w:val="32"/>
          <w:szCs w:val="32"/>
          <w:lang w:val="en-US"/>
        </w:rPr>
        <w:t>PRE</w:t>
      </w:r>
      <w:r w:rsidR="00CC30F2">
        <w:rPr>
          <w:rFonts w:ascii="Times New Roman" w:hAnsi="Times New Roman" w:cs="Times New Roman"/>
          <w:b/>
          <w:bCs/>
          <w:sz w:val="32"/>
          <w:szCs w:val="32"/>
          <w:lang w:val="en-US"/>
        </w:rPr>
        <w:t xml:space="preserve"> READ</w:t>
      </w:r>
    </w:p>
    <w:p w14:paraId="6E32F310" w14:textId="77777777" w:rsidR="000D2F71" w:rsidRPr="00A70BA4" w:rsidRDefault="000D2F71" w:rsidP="00A66D10">
      <w:pPr>
        <w:spacing w:line="360" w:lineRule="auto"/>
        <w:rPr>
          <w:rFonts w:ascii="Times New Roman" w:hAnsi="Times New Roman" w:cs="Times New Roman"/>
          <w:sz w:val="24"/>
          <w:szCs w:val="24"/>
          <w:lang w:val="en-US"/>
        </w:rPr>
      </w:pPr>
    </w:p>
    <w:p w14:paraId="4017EB69" w14:textId="77777777" w:rsidR="000D2F71" w:rsidRPr="00A70BA4" w:rsidRDefault="000D2F71" w:rsidP="00A66D10">
      <w:pPr>
        <w:spacing w:line="360" w:lineRule="auto"/>
        <w:rPr>
          <w:rFonts w:ascii="Times New Roman" w:hAnsi="Times New Roman" w:cs="Times New Roman"/>
          <w:sz w:val="24"/>
          <w:szCs w:val="24"/>
          <w:lang w:val="en-US"/>
        </w:rPr>
      </w:pPr>
    </w:p>
    <w:sdt>
      <w:sdtPr>
        <w:rPr>
          <w:rFonts w:asciiTheme="minorHAnsi" w:eastAsiaTheme="minorHAnsi" w:hAnsiTheme="minorHAnsi" w:cstheme="minorBidi"/>
          <w:color w:val="auto"/>
          <w:sz w:val="22"/>
          <w:szCs w:val="22"/>
          <w:lang w:eastAsia="en-US"/>
        </w:rPr>
        <w:id w:val="1814376845"/>
        <w:docPartObj>
          <w:docPartGallery w:val="Table of Contents"/>
          <w:docPartUnique/>
        </w:docPartObj>
      </w:sdtPr>
      <w:sdtEndPr>
        <w:rPr>
          <w:rFonts w:ascii="Times New Roman" w:hAnsi="Times New Roman" w:cs="Times New Roman"/>
          <w:b/>
          <w:bCs/>
          <w:sz w:val="24"/>
          <w:szCs w:val="24"/>
        </w:rPr>
      </w:sdtEndPr>
      <w:sdtContent>
        <w:p w14:paraId="7E7AE061" w14:textId="77777777" w:rsidR="000128A7" w:rsidRDefault="0012462B">
          <w:pPr>
            <w:pStyle w:val="TtuloTDC"/>
            <w:shd w:val="clear" w:color="auto" w:fill="BFBFBF" w:themeFill="background1" w:themeFillShade="BF"/>
            <w:spacing w:after="240" w:line="360" w:lineRule="auto"/>
            <w:rPr>
              <w:rFonts w:ascii="Times New Roman" w:hAnsi="Times New Roman" w:cs="Times New Roman"/>
              <w:b/>
              <w:bCs/>
              <w:color w:val="auto"/>
              <w:sz w:val="28"/>
              <w:szCs w:val="28"/>
            </w:rPr>
          </w:pPr>
          <w:r w:rsidRPr="00207E6F">
            <w:rPr>
              <w:rFonts w:ascii="Times New Roman" w:hAnsi="Times New Roman" w:cs="Times New Roman"/>
              <w:b/>
              <w:bCs/>
              <w:color w:val="auto"/>
              <w:sz w:val="28"/>
              <w:szCs w:val="28"/>
            </w:rPr>
            <w:t>Index</w:t>
          </w:r>
        </w:p>
        <w:p w14:paraId="737E0914" w14:textId="6F56F300" w:rsidR="000B2988" w:rsidRDefault="0012462B">
          <w:pPr>
            <w:pStyle w:val="TDC1"/>
            <w:tabs>
              <w:tab w:val="right" w:leader="dot" w:pos="8494"/>
            </w:tabs>
            <w:rPr>
              <w:rFonts w:eastAsiaTheme="minorEastAsia"/>
              <w:noProof/>
              <w:kern w:val="2"/>
              <w:lang w:eastAsia="es-ES"/>
              <w14:ligatures w14:val="standardContextual"/>
            </w:rPr>
          </w:pPr>
          <w:r w:rsidRPr="0012462B">
            <w:rPr>
              <w:rFonts w:ascii="Times New Roman" w:hAnsi="Times New Roman" w:cs="Times New Roman"/>
              <w:sz w:val="24"/>
              <w:szCs w:val="24"/>
            </w:rPr>
            <w:fldChar w:fldCharType="begin"/>
          </w:r>
          <w:r w:rsidR="001031E1" w:rsidRPr="0012462B">
            <w:rPr>
              <w:rFonts w:ascii="Times New Roman" w:hAnsi="Times New Roman" w:cs="Times New Roman"/>
              <w:sz w:val="24"/>
              <w:szCs w:val="24"/>
            </w:rPr>
            <w:instrText xml:space="preserve"> TOC \o "1-3" \h \z \u </w:instrText>
          </w:r>
          <w:r w:rsidRPr="0012462B">
            <w:rPr>
              <w:rFonts w:ascii="Times New Roman" w:hAnsi="Times New Roman" w:cs="Times New Roman"/>
              <w:sz w:val="24"/>
              <w:szCs w:val="24"/>
            </w:rPr>
            <w:fldChar w:fldCharType="separate"/>
          </w:r>
          <w:hyperlink w:anchor="_Toc135393158" w:history="1">
            <w:r w:rsidR="000B2988" w:rsidRPr="00EB60C5">
              <w:rPr>
                <w:rStyle w:val="Hipervnculo"/>
                <w:bCs/>
                <w:noProof/>
                <w:lang w:val="en-US"/>
              </w:rPr>
              <w:t>1. Description of the disease</w:t>
            </w:r>
            <w:r w:rsidR="000B2988">
              <w:rPr>
                <w:noProof/>
                <w:webHidden/>
              </w:rPr>
              <w:tab/>
            </w:r>
            <w:r w:rsidR="000B2988">
              <w:rPr>
                <w:noProof/>
                <w:webHidden/>
              </w:rPr>
              <w:fldChar w:fldCharType="begin"/>
            </w:r>
            <w:r w:rsidR="000B2988">
              <w:rPr>
                <w:noProof/>
                <w:webHidden/>
              </w:rPr>
              <w:instrText xml:space="preserve"> PAGEREF _Toc135393158 \h </w:instrText>
            </w:r>
            <w:r w:rsidR="000B2988">
              <w:rPr>
                <w:noProof/>
                <w:webHidden/>
              </w:rPr>
            </w:r>
            <w:r w:rsidR="000B2988">
              <w:rPr>
                <w:noProof/>
                <w:webHidden/>
              </w:rPr>
              <w:fldChar w:fldCharType="separate"/>
            </w:r>
            <w:r w:rsidR="002C1D6B">
              <w:rPr>
                <w:noProof/>
                <w:webHidden/>
              </w:rPr>
              <w:t>3</w:t>
            </w:r>
            <w:r w:rsidR="000B2988">
              <w:rPr>
                <w:noProof/>
                <w:webHidden/>
              </w:rPr>
              <w:fldChar w:fldCharType="end"/>
            </w:r>
          </w:hyperlink>
        </w:p>
        <w:p w14:paraId="452F2C44" w14:textId="6ADBA047" w:rsidR="000B2988" w:rsidRDefault="002C1D6B">
          <w:pPr>
            <w:pStyle w:val="TDC1"/>
            <w:tabs>
              <w:tab w:val="right" w:leader="dot" w:pos="8494"/>
            </w:tabs>
            <w:rPr>
              <w:rFonts w:eastAsiaTheme="minorEastAsia"/>
              <w:noProof/>
              <w:kern w:val="2"/>
              <w:lang w:eastAsia="es-ES"/>
              <w14:ligatures w14:val="standardContextual"/>
            </w:rPr>
          </w:pPr>
          <w:hyperlink w:anchor="_Toc135393159" w:history="1">
            <w:r w:rsidR="000B2988" w:rsidRPr="00EB60C5">
              <w:rPr>
                <w:rStyle w:val="Hipervnculo"/>
                <w:noProof/>
                <w:lang w:val="en-US"/>
              </w:rPr>
              <w:t>2. The MCDA</w:t>
            </w:r>
            <w:r w:rsidR="000B2988">
              <w:rPr>
                <w:noProof/>
                <w:webHidden/>
              </w:rPr>
              <w:tab/>
            </w:r>
            <w:r w:rsidR="000B2988">
              <w:rPr>
                <w:noProof/>
                <w:webHidden/>
              </w:rPr>
              <w:fldChar w:fldCharType="begin"/>
            </w:r>
            <w:r w:rsidR="000B2988">
              <w:rPr>
                <w:noProof/>
                <w:webHidden/>
              </w:rPr>
              <w:instrText xml:space="preserve"> PAGEREF _Toc135393159 \h </w:instrText>
            </w:r>
            <w:r w:rsidR="000B2988">
              <w:rPr>
                <w:noProof/>
                <w:webHidden/>
              </w:rPr>
            </w:r>
            <w:r w:rsidR="000B2988">
              <w:rPr>
                <w:noProof/>
                <w:webHidden/>
              </w:rPr>
              <w:fldChar w:fldCharType="separate"/>
            </w:r>
            <w:r>
              <w:rPr>
                <w:noProof/>
                <w:webHidden/>
              </w:rPr>
              <w:t>4</w:t>
            </w:r>
            <w:r w:rsidR="000B2988">
              <w:rPr>
                <w:noProof/>
                <w:webHidden/>
              </w:rPr>
              <w:fldChar w:fldCharType="end"/>
            </w:r>
          </w:hyperlink>
        </w:p>
        <w:p w14:paraId="3DC20B0A" w14:textId="2075B4A5" w:rsidR="000B2988" w:rsidRDefault="002C1D6B">
          <w:pPr>
            <w:pStyle w:val="TDC2"/>
            <w:tabs>
              <w:tab w:val="right" w:leader="dot" w:pos="8494"/>
            </w:tabs>
            <w:rPr>
              <w:rFonts w:eastAsiaTheme="minorEastAsia"/>
              <w:noProof/>
              <w:kern w:val="2"/>
              <w:lang w:eastAsia="es-ES"/>
              <w14:ligatures w14:val="standardContextual"/>
            </w:rPr>
          </w:pPr>
          <w:hyperlink w:anchor="_Toc135393160" w:history="1">
            <w:r w:rsidR="000B2988" w:rsidRPr="00EB60C5">
              <w:rPr>
                <w:rStyle w:val="Hipervnculo"/>
                <w:bCs/>
                <w:iCs/>
                <w:noProof/>
                <w:lang w:val="en-US"/>
              </w:rPr>
              <w:t>2.1 Methodology</w:t>
            </w:r>
            <w:r w:rsidR="000B2988">
              <w:rPr>
                <w:noProof/>
                <w:webHidden/>
              </w:rPr>
              <w:tab/>
            </w:r>
            <w:r w:rsidR="000B2988">
              <w:rPr>
                <w:noProof/>
                <w:webHidden/>
              </w:rPr>
              <w:fldChar w:fldCharType="begin"/>
            </w:r>
            <w:r w:rsidR="000B2988">
              <w:rPr>
                <w:noProof/>
                <w:webHidden/>
              </w:rPr>
              <w:instrText xml:space="preserve"> PAGEREF _Toc135393160 \h </w:instrText>
            </w:r>
            <w:r w:rsidR="000B2988">
              <w:rPr>
                <w:noProof/>
                <w:webHidden/>
              </w:rPr>
            </w:r>
            <w:r w:rsidR="000B2988">
              <w:rPr>
                <w:noProof/>
                <w:webHidden/>
              </w:rPr>
              <w:fldChar w:fldCharType="separate"/>
            </w:r>
            <w:r>
              <w:rPr>
                <w:noProof/>
                <w:webHidden/>
              </w:rPr>
              <w:t>4</w:t>
            </w:r>
            <w:r w:rsidR="000B2988">
              <w:rPr>
                <w:noProof/>
                <w:webHidden/>
              </w:rPr>
              <w:fldChar w:fldCharType="end"/>
            </w:r>
          </w:hyperlink>
        </w:p>
        <w:p w14:paraId="582E4C68" w14:textId="5CD20D8C" w:rsidR="000B2988" w:rsidRDefault="002C1D6B">
          <w:pPr>
            <w:pStyle w:val="TDC2"/>
            <w:tabs>
              <w:tab w:val="right" w:leader="dot" w:pos="8494"/>
            </w:tabs>
            <w:rPr>
              <w:rFonts w:eastAsiaTheme="minorEastAsia"/>
              <w:noProof/>
              <w:kern w:val="2"/>
              <w:lang w:eastAsia="es-ES"/>
              <w14:ligatures w14:val="standardContextual"/>
            </w:rPr>
          </w:pPr>
          <w:hyperlink w:anchor="_Toc135393161" w:history="1">
            <w:r w:rsidR="000B2988" w:rsidRPr="00EB60C5">
              <w:rPr>
                <w:rStyle w:val="Hipervnculo"/>
                <w:noProof/>
                <w:lang w:val="en-US"/>
              </w:rPr>
              <w:t>2.2 An example</w:t>
            </w:r>
            <w:r w:rsidR="000B2988">
              <w:rPr>
                <w:noProof/>
                <w:webHidden/>
              </w:rPr>
              <w:tab/>
            </w:r>
            <w:r w:rsidR="000B2988">
              <w:rPr>
                <w:noProof/>
                <w:webHidden/>
              </w:rPr>
              <w:fldChar w:fldCharType="begin"/>
            </w:r>
            <w:r w:rsidR="000B2988">
              <w:rPr>
                <w:noProof/>
                <w:webHidden/>
              </w:rPr>
              <w:instrText xml:space="preserve"> PAGEREF _Toc135393161 \h </w:instrText>
            </w:r>
            <w:r w:rsidR="000B2988">
              <w:rPr>
                <w:noProof/>
                <w:webHidden/>
              </w:rPr>
            </w:r>
            <w:r w:rsidR="000B2988">
              <w:rPr>
                <w:noProof/>
                <w:webHidden/>
              </w:rPr>
              <w:fldChar w:fldCharType="separate"/>
            </w:r>
            <w:r>
              <w:rPr>
                <w:noProof/>
                <w:webHidden/>
              </w:rPr>
              <w:t>5</w:t>
            </w:r>
            <w:r w:rsidR="000B2988">
              <w:rPr>
                <w:noProof/>
                <w:webHidden/>
              </w:rPr>
              <w:fldChar w:fldCharType="end"/>
            </w:r>
          </w:hyperlink>
        </w:p>
        <w:p w14:paraId="03362074" w14:textId="0BDE3D89" w:rsidR="000B2988" w:rsidRDefault="002C1D6B">
          <w:pPr>
            <w:pStyle w:val="TDC2"/>
            <w:tabs>
              <w:tab w:val="right" w:leader="dot" w:pos="8494"/>
            </w:tabs>
            <w:rPr>
              <w:rFonts w:eastAsiaTheme="minorEastAsia"/>
              <w:noProof/>
              <w:kern w:val="2"/>
              <w:lang w:eastAsia="es-ES"/>
              <w14:ligatures w14:val="standardContextual"/>
            </w:rPr>
          </w:pPr>
          <w:hyperlink w:anchor="_Toc135393162" w:history="1">
            <w:r w:rsidR="000B2988" w:rsidRPr="00EB60C5">
              <w:rPr>
                <w:rStyle w:val="Hipervnculo"/>
                <w:noProof/>
                <w:lang w:val="en-US"/>
              </w:rPr>
              <w:t>2.3 MCDA in RSV</w:t>
            </w:r>
            <w:r w:rsidR="000B2988">
              <w:rPr>
                <w:noProof/>
                <w:webHidden/>
              </w:rPr>
              <w:tab/>
            </w:r>
            <w:r w:rsidR="000B2988">
              <w:rPr>
                <w:noProof/>
                <w:webHidden/>
              </w:rPr>
              <w:fldChar w:fldCharType="begin"/>
            </w:r>
            <w:r w:rsidR="000B2988">
              <w:rPr>
                <w:noProof/>
                <w:webHidden/>
              </w:rPr>
              <w:instrText xml:space="preserve"> PAGEREF _Toc135393162 \h </w:instrText>
            </w:r>
            <w:r w:rsidR="000B2988">
              <w:rPr>
                <w:noProof/>
                <w:webHidden/>
              </w:rPr>
            </w:r>
            <w:r w:rsidR="000B2988">
              <w:rPr>
                <w:noProof/>
                <w:webHidden/>
              </w:rPr>
              <w:fldChar w:fldCharType="separate"/>
            </w:r>
            <w:r>
              <w:rPr>
                <w:noProof/>
                <w:webHidden/>
              </w:rPr>
              <w:t>7</w:t>
            </w:r>
            <w:r w:rsidR="000B2988">
              <w:rPr>
                <w:noProof/>
                <w:webHidden/>
              </w:rPr>
              <w:fldChar w:fldCharType="end"/>
            </w:r>
          </w:hyperlink>
        </w:p>
        <w:p w14:paraId="4E87C07B" w14:textId="005EB667" w:rsidR="000B2988" w:rsidRDefault="002C1D6B">
          <w:pPr>
            <w:pStyle w:val="TDC1"/>
            <w:tabs>
              <w:tab w:val="right" w:leader="dot" w:pos="8494"/>
            </w:tabs>
            <w:rPr>
              <w:rFonts w:eastAsiaTheme="minorEastAsia"/>
              <w:noProof/>
              <w:kern w:val="2"/>
              <w:lang w:eastAsia="es-ES"/>
              <w14:ligatures w14:val="standardContextual"/>
            </w:rPr>
          </w:pPr>
          <w:hyperlink w:anchor="_Toc135393163" w:history="1">
            <w:r w:rsidR="000B2988" w:rsidRPr="00EB60C5">
              <w:rPr>
                <w:rStyle w:val="Hipervnculo"/>
                <w:noProof/>
                <w:lang w:val="en-US"/>
              </w:rPr>
              <w:t>3. Vaccinex framework</w:t>
            </w:r>
            <w:r w:rsidR="000B2988">
              <w:rPr>
                <w:noProof/>
                <w:webHidden/>
              </w:rPr>
              <w:tab/>
            </w:r>
            <w:r w:rsidR="000B2988">
              <w:rPr>
                <w:noProof/>
                <w:webHidden/>
              </w:rPr>
              <w:fldChar w:fldCharType="begin"/>
            </w:r>
            <w:r w:rsidR="000B2988">
              <w:rPr>
                <w:noProof/>
                <w:webHidden/>
              </w:rPr>
              <w:instrText xml:space="preserve"> PAGEREF _Toc135393163 \h </w:instrText>
            </w:r>
            <w:r w:rsidR="000B2988">
              <w:rPr>
                <w:noProof/>
                <w:webHidden/>
              </w:rPr>
            </w:r>
            <w:r w:rsidR="000B2988">
              <w:rPr>
                <w:noProof/>
                <w:webHidden/>
              </w:rPr>
              <w:fldChar w:fldCharType="separate"/>
            </w:r>
            <w:r>
              <w:rPr>
                <w:noProof/>
                <w:webHidden/>
              </w:rPr>
              <w:t>9</w:t>
            </w:r>
            <w:r w:rsidR="000B2988">
              <w:rPr>
                <w:noProof/>
                <w:webHidden/>
              </w:rPr>
              <w:fldChar w:fldCharType="end"/>
            </w:r>
          </w:hyperlink>
        </w:p>
        <w:p w14:paraId="48F00D52" w14:textId="2EBC0A5C" w:rsidR="000B2988" w:rsidRDefault="002C1D6B">
          <w:pPr>
            <w:pStyle w:val="TDC1"/>
            <w:tabs>
              <w:tab w:val="right" w:leader="dot" w:pos="8494"/>
            </w:tabs>
            <w:rPr>
              <w:rFonts w:eastAsiaTheme="minorEastAsia"/>
              <w:noProof/>
              <w:kern w:val="2"/>
              <w:lang w:eastAsia="es-ES"/>
              <w14:ligatures w14:val="standardContextual"/>
            </w:rPr>
          </w:pPr>
          <w:hyperlink w:anchor="_Toc135393164" w:history="1">
            <w:r w:rsidR="000B2988" w:rsidRPr="00EB60C5">
              <w:rPr>
                <w:rStyle w:val="Hipervnculo"/>
                <w:noProof/>
                <w:lang w:val="en-US"/>
              </w:rPr>
              <w:t>References</w:t>
            </w:r>
            <w:r w:rsidR="000B2988">
              <w:rPr>
                <w:noProof/>
                <w:webHidden/>
              </w:rPr>
              <w:tab/>
            </w:r>
            <w:r w:rsidR="000B2988">
              <w:rPr>
                <w:noProof/>
                <w:webHidden/>
              </w:rPr>
              <w:fldChar w:fldCharType="begin"/>
            </w:r>
            <w:r w:rsidR="000B2988">
              <w:rPr>
                <w:noProof/>
                <w:webHidden/>
              </w:rPr>
              <w:instrText xml:space="preserve"> PAGEREF _Toc135393164 \h </w:instrText>
            </w:r>
            <w:r w:rsidR="000B2988">
              <w:rPr>
                <w:noProof/>
                <w:webHidden/>
              </w:rPr>
            </w:r>
            <w:r w:rsidR="000B2988">
              <w:rPr>
                <w:noProof/>
                <w:webHidden/>
              </w:rPr>
              <w:fldChar w:fldCharType="separate"/>
            </w:r>
            <w:r>
              <w:rPr>
                <w:noProof/>
                <w:webHidden/>
              </w:rPr>
              <w:t>12</w:t>
            </w:r>
            <w:r w:rsidR="000B2988">
              <w:rPr>
                <w:noProof/>
                <w:webHidden/>
              </w:rPr>
              <w:fldChar w:fldCharType="end"/>
            </w:r>
          </w:hyperlink>
        </w:p>
        <w:p w14:paraId="149B3E1B" w14:textId="3C3BDD14" w:rsidR="0012462B" w:rsidRPr="0012462B" w:rsidRDefault="0012462B" w:rsidP="00207E6F">
          <w:pPr>
            <w:spacing w:before="240" w:after="240" w:line="360" w:lineRule="auto"/>
            <w:rPr>
              <w:rFonts w:ascii="Times New Roman" w:hAnsi="Times New Roman" w:cs="Times New Roman"/>
              <w:sz w:val="24"/>
              <w:szCs w:val="24"/>
            </w:rPr>
          </w:pPr>
          <w:r w:rsidRPr="0012462B">
            <w:rPr>
              <w:rFonts w:ascii="Times New Roman" w:hAnsi="Times New Roman" w:cs="Times New Roman"/>
              <w:b/>
              <w:bCs/>
              <w:sz w:val="24"/>
              <w:szCs w:val="24"/>
            </w:rPr>
            <w:fldChar w:fldCharType="end"/>
          </w:r>
        </w:p>
      </w:sdtContent>
    </w:sdt>
    <w:p w14:paraId="079FDD14" w14:textId="77777777" w:rsidR="0012462B" w:rsidRDefault="0012462B" w:rsidP="00A66D10">
      <w:pPr>
        <w:spacing w:line="360" w:lineRule="auto"/>
        <w:rPr>
          <w:rFonts w:ascii="Times New Roman" w:hAnsi="Times New Roman" w:cs="Times New Roman"/>
          <w:sz w:val="24"/>
          <w:szCs w:val="24"/>
          <w:lang w:val="en-US"/>
        </w:rPr>
      </w:pPr>
    </w:p>
    <w:p w14:paraId="1FC03C63" w14:textId="77777777" w:rsidR="000D2F71" w:rsidRDefault="000D2F71" w:rsidP="00A66D10">
      <w:pPr>
        <w:spacing w:line="360" w:lineRule="auto"/>
        <w:rPr>
          <w:rFonts w:ascii="Times New Roman" w:hAnsi="Times New Roman" w:cs="Times New Roman"/>
          <w:sz w:val="24"/>
          <w:szCs w:val="24"/>
          <w:lang w:val="en-US"/>
        </w:rPr>
      </w:pPr>
    </w:p>
    <w:p w14:paraId="38802FA0" w14:textId="77777777" w:rsidR="00207E6F" w:rsidRDefault="00207E6F" w:rsidP="00A66D10">
      <w:pPr>
        <w:spacing w:line="360" w:lineRule="auto"/>
        <w:rPr>
          <w:rFonts w:ascii="Times New Roman" w:hAnsi="Times New Roman" w:cs="Times New Roman"/>
          <w:sz w:val="24"/>
          <w:szCs w:val="24"/>
          <w:lang w:val="en-US"/>
        </w:rPr>
      </w:pPr>
    </w:p>
    <w:p w14:paraId="7C738379" w14:textId="77777777" w:rsidR="00207E6F" w:rsidRDefault="00207E6F" w:rsidP="00A66D10">
      <w:pPr>
        <w:spacing w:line="360" w:lineRule="auto"/>
        <w:rPr>
          <w:rFonts w:ascii="Times New Roman" w:hAnsi="Times New Roman" w:cs="Times New Roman"/>
          <w:sz w:val="24"/>
          <w:szCs w:val="24"/>
          <w:lang w:val="en-US"/>
        </w:rPr>
      </w:pPr>
    </w:p>
    <w:p w14:paraId="33ECA4A3" w14:textId="77777777" w:rsidR="00207E6F" w:rsidRDefault="00207E6F" w:rsidP="00A66D10">
      <w:pPr>
        <w:spacing w:line="360" w:lineRule="auto"/>
        <w:rPr>
          <w:rFonts w:ascii="Times New Roman" w:hAnsi="Times New Roman" w:cs="Times New Roman"/>
          <w:sz w:val="24"/>
          <w:szCs w:val="24"/>
          <w:lang w:val="en-US"/>
        </w:rPr>
      </w:pPr>
    </w:p>
    <w:p w14:paraId="288EB071" w14:textId="77777777" w:rsidR="00207E6F" w:rsidRDefault="00207E6F" w:rsidP="00A66D10">
      <w:pPr>
        <w:spacing w:line="360" w:lineRule="auto"/>
        <w:rPr>
          <w:rFonts w:ascii="Times New Roman" w:hAnsi="Times New Roman" w:cs="Times New Roman"/>
          <w:sz w:val="24"/>
          <w:szCs w:val="24"/>
          <w:lang w:val="en-US"/>
        </w:rPr>
      </w:pPr>
    </w:p>
    <w:p w14:paraId="2B635C7B" w14:textId="77777777" w:rsidR="00207E6F" w:rsidRDefault="00207E6F" w:rsidP="00A66D10">
      <w:pPr>
        <w:spacing w:line="360" w:lineRule="auto"/>
        <w:rPr>
          <w:rFonts w:ascii="Times New Roman" w:hAnsi="Times New Roman" w:cs="Times New Roman"/>
          <w:sz w:val="24"/>
          <w:szCs w:val="24"/>
          <w:lang w:val="en-US"/>
        </w:rPr>
      </w:pPr>
    </w:p>
    <w:p w14:paraId="7048D690" w14:textId="77777777" w:rsidR="00207E6F" w:rsidRDefault="00207E6F" w:rsidP="00A66D10">
      <w:pPr>
        <w:spacing w:line="360" w:lineRule="auto"/>
        <w:rPr>
          <w:rFonts w:ascii="Times New Roman" w:hAnsi="Times New Roman" w:cs="Times New Roman"/>
          <w:sz w:val="24"/>
          <w:szCs w:val="24"/>
          <w:lang w:val="en-US"/>
        </w:rPr>
      </w:pPr>
    </w:p>
    <w:p w14:paraId="75986F0B" w14:textId="77777777" w:rsidR="00207E6F" w:rsidRDefault="00207E6F" w:rsidP="00A66D10">
      <w:pPr>
        <w:spacing w:line="360" w:lineRule="auto"/>
        <w:rPr>
          <w:rFonts w:ascii="Times New Roman" w:hAnsi="Times New Roman" w:cs="Times New Roman"/>
          <w:sz w:val="24"/>
          <w:szCs w:val="24"/>
          <w:lang w:val="en-US"/>
        </w:rPr>
      </w:pPr>
    </w:p>
    <w:p w14:paraId="5CFC8956" w14:textId="77777777" w:rsidR="00207E6F" w:rsidRDefault="00207E6F" w:rsidP="00A66D10">
      <w:pPr>
        <w:spacing w:line="360" w:lineRule="auto"/>
        <w:rPr>
          <w:rFonts w:ascii="Times New Roman" w:hAnsi="Times New Roman" w:cs="Times New Roman"/>
          <w:sz w:val="24"/>
          <w:szCs w:val="24"/>
          <w:lang w:val="en-US"/>
        </w:rPr>
      </w:pPr>
    </w:p>
    <w:p w14:paraId="51A585EB" w14:textId="77777777" w:rsidR="00207E6F" w:rsidRDefault="00207E6F" w:rsidP="00A66D10">
      <w:pPr>
        <w:spacing w:line="360" w:lineRule="auto"/>
        <w:rPr>
          <w:rFonts w:ascii="Times New Roman" w:hAnsi="Times New Roman" w:cs="Times New Roman"/>
          <w:sz w:val="24"/>
          <w:szCs w:val="24"/>
          <w:lang w:val="en-US"/>
        </w:rPr>
      </w:pPr>
    </w:p>
    <w:p w14:paraId="1ACC8814" w14:textId="77777777" w:rsidR="00207E6F" w:rsidRDefault="00207E6F" w:rsidP="00A66D10">
      <w:pPr>
        <w:spacing w:line="360" w:lineRule="auto"/>
        <w:rPr>
          <w:rFonts w:ascii="Times New Roman" w:hAnsi="Times New Roman" w:cs="Times New Roman"/>
          <w:sz w:val="24"/>
          <w:szCs w:val="24"/>
          <w:lang w:val="en-US"/>
        </w:rPr>
      </w:pPr>
    </w:p>
    <w:p w14:paraId="438773AA" w14:textId="77777777" w:rsidR="001512F1" w:rsidRDefault="001512F1" w:rsidP="00A66D10">
      <w:pPr>
        <w:spacing w:line="360" w:lineRule="auto"/>
        <w:rPr>
          <w:rFonts w:ascii="Times New Roman" w:hAnsi="Times New Roman" w:cs="Times New Roman"/>
          <w:sz w:val="24"/>
          <w:szCs w:val="24"/>
          <w:lang w:val="en-US"/>
        </w:rPr>
      </w:pPr>
    </w:p>
    <w:p w14:paraId="27336D08" w14:textId="77777777" w:rsidR="001512F1" w:rsidRDefault="001512F1" w:rsidP="00A66D10">
      <w:pPr>
        <w:spacing w:line="360" w:lineRule="auto"/>
        <w:rPr>
          <w:rFonts w:ascii="Times New Roman" w:hAnsi="Times New Roman" w:cs="Times New Roman"/>
          <w:sz w:val="24"/>
          <w:szCs w:val="24"/>
          <w:lang w:val="en-US"/>
        </w:rPr>
      </w:pPr>
    </w:p>
    <w:p w14:paraId="3B1DF236" w14:textId="77777777" w:rsidR="001512F1" w:rsidRPr="00EE3022" w:rsidRDefault="001512F1" w:rsidP="00A66D10">
      <w:pPr>
        <w:spacing w:line="360" w:lineRule="auto"/>
        <w:rPr>
          <w:rFonts w:ascii="Times New Roman" w:hAnsi="Times New Roman" w:cs="Times New Roman"/>
          <w:sz w:val="24"/>
          <w:szCs w:val="24"/>
          <w:lang w:val="en-US"/>
        </w:rPr>
      </w:pPr>
    </w:p>
    <w:p w14:paraId="0217D9A6" w14:textId="0FA8736E" w:rsidR="000128A7" w:rsidRPr="00EE3022" w:rsidRDefault="00EE3022">
      <w:pPr>
        <w:pStyle w:val="Ttulo1"/>
        <w:rPr>
          <w:bCs/>
          <w:lang w:val="en-US"/>
        </w:rPr>
      </w:pPr>
      <w:bookmarkStart w:id="0" w:name="_Toc135393158"/>
      <w:r w:rsidRPr="00EE3022">
        <w:rPr>
          <w:bCs/>
          <w:lang w:val="en-US"/>
        </w:rPr>
        <w:lastRenderedPageBreak/>
        <w:t xml:space="preserve">1. </w:t>
      </w:r>
      <w:r w:rsidR="00971571" w:rsidRPr="00EE3022">
        <w:rPr>
          <w:bCs/>
          <w:lang w:val="en-US"/>
        </w:rPr>
        <w:t>Description of the disease</w:t>
      </w:r>
      <w:bookmarkEnd w:id="0"/>
    </w:p>
    <w:p w14:paraId="68057105" w14:textId="78EDB3B2" w:rsidR="000128A7" w:rsidRPr="00EE3022" w:rsidRDefault="001031E1">
      <w:pPr>
        <w:spacing w:before="240" w:after="120"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t>RSV is a</w:t>
      </w:r>
      <w:r w:rsidR="007B19A7">
        <w:rPr>
          <w:rFonts w:ascii="Times New Roman" w:hAnsi="Times New Roman" w:cs="Times New Roman"/>
          <w:color w:val="000000"/>
          <w:sz w:val="24"/>
          <w:szCs w:val="24"/>
          <w:lang w:val="en-US"/>
        </w:rPr>
        <w:t>n</w:t>
      </w:r>
      <w:r w:rsidRPr="00EE3022">
        <w:rPr>
          <w:rFonts w:ascii="Times New Roman" w:hAnsi="Times New Roman" w:cs="Times New Roman"/>
          <w:color w:val="000000"/>
          <w:sz w:val="24"/>
          <w:szCs w:val="24"/>
          <w:lang w:val="en-US"/>
        </w:rPr>
        <w:t xml:space="preserve"> ubiquitous </w:t>
      </w:r>
      <w:r w:rsidR="007B19A7" w:rsidRPr="007B19A7">
        <w:rPr>
          <w:rFonts w:ascii="Times New Roman" w:hAnsi="Times New Roman" w:cs="Times New Roman"/>
          <w:i/>
          <w:iCs/>
          <w:color w:val="000000"/>
          <w:sz w:val="24"/>
          <w:szCs w:val="24"/>
          <w:lang w:val="en-US"/>
        </w:rPr>
        <w:t>ortoneumovirus</w:t>
      </w:r>
      <w:r w:rsidRPr="00EE3022">
        <w:rPr>
          <w:rFonts w:ascii="Times New Roman" w:hAnsi="Times New Roman" w:cs="Times New Roman"/>
          <w:color w:val="000000"/>
          <w:sz w:val="24"/>
          <w:szCs w:val="24"/>
          <w:lang w:val="en-US"/>
        </w:rPr>
        <w:t xml:space="preserve"> of the family </w:t>
      </w:r>
      <w:r w:rsidRPr="00EE3022">
        <w:rPr>
          <w:rFonts w:ascii="Times New Roman" w:hAnsi="Times New Roman" w:cs="Times New Roman"/>
          <w:i/>
          <w:iCs/>
          <w:color w:val="000000"/>
          <w:sz w:val="24"/>
          <w:szCs w:val="24"/>
          <w:lang w:val="en-US"/>
        </w:rPr>
        <w:t xml:space="preserve">pneumoviridae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{"citationID":"zRNY4Gp7","properties":{"formattedCitation":"[1,2]","plainCitation":"[1,2]","noteIndex":0},"citationItems":[{"id":"3wKIw2bd/bSW4u7Hv","uris":["http://zotero.org/groups/2141613/items/QGBJ4EMM"],"itemData":{"id":76662,"type":"article-journal","abstract":"The family Pneumoviridae comprises large enveloped negative-sense RNA viruses. This taxon was formerly a subfamily within the Paramyxoviridae, but was reclassified in 2016 as a family with two genera, Orthopneumovirus and Metapneumovirus. Pneumoviruses infect a range of mammalian species, while some members of the Metapneumovirus genus may also infect birds. Some viruses are specific and pathogenic for humans, such as human respiratory syncytial virus and human metapneumovirus. There are no known vectors for pneumoviruses and transmission is thought to be primarily by aerosol droplets and contact. This is a summary of the International Committee on Taxonomy of Viruses (ICTV) Report on the taxonomy of the Pneumoviridae, which is available at www.ictv.global/report/pneumoviridae.","container-title":"The Journal of General Virology","DOI":"10.1099/jgv.0.000959","ISSN":"1465-2099","issue":"12","journalAbbreviation":"J Gen Virol","language":"eng","note":"PMID: 29087278\nPMCID: PMC5775899","page":"2912-2913","source":"PubMed","title":"ICTV Virus Taxonomy Profile: Pneumoviridae","title-short":"ICTV Virus Taxonomy Profile","volume":"98","author":[{"family":"Rima","given":"Bert"},{"family":"Collins","given":"Peter"},{"family":"Easton","given":"Andrew"},{"family":"Fouchier","given":"Ron"},{"family":"Kurath","given":"Gael"},{"family":"Lamb","given":"Robert A."},{"family":"Lee","given":"Benhur"},{"family":"Maisner","given":"Andrea"},{"family":"Rota","given":"Paul"},{"family":"Wang","given":"Linfa"},{"family":"Ictv Report Consortium","given":"null"}],"issued":{"date-parts":[["2017"]]}}},{"id":"3wKIw2bd/Dowo0SHP","uris":["http://zotero.org/groups/2141613/items/I8VVRFRQ"],"itemData":{"id":76881,"type":"article-journal","abstract":"OBJECTIVE: The high burden associated with respiratory syncytial virus (RSV) has made the development of RSV vaccine(s) a global health high priority. This review summarizes the journey to an RSV vaccine, the different strategies and challenges associated with the development of preventive strategies for RSV, and the diverse products that are undergoing clinical testing.\nDATA SOURCES: Studies on RSV biology, immunology, epidemiology, and monoclonal antibodies (mAbs) and vaccines were searched using MEDLINE. We also searched PATH.org and ClinicalTrials.gov for updated information regarding the status of RSV vaccines and mAbs undergoing clinical trials.\nSTUDY SELECTIONS: We selected relevant studies conducted in infants and young children, pregnant women, and elderly population for the prevention of RSV infection.\nRESULTS: Identification of a safe and immunogenic vaccine has been an important but elusive initiative for more than 60 years for different reasons, including the legacy of formalin-inactivated vaccine, our limited understanding of the immune response to RSV and how it relates to clinical disease severity, or the need for different end points according to the different vaccine platforms. Nevertheless, there are currently 39 vaccines and mAbs under development and 19 undergoing clinical trials.\nCONCLUSION: Over the past decade, there have been significant advances in our knowledge of RSV molecular and structural biology and in understanding the human immune response to RSV. Despite the barriers, there are several promising mAbs and RSV vaccines undergoing clinical trials that hope to offer protection to the most vulnerable populations.","container-title":"Annals of Allergy, Asthma &amp; Immunology: Official Publication of the American College of Allergy, Asthma, &amp; Immunology","DOI":"10.1016/j.anai.2020.03.017","ISSN":"1534-4436","issue":"1","journalAbbreviation":"Ann Allergy Asthma Immunol","language":"eng","note":"PMID: 32217187\nPMCID: PMC7311299","page":"36-46","source":"PubMed","title":"The journey to a respiratory syncytial virus vaccine","volume":"125","author":[{"family":"Mejias","given":"Asuncion"},{"family":"Rodríguez-Fernández","given":"Rosa"},{"family":"Oliva","given":"Silvia"},{"family":"Peeples","given":"Mark E."},{"family":"Ramilo","given":"Octavio"}],"issued":{"date-parts":[["2020"]]}}}],"schema":"https://github.com/citation-style-language/schema/raw/master/csl-citation.json"}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[1,2]</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that produces a wide spectrum of respiratory symptoms. It has a seasonality that varies between regions, causing seasonal epidemics each </w:t>
      </w:r>
      <w:r w:rsidR="008D5EC5" w:rsidRPr="00EE3022">
        <w:rPr>
          <w:rFonts w:ascii="Times New Roman" w:hAnsi="Times New Roman" w:cs="Times New Roman"/>
          <w:color w:val="000000"/>
          <w:sz w:val="24"/>
          <w:szCs w:val="24"/>
          <w:lang w:val="en-US"/>
        </w:rPr>
        <w:t xml:space="preserve">year.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{"citationID":"wNA9taxh","properties":{"formattedCitation":"[3]","plainCitation":"[3]","noteIndex":0},"citationItems":[{"id":"3wKIw2bd/fpGKyk5a","uris":["http://zotero.org/groups/2141613/items/4XLSCQ76"],"itemData":{"id":76921,"type":"article-journal","abstract":"BACKGROUND: There is limited information on influenza and respiratory syncytial virus (RSV) seasonal patterns in tropical areas, although there is renewed interest in understanding the seasonal drivers of respiratory viruses.\nMETHODS: We review geographic variations in seasonality of laboratory-confirmed influenza and RSV epidemics in 137 global locations based on literature review and electronic sources. We assessed peak timing and epidemic duration and explored their association with geography and study settings. We fitted time series model to weekly national data available from the WHO influenza surveillance system (FluNet) to further characterize seasonal parameters.\nRESULTS: Influenza and RSV activity consistently peaked during winter months in temperate locales, while there was greater diversity in the tropics. Several temperate locations experienced semi-annual influenza activity with peaks occurring in winter and summer. Semi-annual activity was relatively common in tropical areas of Southeast Asia for both viruses. Biennial cycles of RSV activity were identified in Northern Europe. Both viruses exhibited weak latitudinal gradients in the timing of epidemics by hemisphere, with peak timing occurring later in the calendar year with increasing latitude (P&lt;0.03). Time series model applied to influenza data from 85 countries confirmed the presence of latitudinal gradients in timing, duration, seasonal amplitude, and between-year variability of epidemics. Overall, 80% of tropical locations experienced distinct RSV seasons lasting 6 months or less, while the percentage was 50% for influenza.\nCONCLUSION: Our review combining literature and electronic data sources suggests that a large fraction of tropical locations experience focused seasons of respiratory virus activity in individual years. Information on seasonal patterns remains limited in large undersampled regions, included Africa and Central America. Future studies should attempt to link the observed latitudinal gradients in seasonality of viral epidemics with climatic and population factors, and explore regional differences in disease transmission dynamics and attack rates.","container-title":"PloS One","DOI":"10.1371/journal.pone.0054445","ISSN":"1932-6203","issue":"2","journalAbbreviation":"PLoS One","language":"eng","note":"PMID: 23457451\nPMCID: PMC3573019","page":"e54445","source":"PubMed","title":"Latitudinal variations in seasonal activity of influenza and respiratory syncytial virus (RSV): a global comparative review","title-short":"Latitudinal variations in seasonal activity of influenza and respiratory syncytial virus (RSV)","volume":"8","author":[{"family":"Bloom-Feshbach","given":"Kimberly"},{"family":"Alonso","given":"Wladimir J."},{"family":"Charu","given":"Vivek"},{"family":"Tamerius","given":"James"},{"family":"Simonsen","given":"Lone"},{"family":"Miller","given":"Mark A."},{"family":"Viboud","given":"Cécile"}],"issued":{"date-parts":[["2013"]]}},"label":"page"}],"schema":"https://github.com/citation-style-language/schema/raw/master/csl-citation.json"}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[3]</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In the Iberian Peninsula, historically, RSV has its highest incidence between November and March</w:t>
      </w:r>
      <w:r w:rsidRPr="00EE3022">
        <w:rPr>
          <w:rStyle w:val="Refdenotaalpie"/>
          <w:rFonts w:ascii="Times New Roman" w:hAnsi="Times New Roman" w:cs="Times New Roman"/>
          <w:sz w:val="24"/>
          <w:szCs w:val="24"/>
          <w:lang w:val="en-US"/>
        </w:rPr>
        <w:footnoteReference w:id="1"/>
      </w:r>
      <w:r w:rsidR="007B19A7">
        <w:rPr>
          <w:rFonts w:ascii="Times New Roman" w:hAnsi="Times New Roman" w:cs="Times New Roman"/>
          <w:color w:val="000000"/>
          <w:sz w:val="24"/>
          <w:szCs w:val="24"/>
          <w:lang w:val="en-US"/>
        </w:rPr>
        <w:t xml:space="preserve">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{"citationID":"2vSE1Xnk","properties":{"formattedCitation":"[4]","plainCitation":"[4]","noteIndex":0},"citationItems":[{"id":"3wKIw2bd/7tzkmHjc","uris":["http://zotero.org/groups/2141613/items/FNQDN26A"],"itemData":{"id":71915,"type":"webpage","title":"Gripe, COVID-19 y otros virus respiratorios","URL":"https://www.isciii.es/QueHacemos/Servicios/VigilanciaSaludPublicaRENAVE/EnfermedadesTransmisibles/Paginas/Gripe.aspx","author":[{"family":"Centro Nacional de Epidemiología. Vigilancia en Salud Pública. Instituto de Salud Carlos III. Ministerio de Ciencia e Innovación","given":""}],"accessed":{"date-parts":[["2021",4,24]]},"issued":{"date-parts":[["2021"]]}}}],"schema":"https://github.com/citation-style-language/schema/raw/master/csl-citation.json"}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[4]</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w:t>
      </w:r>
    </w:p>
    <w:p w14:paraId="4339761C" w14:textId="7CC9F182" w:rsidR="000128A7" w:rsidRPr="00EE3022" w:rsidRDefault="001031E1">
      <w:pPr>
        <w:spacing w:before="120" w:after="120"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t xml:space="preserve">RSV can be transmitted through airborne droplets, contaminated surfaces, or by direct contact with oral or nasal secretions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QgxMmNwD","properties":{"formattedCitation":"[5]","plainCitation":"[5]","noteIndex":0},"citationItems":[{"id":"3wKIw2bd/exdMEOlf","uris":["http://zotero.org/groups/2141613/items/4L83EUIZ"],"itemData":{"id":71922,"type":"report","language":"es","source":"Zotero","title":"Virus Respiratorio Sincicial (VRS)","URL":"https://www.aeped.es/sites/default/files/documentos/vrs.pdf","author":[{"family":"AEP","given":""}],"accessed":{"date-parts":[["2021",4,19]]}}}],"schema":"https://github.com/citation-style-language/schema/raw/master/csl-citation.json"}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[5]</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The main routes of entry of the virus are the ocular conjunctiva and both nasal and </w:t>
      </w:r>
      <w:r w:rsidR="00386456" w:rsidRPr="00EE3022">
        <w:rPr>
          <w:rFonts w:ascii="Times New Roman" w:hAnsi="Times New Roman" w:cs="Times New Roman"/>
          <w:color w:val="000000"/>
          <w:sz w:val="24"/>
          <w:szCs w:val="24"/>
          <w:lang w:val="en-US"/>
        </w:rPr>
        <w:t>oral</w:t>
      </w:r>
      <w:r w:rsidRPr="00EE3022">
        <w:rPr>
          <w:rFonts w:ascii="Times New Roman" w:hAnsi="Times New Roman" w:cs="Times New Roman"/>
          <w:color w:val="000000"/>
          <w:sz w:val="24"/>
          <w:szCs w:val="24"/>
          <w:lang w:val="en-US"/>
        </w:rPr>
        <w:t xml:space="preserve"> mucosa.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{"citationID":"RQgN5lgU","properties":{"formattedCitation":"[6]","plainCitation":"[6]","noteIndex":0},"citationItems":[{"id":"3wKIw2bd/8TPPOrto","uris":["http://zotero.org/groups/2141613/items/HHMPDGMH"],"itemData":{"id":81702,"type":"article-journal","container-title":"The Journal of Pediatrics","DOI":"10.1016/s0022-3476(81)80969-9","ISSN":"0022-3476","issue":"1","journalAbbreviation":"J Pediatr","language":"eng","note":"PMID: 7252646","page":"100-103","source":"PubMed","title":"Modes of transmission of respiratory syncytial virus","volume":"99","author":[{"family":"Hall","given":"C. B."},{"family":"Douglas","given":"R. G."}],"issued":{"date-parts":[["1981"]]}}}],"schema":"https://github.com/citation-style-language/schema/raw/master/csl-citation.json"}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[6]</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After initial infection, RSV replicates in the nasopharynx during an incubation period of 1 to 4 </w:t>
      </w:r>
      <w:r w:rsidR="00386456" w:rsidRPr="00EE3022">
        <w:rPr>
          <w:rFonts w:ascii="Times New Roman" w:hAnsi="Times New Roman" w:cs="Times New Roman"/>
          <w:color w:val="000000"/>
          <w:sz w:val="24"/>
          <w:szCs w:val="24"/>
          <w:lang w:val="en-US"/>
        </w:rPr>
        <w:t xml:space="preserve">days and can be contagious from the third day of infection.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{"citationID":"NODcEaL3","properties":{"formattedCitation":"[7]","plainCitation":"[7]","noteIndex":0},"citationItems":[{"id":"3wKIw2bd/xY0pVyhO","uris":["http://zotero.org/groups/2141613/items/GLP22FPM"],"itemData":{"id":71921,"type":"article-journal","abstract":"Respiratory syncytial virus (RSV) is the most prevalent viral etiological agent of acute respiratory tract infection. Although RSV affects people of all ages, the disease is more severe in infants and causes signiﬁcant morbidity and hospitalization in young children and in the elderly. Host factors, including an immature immune system in infants, low lymphocyte levels in patients under 5 years old, and low levels of RSV-speciﬁc neutralizing antibodies in the blood of adults over 65 years of age, can explain the high susceptibility to RSV infection in these populations. Other host factors that correlate with severe RSV disease include high concentrations of proinﬂammatory cytokines such as interleukins (IL)-6, IL-8, tumor necrosis factor (TNF)-α, and thymic stromal lymphopoitein (TSLP), which are produced in the respiratory tract of RSV-infected individuals, accompanied by a strong neutrophil response. In addition, data from studies of RSV infections in humans and in animal models revealed that this virus suppresses adaptive immune responses that could eliminate it from the respiratory tract. Here, we examine host factors that contribute to RSV pathogenesis based on an exhaustive review of in vitro infection in humans and in animal models to provide insights into the design of vaccines and therapeutic tools that could prevent diseases caused by RSV.","container-title":"Frontiers in Immunology","DOI":"10.3389/fimmu.2019.02152","ISSN":"1664-3224","journalAbbreviation":"Front. Immunol.","language":"en","page":"2152","source":"DOI.org (Crossref)","title":"Host Components Contributing to Respiratory Syncytial Virus Pathogenesis","volume":"10","author":[{"family":"Carvajal","given":"Jonatan J."},{"family":"Avellaneda","given":"Andrea M."},{"family":"Salazar-Ardiles","given":"Camila"},{"family":"Maya","given":"Jorge E."},{"family":"Kalergis","given":"Alexis M."},{"family":"Lay","given":"Margarita K."}],"issued":{"date-parts":[["2019"]]}}}],"schema":"https://github.com/citation-style-language/schema/raw/master/csl-citation.json"}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[7]</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until the eighth day of infection.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{"citationID":"p3YTIulX","properties":{"formattedCitation":"[7]","plainCitation":"[7]","noteIndex":0},"citationItems":[{"id":"3wKIw2bd/xY0pVyhO","uris":["http://zotero.org/groups/2141613/items/GLP22FPM"],"itemData":{"id":71921,"type":"article-journal","abstract":"Respiratory syncytial virus (RSV) is the most prevalent viral etiological agent of acute respiratory tract infection. Although RSV affects people of all ages, the disease is more severe in infants and causes signiﬁcant morbidity and hospitalization in young children and in the elderly. Host factors, including an immature immune system in infants, low lymphocyte levels in patients under 5 years old, and low levels of RSV-speciﬁc neutralizing antibodies in the blood of adults over 65 years of age, can explain the high susceptibility to RSV infection in these populations. Other host factors that correlate with severe RSV disease include high concentrations of proinﬂammatory cytokines such as interleukins (IL)-6, IL-8, tumor necrosis factor (TNF)-α, and thymic stromal lymphopoitein (TSLP), which are produced in the respiratory tract of RSV-infected individuals, accompanied by a strong neutrophil response. In addition, data from studies of RSV infections in humans and in animal models revealed that this virus suppresses adaptive immune responses that could eliminate it from the respiratory tract. Here, we examine host factors that contribute to RSV pathogenesis based on an exhaustive review of in vitro infection in humans and in animal models to provide insights into the design of vaccines and therapeutic tools that could prevent diseases caused by RSV.","container-title":"Frontiers in Immunology","DOI":"10.3389/fimmu.2019.02152","ISSN":"1664-3224","journalAbbreviation":"Front. Immunol.","language":"en","page":"2152","source":"DOI.org (Crossref)","title":"Host Components Contributing to Respiratory Syncytial Virus Pathogenesis","volume":"10","author":[{"family":"Carvajal","given":"Jonatan J."},{"family":"Avellaneda","given":"Andrea M."},{"family":"Salazar-Ardiles","given":"Camila"},{"family":"Maya","given":"Jorge E."},{"family":"Kalergis","given":"Alexis M."},{"family":"Lay","given":"Margarita K."}],"issued":{"date-parts":[["2019"]]}}}],"schema":"https://github.com/citation-style-language/schema/raw/master/csl-citation.json"}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[7]</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In severe cases, the host may be infectious for up to 4 weeks after </w:t>
      </w:r>
      <w:r w:rsidR="00386456" w:rsidRPr="00EE3022">
        <w:rPr>
          <w:rFonts w:ascii="Times New Roman" w:hAnsi="Times New Roman" w:cs="Times New Roman"/>
          <w:color w:val="000000"/>
          <w:sz w:val="24"/>
          <w:szCs w:val="24"/>
          <w:lang w:val="en-US"/>
        </w:rPr>
        <w:t xml:space="preserve">infection.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{"citationID":"2p2U0Uhr","properties":{"formattedCitation":"[7,8]","plainCitation":"[7,8]","noteIndex":0},"citationItems":[{"id":"3wKIw2bd/xY0pVyhO","uris":["http://zotero.org/groups/2141613/items/GLP22FPM"],"itemData":{"id":71921,"type":"article-journal","abstract":"Respiratory syncytial virus (RSV) is the most prevalent viral etiological agent of acute respiratory tract infection. Although RSV affects people of all ages, the disease is more severe in infants and causes signiﬁcant morbidity and hospitalization in young children and in the elderly. Host factors, including an immature immune system in infants, low lymphocyte levels in patients under 5 years old, and low levels of RSV-speciﬁc neutralizing antibodies in the blood of adults over 65 years of age, can explain the high susceptibility to RSV infection in these populations. Other host factors that correlate with severe RSV disease include high concentrations of proinﬂammatory cytokines such as interleukins (IL)-6, IL-8, tumor necrosis factor (TNF)-α, and thymic stromal lymphopoitein (TSLP), which are produced in the respiratory tract of RSV-infected individuals, accompanied by a strong neutrophil response. In addition, data from studies of RSV infections in humans and in animal models revealed that this virus suppresses adaptive immune responses that could eliminate it from the respiratory tract. Here, we examine host factors that contribute to RSV pathogenesis based on an exhaustive review of in vitro infection in humans and in animal models to provide insights into the design of vaccines and therapeutic tools that could prevent diseases caused by RSV.","container-title":"Frontiers in Immunology","DOI":"10.3389/fimmu.2019.02152","ISSN":"1664-3224","journalAbbreviation":"Front. Immunol.","language":"en","page":"2152","source":"DOI.org (Crossref)","title":"Host Components Contributing to Respiratory Syncytial Virus Pathogenesis","volume":"10","author":[{"family":"Carvajal","given":"Jonatan J."},{"family":"Avellaneda","given":"Andrea M."},{"family":"Salazar-Ardiles","given":"Camila"},{"family":"Maya","given":"Jorge E."},{"family":"Kalergis","given":"Alexis M."},{"family":"Lay","given":"Margarita K."}],"issued":{"date-parts":[["2019"]]}},"label":"page"},{"id":"3wKIw2bd/9RpgkDrj","uris":["http://zotero.org/groups/2141613/items/ES5GHQHS"],"itemData":{"id":76884,"type":"article-journal","abstract":"Respiratory syncytial virus (RSV) is considered the most common pathogen causing severe lower respiratory tract infections among infants and young children. We describe the seasonality and geographical spread of RSV infection in 15 countries of the European Union and European Economic Area. We performed a retrospective descriptive study of weekly laboratory-confirmed RSV detections between weeks 40/2010 and 20/2016, in patients investigated for influenza-like illness, acute respiratory infection or following the clinician’s judgment. Six countries reported 4,230 sentinel RSV laboratory diagnoses from primary care and 14 countries reported 156,188 non-sentinel laboratory diagnoses from primary care or hospitals. The median length of the RSV season based on sentinel and non-sentinel surveillance was 16 (range: 9–24) and 18 (range: 8–24) weeks, respectively. The median peak weeks for sentinel and non-sentinel detections were week 4 (range: 48 to 11) and week 4.5 (range: 49 to 17), respectively. RSV detections peaked later (r = 0.56; p = 0.0360) and seasons lasted longer with increasing latitude (r = 0.57; p = 0.0329). Our data demonstrated regular seasonality with moderate correlation between timing of the epidemic and increasing latitude of the country. This study supports the use of RSV diagnostics within influenza or other surveillance systems to monitor RSV seasonality and geographical spread.","container-title":"Eurosurveillance","DOI":"10.2807/1560-7917.ES.2018.23.5.17-00284","ISSN":"1025-496X","issue":"5","journalAbbreviation":"Euro Surveill","note":"PMID: 29409569\nPMCID: PMC5801642","page":"17-00284","source":"PubMed Central","title":"Seasonality and geographical spread of respiratory syncytial virus epidemics in 15 European countries, 2010 to 2016","volume":"23","author":[{"family":"Broberg","given":"Eeva K"},{"family":"Waris","given":"Matti"},{"family":"Johansen","given":"Kari"},{"family":"Snacken","given":"René"},{"family":"Penttinen","given":"Pasi"}],"issued":{"date-parts":[["2018"]]}},"label":"page"}],"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[7,8]</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w:t>
      </w:r>
    </w:p>
    <w:p w14:paraId="0E74D915" w14:textId="31E05DA4" w:rsidR="000128A7" w:rsidRPr="00EE3022" w:rsidRDefault="001031E1">
      <w:pPr>
        <w:spacing w:before="120" w:after="120"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t>RSV infections occur in people of any age, causing mild and self-limited infections</w:t>
      </w:r>
      <w:r w:rsidRPr="00EE3022">
        <w:rPr>
          <w:rStyle w:val="Refdenotaalpie"/>
          <w:rFonts w:ascii="Times New Roman" w:hAnsi="Times New Roman" w:cs="Times New Roman"/>
          <w:sz w:val="24"/>
          <w:szCs w:val="24"/>
          <w:lang w:val="en-US"/>
        </w:rPr>
        <w:footnoteReference w:id="2"/>
      </w:r>
      <w:r w:rsidRPr="00EE3022">
        <w:rPr>
          <w:rFonts w:ascii="Times New Roman" w:hAnsi="Times New Roman" w:cs="Times New Roman"/>
          <w:color w:val="000000"/>
          <w:sz w:val="24"/>
          <w:szCs w:val="24"/>
          <w:lang w:val="en-US"/>
        </w:rPr>
        <w:t xml:space="preserve"> , causing upper respiratory tract infection. However, there are age groups where the infection can incur </w:t>
      </w:r>
      <w:r w:rsidR="00145982">
        <w:rPr>
          <w:rFonts w:ascii="Times New Roman" w:hAnsi="Times New Roman" w:cs="Times New Roman"/>
          <w:color w:val="000000"/>
          <w:sz w:val="24"/>
          <w:szCs w:val="24"/>
          <w:lang w:val="en-US"/>
        </w:rPr>
        <w:t xml:space="preserve">in </w:t>
      </w:r>
      <w:r w:rsidRPr="00EE3022">
        <w:rPr>
          <w:rFonts w:ascii="Times New Roman" w:hAnsi="Times New Roman" w:cs="Times New Roman"/>
          <w:color w:val="000000"/>
          <w:sz w:val="24"/>
          <w:szCs w:val="24"/>
          <w:lang w:val="en-US"/>
        </w:rPr>
        <w:t>more severe cases</w:t>
      </w:r>
      <w:r w:rsidR="00145982">
        <w:rPr>
          <w:rFonts w:ascii="Times New Roman" w:hAnsi="Times New Roman" w:cs="Times New Roman"/>
          <w:color w:val="000000"/>
          <w:sz w:val="24"/>
          <w:szCs w:val="24"/>
          <w:lang w:val="en-US"/>
        </w:rPr>
        <w:t>,</w:t>
      </w:r>
      <w:r w:rsidRPr="00EE3022">
        <w:rPr>
          <w:rFonts w:ascii="Times New Roman" w:hAnsi="Times New Roman" w:cs="Times New Roman"/>
          <w:color w:val="000000"/>
          <w:sz w:val="24"/>
          <w:szCs w:val="24"/>
          <w:lang w:val="en-US"/>
        </w:rPr>
        <w:t xml:space="preserve"> such as infants in the first year of life and people over 65 years of age. 90% of healthy infants will have been infected with RSV by the age of 2 </w:t>
      </w:r>
      <w:r w:rsidR="00386456" w:rsidRPr="00EE3022">
        <w:rPr>
          <w:rFonts w:ascii="Times New Roman" w:hAnsi="Times New Roman" w:cs="Times New Roman"/>
          <w:color w:val="000000"/>
          <w:sz w:val="24"/>
          <w:szCs w:val="24"/>
          <w:lang w:val="en-US"/>
        </w:rPr>
        <w:t xml:space="preserve">years. </w:t>
      </w:r>
      <w:r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961WddkG","properties":{"formattedCitation":"[9,10]","plainCitation":"[9,10]","noteIndex":0},"citationItems":[{"id":"3wKIw2bd/1Ay6X7pO","uris":["http://zotero.org/groups/2141613/items/BPA9EJVU"],"itemData":{"id":77007,"type":"article-journal","abstract":"Respiratory syncytial virus is the most important cause of serious lower respiratory tract infection in children. For children followed up from birth in the Houston Family Study, the infection rate was 68.8/100 children less than 12 months of age and 82.6/100 during the second year of life. Virtually all children had been infected at least once by 24 months of age, and about one half had experienced two infections. Although lower respiratory tract disease (LRD) was common (22.4/100 during year 1 and 13.0/100 during year 2), most children had only one LRD illness. The risk of reinfection was inversely related to the level of neutralizing antibodies in the serum. Reinfection illnesses were generally mild, and risk of reinfection decreased to only 33.3/100 during year 4. Studies of children with LRD and surveys of hospitalizations provide the basis for an estimate of the number of children hospitalized each year during the respiratory syncytial virus epidemics. Almost 100,000 children in the United States experience an illness of sufficient severity to require hospitalization.","container-title":"American Journal of Diseases of Children (1960)","DOI":"10.1001/archpedi.1986.02140200053026","ISSN":"0002-922X","issue":"6","journalAbbreviation":"Am J Dis Child","language":"eng","note":"PMID: 3706232","page":"543-546","source":"PubMed","title":"Risk of primary infection and reinfection with respiratory syncytial virus","volume":"140","author":[{"family":"Glezen","given":"W. P."},{"family":"Taber","given":"L. H."},{"family":"Frank","given":"A. L."},{"family":"Kasel","given":"J. A."}],"issued":{"date-parts":[["1986"]]}},"label":"page"},{"id":"3wKIw2bd/43RD8r6f","uris":["http://zotero.org/groups/2141613/items/IRQVC7NE"],"itemData":{"id":73538,"type":"article-journal","abstract":"This guideline is a revision of the clinical practice guideline, \"Diagnosis and Management of Bronchiolitis,\" published by the American Academy of Pediatrics in 2006. The guideline applies to children from 1 through 23 months of age. Other exclusions are noted. Each key action statement indicates level of evidence, benefit-harm relationship, and level of recommendation. Key action statements are as follows:","container-title":"Pediatrics","DOI":"10.1542/peds.2014-2742","ISSN":"1098-4275","issue":"5","journalAbbreviation":"Pediatrics","language":"eng","note":"PMID: 25349312","page":"e1474-1502","source":"PubMed","title":"Clinical practice guideline: the diagnosis, management, and prevention of bronchiolitis","title-short":"Clinical practice guideline","volume":"134","author":[{"family":"Ralston","given":"Shawn L."},{"family":"Lieberthal","given":"Allan S."},{"family":"Meissner","given":"H. Cody"},{"family":"Alverson","given":"Brian K."},{"family":"Baley","given":"Jill E."},{"family":"Gadomski","given":"Anne M."},{"family":"Johnson","given":"David W."},{"family":"Light","given":"Michael J."},{"family":"Maraqa","given":"Nizar F."},{"family":"Mendonca","given":"Eneida A."},{"family":"Phelan","given":"Kieran J."},{"family":"Zorc","given":"Joseph J."},{"family":"Stanko-Lopp","given":"Danette"},{"family":"Brown","given":"Mark A."},{"family":"Nathanson","given":"Ian"},{"family":"Rosenblum","given":"Elizabeth"},{"family":"Sayles","given":"Stephen"},{"family":"Hernandez-Cancio","given":"Sinsi"},{"literal":"American Academy of Pediatrics"}],"issued":{"date-parts":[["2014"]]}},"label":"page"}],"schema":"https://github.com/citation-style-language/schema/raw/master/csl-citation.json"}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[9,10]</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 xml:space="preserve">.  </w:t>
      </w:r>
    </w:p>
    <w:p w14:paraId="4D7804F0" w14:textId="77777777" w:rsidR="000128A7" w:rsidRPr="00EE3022" w:rsidRDefault="001031E1">
      <w:pPr>
        <w:spacing w:before="120" w:after="120"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t>Severe cases occur when the infection evolves and affects the lower respiratory tract, leading to pneumonia</w:t>
      </w:r>
      <w:r w:rsidRPr="00EE3022">
        <w:rPr>
          <w:rStyle w:val="Refdenotaalpie"/>
          <w:rFonts w:ascii="Times New Roman" w:hAnsi="Times New Roman" w:cs="Times New Roman"/>
          <w:sz w:val="24"/>
          <w:szCs w:val="24"/>
          <w:lang w:val="en-US"/>
        </w:rPr>
        <w:footnoteReference w:id="3"/>
      </w:r>
      <w:r w:rsidRPr="00EE3022">
        <w:rPr>
          <w:rFonts w:ascii="Times New Roman" w:hAnsi="Times New Roman" w:cs="Times New Roman"/>
          <w:color w:val="000000"/>
          <w:sz w:val="24"/>
          <w:szCs w:val="24"/>
          <w:lang w:val="en-US"/>
        </w:rPr>
        <w:t xml:space="preserve"> , bronchopneumonia and bronchiolitis</w:t>
      </w:r>
      <w:r w:rsidRPr="00EE3022">
        <w:rPr>
          <w:rStyle w:val="Refdenotaalpie"/>
          <w:rFonts w:ascii="Times New Roman" w:hAnsi="Times New Roman" w:cs="Times New Roman"/>
          <w:sz w:val="24"/>
          <w:szCs w:val="24"/>
          <w:lang w:val="en-US"/>
        </w:rPr>
        <w:footnoteReference w:id="4"/>
      </w:r>
      <w:r w:rsidRPr="00EE3022">
        <w:rPr>
          <w:rFonts w:ascii="Times New Roman" w:hAnsi="Times New Roman" w:cs="Times New Roman"/>
          <w:color w:val="000000"/>
          <w:sz w:val="24"/>
          <w:szCs w:val="24"/>
          <w:lang w:val="en-US"/>
        </w:rPr>
        <w:t xml:space="preserve"> . Among the elderly population with </w:t>
      </w:r>
      <w:r w:rsidR="001D4F38" w:rsidRPr="00EE3022">
        <w:rPr>
          <w:rFonts w:ascii="Times New Roman" w:hAnsi="Times New Roman" w:cs="Times New Roman"/>
          <w:color w:val="000000"/>
          <w:sz w:val="24"/>
          <w:szCs w:val="24"/>
          <w:lang w:val="en-US"/>
        </w:rPr>
        <w:t xml:space="preserve">respiratory disease, RSV can cause an exacerbation of COPD or asthma, complicating these </w:t>
      </w:r>
      <w:r w:rsidR="00386456" w:rsidRPr="00EE3022">
        <w:rPr>
          <w:rFonts w:ascii="Times New Roman" w:hAnsi="Times New Roman" w:cs="Times New Roman"/>
          <w:color w:val="000000"/>
          <w:sz w:val="24"/>
          <w:szCs w:val="24"/>
          <w:lang w:val="en-US"/>
        </w:rPr>
        <w:t>underlying</w:t>
      </w:r>
      <w:r w:rsidR="001D4F38" w:rsidRPr="00EE3022">
        <w:rPr>
          <w:rFonts w:ascii="Times New Roman" w:hAnsi="Times New Roman" w:cs="Times New Roman"/>
          <w:color w:val="000000"/>
          <w:sz w:val="24"/>
          <w:szCs w:val="24"/>
          <w:lang w:val="en-US"/>
        </w:rPr>
        <w:t xml:space="preserve"> conditions. </w:t>
      </w:r>
      <w:r w:rsidR="001D4F38" w:rsidRPr="00EE3022">
        <w:rPr>
          <w:rFonts w:ascii="Times New Roman" w:hAnsi="Times New Roman" w:cs="Times New Roman"/>
          <w:color w:val="000000"/>
          <w:sz w:val="24"/>
          <w:szCs w:val="24"/>
          <w:lang w:val="en-US"/>
        </w:rPr>
        <w:fldChar w:fldCharType="begin"/>
      </w:r>
      <w:r w:rsidR="001D4F38" w:rsidRPr="00EE3022">
        <w:rPr>
          <w:rFonts w:ascii="Times New Roman" w:hAnsi="Times New Roman" w:cs="Times New Roman"/>
          <w:color w:val="000000"/>
          <w:sz w:val="24"/>
          <w:szCs w:val="24"/>
          <w:lang w:val="en-US"/>
        </w:rPr>
        <w:instrText xml:space="preserve"> ADDIN ZOTERO_ITEM CSL_CITATION {"citationID":"mXBZ5TzD","properties":{"formattedCitation":"[11]","plainCitation":"[11]","noteIndex":0},"citationItems":[{"id":"3wKIw2bd/ntEOH4Ti","uris":["http://zotero.org/groups/2141613/items/UAUEST3Z"],"itemData":{"id":76899,"type":"article-journal","abstract":"Respiratory syncytial virus (RSV) is an exceptional mucosal pathogen. It specializes in infection of the ciliated respiratory epithelium, causing disease of variable severity with little or no direct systemic effects. It infects virtually all children by the age of three years and then repeatedly infects throughout life; this it does despite relatively slight variations in antigenicity, apparently by inducing selective immunological amnesia. Inappropriate or dysregulated responses to RSV can be pathogenic, causing disease-enhancing inflammation that contributes to short- and long-term effects. In addition, RSV's importance as a largely unrecognized pathogen of debilitated older people is increasingly evident. Vaccines that induce nonpathogenic protective immunity may soon be available, and it is possible that different vaccines will be optimal for infants; older children; young to middle-age adults (including pregnant women); and elderly persons. At the dawn of RSV vaccination, it is timely to review what is known (and unknown) about immune responses to this fascinating virus.","container-title":"Annual Review of Immunology","DOI":"10.1146/annurev-immunol-051116-052206","ISSN":"1545-3278","journalAbbreviation":"Annu Rev Immunol","language":"eng","note":"PMID: 28226227","page":"501-532","source":"PubMed","title":"Protective and Harmful Immunity to RSV Infection","volume":"35","author":[{"family":"Openshaw","given":"Peter J. M."},{"family":"Chiu","given":"Chris"},{"family":"Culley","given":"Fiona J."},{"family":"Johansson","given":"Cecilia"}],"issued":{"date-parts":[["2017"]]}}}],"schema":"https://github.com/citation-style-language/schema/raw/master/csl-citation.json"} </w:instrText>
      </w:r>
      <w:r w:rsidR="001D4F38" w:rsidRPr="00EE3022">
        <w:rPr>
          <w:rFonts w:ascii="Times New Roman" w:hAnsi="Times New Roman" w:cs="Times New Roman"/>
          <w:color w:val="000000"/>
          <w:sz w:val="24"/>
          <w:szCs w:val="24"/>
          <w:lang w:val="en-US"/>
        </w:rPr>
        <w:fldChar w:fldCharType="separate"/>
      </w:r>
      <w:r w:rsidR="001D4F38" w:rsidRPr="00EE3022">
        <w:rPr>
          <w:rFonts w:ascii="Times New Roman" w:hAnsi="Times New Roman" w:cs="Times New Roman"/>
          <w:sz w:val="24"/>
          <w:lang w:val="en-US"/>
        </w:rPr>
        <w:t>[11]</w:t>
      </w:r>
      <w:r w:rsidR="001D4F38" w:rsidRPr="00EE3022">
        <w:rPr>
          <w:rFonts w:ascii="Times New Roman" w:hAnsi="Times New Roman" w:cs="Times New Roman"/>
          <w:color w:val="000000"/>
          <w:sz w:val="24"/>
          <w:szCs w:val="24"/>
          <w:lang w:val="en-US"/>
        </w:rPr>
        <w:fldChar w:fldCharType="end"/>
      </w:r>
      <w:r w:rsidR="001D4F38" w:rsidRPr="00EE3022">
        <w:rPr>
          <w:rFonts w:ascii="Times New Roman" w:hAnsi="Times New Roman" w:cs="Times New Roman"/>
          <w:color w:val="000000"/>
          <w:sz w:val="24"/>
          <w:szCs w:val="24"/>
          <w:lang w:val="en-US"/>
        </w:rPr>
        <w:t xml:space="preserve">. </w:t>
      </w:r>
    </w:p>
    <w:p w14:paraId="0235BCEE" w14:textId="73BBA072" w:rsidR="000128A7" w:rsidRPr="00EE3022" w:rsidRDefault="00235E4B">
      <w:pPr>
        <w:spacing w:before="120" w:after="120"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t>Several</w:t>
      </w:r>
      <w:r w:rsidR="001031E1" w:rsidRPr="00EE3022">
        <w:rPr>
          <w:rFonts w:ascii="Times New Roman" w:hAnsi="Times New Roman" w:cs="Times New Roman"/>
          <w:color w:val="000000"/>
          <w:sz w:val="24"/>
          <w:szCs w:val="24"/>
          <w:lang w:val="en-US"/>
        </w:rPr>
        <w:t xml:space="preserve"> risk factors associated with increased severity of infections with this virus have also been identified. These include physiological factors, such as prematurity</w:t>
      </w:r>
      <w:r w:rsidR="001031E1" w:rsidRPr="00EE3022">
        <w:rPr>
          <w:rStyle w:val="Refdenotaalpie"/>
          <w:rFonts w:ascii="Times New Roman" w:hAnsi="Times New Roman" w:cs="Times New Roman"/>
          <w:sz w:val="24"/>
          <w:szCs w:val="24"/>
          <w:lang w:val="en-US"/>
        </w:rPr>
        <w:footnoteReference w:id="5"/>
      </w:r>
      <w:r w:rsidR="001031E1" w:rsidRPr="00EE3022">
        <w:rPr>
          <w:rFonts w:ascii="Times New Roman" w:hAnsi="Times New Roman" w:cs="Times New Roman"/>
          <w:color w:val="000000"/>
          <w:sz w:val="24"/>
          <w:szCs w:val="24"/>
          <w:lang w:val="en-US"/>
        </w:rPr>
        <w:t xml:space="preserve"> , low birth weight and height, children &lt;6 years, congenital lung diseases (bronchopulmonary dysplasia, cystic fibrosis), cardiac or immune diseases, neuromuscular disorders, Down syndrome, as well as a family history of atopy and/or asthma; </w:t>
      </w:r>
      <w:r w:rsidR="001031E1" w:rsidRPr="00EE3022">
        <w:rPr>
          <w:rFonts w:ascii="Times New Roman" w:hAnsi="Times New Roman" w:cs="Times New Roman"/>
          <w:i/>
          <w:iCs/>
          <w:color w:val="000000"/>
          <w:sz w:val="24"/>
          <w:szCs w:val="24"/>
          <w:lang w:val="en-US"/>
        </w:rPr>
        <w:t xml:space="preserve">environmental </w:t>
      </w:r>
      <w:r w:rsidR="001031E1" w:rsidRPr="00EE3022">
        <w:rPr>
          <w:rFonts w:ascii="Times New Roman" w:hAnsi="Times New Roman" w:cs="Times New Roman"/>
          <w:color w:val="000000"/>
          <w:sz w:val="24"/>
          <w:szCs w:val="24"/>
          <w:lang w:val="en-US"/>
        </w:rPr>
        <w:t xml:space="preserve">factors, such as maternal smoking, indoor smoke pollution, etc.; and </w:t>
      </w:r>
      <w:r w:rsidR="001031E1" w:rsidRPr="00EA3985">
        <w:rPr>
          <w:rFonts w:ascii="Times New Roman" w:hAnsi="Times New Roman" w:cs="Times New Roman"/>
          <w:i/>
          <w:iCs/>
          <w:color w:val="000000"/>
          <w:sz w:val="24"/>
          <w:szCs w:val="24"/>
          <w:lang w:val="en-US"/>
        </w:rPr>
        <w:t>social factors</w:t>
      </w:r>
      <w:r w:rsidR="001031E1" w:rsidRPr="00EE3022">
        <w:rPr>
          <w:rFonts w:ascii="Times New Roman" w:hAnsi="Times New Roman" w:cs="Times New Roman"/>
          <w:color w:val="000000"/>
          <w:sz w:val="24"/>
          <w:szCs w:val="24"/>
          <w:lang w:val="en-US"/>
        </w:rPr>
        <w:t>, which include living with siblings or crowded living conditions, among others</w:t>
      </w:r>
      <w:r w:rsidR="00386456" w:rsidRPr="00EE3022">
        <w:rPr>
          <w:rFonts w:ascii="Times New Roman" w:hAnsi="Times New Roman" w:cs="Times New Roman"/>
          <w:color w:val="000000"/>
          <w:sz w:val="24"/>
          <w:szCs w:val="24"/>
          <w:lang w:val="en-US"/>
        </w:rPr>
        <w:t xml:space="preserve"> </w:t>
      </w:r>
      <w:r w:rsidR="001031E1" w:rsidRPr="00EE3022">
        <w:rPr>
          <w:rFonts w:ascii="Times New Roman" w:hAnsi="Times New Roman" w:cs="Times New Roman"/>
          <w:color w:val="000000"/>
          <w:sz w:val="24"/>
          <w:szCs w:val="24"/>
          <w:lang w:val="en-US"/>
        </w:rPr>
        <w:fldChar w:fldCharType="begin"/>
      </w:r>
      <w:r w:rsidR="001031E1" w:rsidRPr="00EE3022">
        <w:rPr>
          <w:rFonts w:ascii="Times New Roman" w:hAnsi="Times New Roman" w:cs="Times New Roman"/>
          <w:color w:val="000000"/>
          <w:sz w:val="24"/>
          <w:szCs w:val="24"/>
          <w:lang w:val="en-US"/>
        </w:rPr>
        <w:instrText xml:space="preserve"> ADDIN ZOTERO_ITEM CSL_CITATION {"citationID":"A1GtxqPk","properties":{"formattedCitation":"[12]","plainCitation":"[12]","noteIndex":0},"citationItems":[{"id":"3wKIw2bd/fYRBQH65","uris":["http://zotero.org/groups/2141613/items/LGD7D2EJ"],"itemData":{"id":71920,"type":"article-journal","container-title":"Pediatrics in Review","DOI":"10.1542/pir.35-12-519","ISSN":"0191-9601, 1526-3347","issue":"12","journalAbbreviation":"Pediatrics in                 Review","language":"en","page":"519-530","source":"DOI.org (Crossref)","title":"Respiratory Syncytial Virus Infection and Bronchiolitis","volume":"35","author":[{"family":"Piedimonte","given":"Giovanni"},{"family":"Perez","given":"Miriam K."}],"issued":{"date-parts":[["2014"]]}}}],"schema":"https://github.com/citation-style-language/schema/raw/master/csl-citation.json"} </w:instrText>
      </w:r>
      <w:r w:rsidR="001031E1" w:rsidRPr="00EE3022">
        <w:rPr>
          <w:rFonts w:ascii="Times New Roman" w:hAnsi="Times New Roman" w:cs="Times New Roman"/>
          <w:color w:val="000000"/>
          <w:sz w:val="24"/>
          <w:szCs w:val="24"/>
          <w:lang w:val="en-US"/>
        </w:rPr>
        <w:fldChar w:fldCharType="separate"/>
      </w:r>
      <w:r w:rsidR="001031E1" w:rsidRPr="00EE3022">
        <w:rPr>
          <w:rFonts w:ascii="Times New Roman" w:hAnsi="Times New Roman" w:cs="Times New Roman"/>
          <w:sz w:val="24"/>
          <w:lang w:val="en-US"/>
        </w:rPr>
        <w:t>[12]</w:t>
      </w:r>
      <w:r w:rsidR="001031E1" w:rsidRPr="00EE3022">
        <w:rPr>
          <w:rFonts w:ascii="Times New Roman" w:hAnsi="Times New Roman" w:cs="Times New Roman"/>
          <w:color w:val="000000"/>
          <w:sz w:val="24"/>
          <w:szCs w:val="24"/>
          <w:lang w:val="en-US"/>
        </w:rPr>
        <w:fldChar w:fldCharType="end"/>
      </w:r>
      <w:r w:rsidR="001031E1" w:rsidRPr="00EE3022">
        <w:rPr>
          <w:rFonts w:ascii="Times New Roman" w:hAnsi="Times New Roman" w:cs="Times New Roman"/>
          <w:color w:val="000000"/>
          <w:sz w:val="24"/>
          <w:szCs w:val="24"/>
          <w:lang w:val="en-US"/>
        </w:rPr>
        <w:t xml:space="preserve">. </w:t>
      </w:r>
    </w:p>
    <w:p w14:paraId="5667A408" w14:textId="33F5B6C1" w:rsidR="000128A7" w:rsidRPr="00EE3022" w:rsidRDefault="001031E1">
      <w:pPr>
        <w:spacing w:line="360" w:lineRule="auto"/>
        <w:jc w:val="both"/>
        <w:rPr>
          <w:rFonts w:ascii="Times New Roman" w:hAnsi="Times New Roman" w:cs="Times New Roman"/>
          <w:color w:val="000000"/>
          <w:sz w:val="24"/>
          <w:szCs w:val="24"/>
          <w:lang w:val="en-US"/>
        </w:rPr>
      </w:pPr>
      <w:r w:rsidRPr="00EE3022">
        <w:rPr>
          <w:rFonts w:ascii="Times New Roman" w:hAnsi="Times New Roman" w:cs="Times New Roman"/>
          <w:color w:val="000000"/>
          <w:sz w:val="24"/>
          <w:szCs w:val="24"/>
          <w:lang w:val="en-US"/>
        </w:rPr>
        <w:lastRenderedPageBreak/>
        <w:t xml:space="preserve">Although most cases of RSV in healthy infants are mild, the course of the disease is unpredictable. In other words, it is difficult to predict which infants will develop severe disease, and which will require hospitalization, oxygen support or other palliative care. This results in substantial clinical and economic burden (outpatient </w:t>
      </w:r>
      <w:r w:rsidR="00806784">
        <w:rPr>
          <w:rFonts w:ascii="Times New Roman" w:hAnsi="Times New Roman" w:cs="Times New Roman"/>
          <w:color w:val="000000"/>
          <w:sz w:val="24"/>
          <w:szCs w:val="24"/>
          <w:lang w:val="en-US"/>
        </w:rPr>
        <w:t>consultations</w:t>
      </w:r>
      <w:r w:rsidRPr="00EE3022">
        <w:rPr>
          <w:rFonts w:ascii="Times New Roman" w:hAnsi="Times New Roman" w:cs="Times New Roman"/>
          <w:color w:val="000000"/>
          <w:sz w:val="24"/>
          <w:szCs w:val="24"/>
          <w:lang w:val="en-US"/>
        </w:rPr>
        <w:t xml:space="preserve">, emergency </w:t>
      </w:r>
      <w:r w:rsidR="00806784">
        <w:rPr>
          <w:rFonts w:ascii="Times New Roman" w:hAnsi="Times New Roman" w:cs="Times New Roman"/>
          <w:color w:val="000000"/>
          <w:sz w:val="24"/>
          <w:szCs w:val="24"/>
          <w:lang w:val="en-US"/>
        </w:rPr>
        <w:t>care</w:t>
      </w:r>
      <w:r w:rsidRPr="00EE3022">
        <w:rPr>
          <w:rFonts w:ascii="Times New Roman" w:hAnsi="Times New Roman" w:cs="Times New Roman"/>
          <w:color w:val="000000"/>
          <w:sz w:val="24"/>
          <w:szCs w:val="24"/>
          <w:lang w:val="en-US"/>
        </w:rPr>
        <w:t xml:space="preserve">, hospitalizations, or even pediatric intensive care) and, in some cases, death. Although RSV deaths are infrequent in high-income industrialized countries (including Spain), they may occur in healthy infants without underlying pathologies or </w:t>
      </w:r>
      <w:r w:rsidR="00386456" w:rsidRPr="00EE3022">
        <w:rPr>
          <w:rFonts w:ascii="Times New Roman" w:hAnsi="Times New Roman" w:cs="Times New Roman"/>
          <w:color w:val="000000"/>
          <w:sz w:val="24"/>
          <w:szCs w:val="24"/>
          <w:lang w:val="en-US"/>
        </w:rPr>
        <w:t xml:space="preserve">risk. </w:t>
      </w:r>
      <w:r w:rsidRPr="00EE3022">
        <w:rPr>
          <w:rFonts w:ascii="Times New Roman" w:hAnsi="Times New Roman" w:cs="Times New Roman"/>
          <w:color w:val="000000"/>
          <w:sz w:val="24"/>
          <w:szCs w:val="24"/>
          <w:lang w:val="en-US"/>
        </w:rPr>
        <w:fldChar w:fldCharType="begin"/>
      </w:r>
      <w:r w:rsidRPr="00EE3022">
        <w:rPr>
          <w:rFonts w:ascii="Times New Roman" w:hAnsi="Times New Roman" w:cs="Times New Roman"/>
          <w:color w:val="000000"/>
          <w:sz w:val="24"/>
          <w:szCs w:val="24"/>
          <w:lang w:val="en-US"/>
        </w:rPr>
        <w:instrText xml:space="preserve"> ADDIN ZOTERO_ITEM CSL_CITATION {"citationID":"iNQN57nf","properties":{"formattedCitation":"[13\\uc0\\u8211{}16]","plainCitation":"[13–16]","noteIndex":0},"citationItems":[{"id":"3wKIw2bd/DEquXKmT","uris":["http://zotero.org/groups/2141613/items/5MFHAN5W"],"itemData":{"id":71918,"type":"article-journal","abstract":"Background We have previously estimated that respiratory syncytial virus (RSV) was associated with 22% of all episodes of (severe) acute lower respiratory infection (ALRI) resulting in 55 000 to 199 000 deaths in children younger than 5 years in 2005. In the past 5 years, major research activity on RSV has yielded substantial new data from developing countries. With a considerably expanded dataset from a large international collaboration, we aimed to estimate the global incidence, hospital admission rate, and mortality from RSV-ALRI episodes in young children in 2015.","container-title":"The Lancet","DOI":"10.1016/S0140-6736(17)30938-8","ISSN":"01406736","issue":"10098","journalAbbreviation":"The Lancet","language":"en","page":"946-958","source":"DOI.org (Crossref)","title":"Global, regional, and national disease burden estimates of acute lower respiratory infections due to respiratory syncytial virus in young children in 2015: a systematic review and modelling study","title-short":"Global, regional, and national disease burden estimates of acute lower respiratory infections due to respiratory syncytial virus in young children in 2015","volume":"390","author":[{"family":"Shi","given":"Ting"},{"family":"McAllister","given":"David A"},{"family":"O'Brien","given":"Katherine L"},{"family":"Simoes","given":"Eric A F"},{"family":"Madhi","given":"Shabir A"},{"family":"Gessner","given":"Bradford D"},{"family":"Polack","given":"Fernando P"},{"family":"Balsells","given":"Evelyn"},{"family":"Acacio","given":"Sozinho"},{"family":"Aguayo","given":"Claudia"},{"family":"Alassani","given":"Issifou"},{"family":"Ali","given":"Asad"},{"family":"Antonio","given":"Martin"},{"family":"Awasthi","given":"Shally"},{"family":"Awori","given":"Juliet O"},{"family":"Azziz-Baumgartner","given":"Eduardo"},{"family":"Baggett","given":"Henry C"},{"family":"Baillie","given":"Vicky L"},{"family":"Balmaseda","given":"Angel"},{"family":"Barahona","given":"Alfredo"},{"family":"Basnet","given":"Sudha"},{"family":"Bassat","given":"Quique"},{"family":"Basualdo","given":"Wilma"},{"family":"Bigogo","given":"Godfrey"},{"family":"Bont","given":"Louis"},{"family":"Breiman","given":"Robert F"},{"family":"Brooks","given":"W Abdullah"},{"family":"Broor","given":"Shobha"},{"family":"Bruce","given":"Nigel"},{"family":"Bruden","given":"Dana"},{"family":"Buchy","given":"Philippe"},{"family":"Campbell","given":"Stuart"},{"family":"Carosone-Link","given":"Phyllis"},{"family":"Chadha","given":"Mandeep"},{"family":"Chipeta","given":"James"},{"family":"Chou","given":"Monidarin"},{"family":"Clara","given":"Wilfrido"},{"family":"Cohen","given":"Cheryl"},{"family":"Cuellar","given":"Elizabeth","non-dropping-particle":"de"},{"family":"Dang","given":"Duc-Anh"},{"family":"Dash-yandag","given":"Budragchaagiin"},{"family":"Deloria-Knoll","given":"Maria"},{"family":"Dherani","given":"Mukesh"},{"family":"Eap","given":"Tekchheng"},{"family":"Ebruke","given":"Bernard E"},{"family":"Echavarria","given":"Marcela"},{"family":"Freitas Lázaro Emediato","given":"Carla Cecília","non-dropping-particle":"de"},{"family":"Fasce","given":"Rodrigo A"},{"family":"Feikin","given":"Daniel R"},{"family":"Feng","given":"Luzhao"},{"family":"Gentile","given":"Angela"},{"family":"Gordon","given":"Aubree"},{"family":"Goswami","given":"Doli"},{"family":"Goyet","given":"Sophie"},{"family":"Groome","given":"Michelle"},{"family":"Halasa","given":"Natasha"},{"family":"Hirve","given":"Siddhivinayak"},{"family":"Homaira","given":"Nusrat"},{"family":"Howie","given":"Stephen R C"},{"family":"Jara","given":"Jorge"},{"family":"Jroundi","given":"Imane"},{"family":"Kartasasmita","given":"Cissy B"},{"family":"Khuri-Bulos","given":"Najwa"},{"family":"Kotloff","given":"Karen L"},{"family":"Krishnan","given":"Anand"},{"family":"Libster","given":"Romina"},{"family":"Lopez","given":"Olga"},{"family":"Lucero","given":"Marilla G"},{"family":"Lucion","given":"Florencia"},{"family":"Lupisan","given":"Socorro P"},{"family":"Marcone","given":"Debora N"},{"family":"McCracken","given":"John P"},{"family":"Mejia","given":"Mario"},{"family":"Moisi","given":"Jennifer C"},{"family":"Montgomery","given":"Joel M"},{"family":"Moore","given":"David P"},{"family":"Moraleda","given":"Cinta"},{"family":"Moyes","given":"Jocelyn"},{"family":"Munywoki","given":"Patrick"},{"family":"Mutyara","given":"Kuswandewi"},{"family":"Nicol","given":"Mark P"},{"family":"Nokes","given":"D James"},{"family":"Nymadawa","given":"Pagbajabyn"},{"family":"Costa Oliveira","given":"Maria Tereza","non-dropping-particle":"da"},{"family":"Oshitani","given":"Histoshi"},{"family":"Pandey","given":"Nitin"},{"family":"Paranhos-Baccalà","given":"Gláucia"},{"family":"Phillips","given":"Lia N"},{"family":"Picot","given":"Valentina Sanchez"},{"family":"Rahman","given":"Mustafizur"},{"family":"Rakoto-Andrianarivelo","given":"Mala"},{"family":"Rasmussen","given":"Zeba A"},{"family":"Rath","given":"Barbara A"},{"family":"Robinson","given":"Annick"},{"family":"Romero","given":"Candice"},{"family":"Russomando","given":"Graciela"},{"family":"Salimi","given":"Vahid"},{"family":"Sawatwong","given":"Pongpun"},{"family":"Scheltema","given":"Nienke"},{"family":"Schweiger","given":"Brunhilde"},{"family":"Scott","given":"J Anthony G"},{"family":"Seidenberg","given":"Phil"},{"family":"Shen","given":"Kunling"},{"family":"Singleton","given":"Rosalyn"},{"family":"Sotomayor","given":"Viviana"},{"family":"Strand","given":"Tor A"},{"family":"Sutanto","given":"Agustinus"},{"family":"Sylla","given":"Mariam"},{"family":"Tapia","given":"Milagritos D"},{"family":"Thamthitiwat","given":"Somsak"},{"family":"Thomas","given":"Elizabeth D"},{"family":"Tokarz","given":"Rafal"},{"family":"Turner","given":"Claudia"},{"family":"Venter","given":"Marietjie"},{"family":"Waicharoen","given":"Sunthareeya"},{"family":"Wang","given":"Jianwei"},{"family":"Watthanaworawit","given":"Wanitda"},{"family":"Yoshida","given":"Lay-Myint"},{"family":"Yu","given":"Hongjie"},{"family":"Zar","given":"Heather J"},{"family":"Campbell","given":"Harry"},{"family":"Nair","given":"Harish"}],"issued":{"date-parts":[["2017"]]}},"label":"page"},{"id":"3wKIw2bd/So9jZnhi","uris":["http://zotero.org/groups/2141613/items/ZFBPCS7V"],"itemData":{"id":76907,"type":"article-journal","abstract":"INTRODUCTION: The REGAL (RSV Evidence-a Geographical Archive of the Literature) series provide a comprehensive review of the published evidence in the field of respiratory syncytial virus (RSV) in Western countries over the last 20 years. The objective of this fifth publication was to determine the long-term respiratory morbidity associated with RSV lower respiratory tract infection (RSV LRTI) in early life.\nMETHODS: A systematic review was undertaken for articles published between January 1, 1995 and December 31, 2015. This was supplemented by inclusion of papers published whilst drafting the manuscript. Studies reporting data on the incidence and long-term wheezing and asthma following RSV LRTI in early life were included. Study quality and strength of evidence (SOE) were graded using recognized criteria.\nRESULTS: A total of 2337 studies were identified of which 74 were included. Prospective, epidemiologic studies consistently demonstrated that RSV LRTI is a significant risk factor for on-going respiratory morbidity characterized by transient early wheezing and recurrent wheezing and asthma within the first decade of life and possibly into adolescence and adulthood (high SOE). RSV LRTI was also associated with impaired lung function in these children (high SOE). Respiratory morbidity has been shown to result in reduced quality of life and increased healthcare resource use (moderate SOE). The mechanisms through which RSV contributes to wheezing/asthma development are not fully understood, but appear to relate to the viral injury, preexisting abnormal lung function and/or other factors that predispose to wheezing/asthma, including genetic susceptibility, altered immunology, eosinophilia, and associated risk factors such as exposure to environmental tobacco smoke (high SOE).\nCONCLUSION: There is growing evidence that RSV LRTI in early childhood is associated with long-term wheezing and asthma and impaired lung function. Future research should aim to fully elucidate the pathophysiological mechanisms through which RSV causes recurrent wheezing/asthma.","container-title":"Infectious Diseases and Therapy","DOI":"10.1007/s40121-017-0151-4","ISSN":"2193-8229","issue":"2","journalAbbreviation":"Infect Dis Ther","language":"eng","note":"PMID: 28357706\nPMCID: PMC5446364","page":"173-197","source":"PubMed","title":"The Burden and Long-term Respiratory Morbidity Associated with Respiratory Syncytial Virus Infection in Early Childhood","volume":"6","author":[{"family":"Fauroux","given":"Brigitte"},{"family":"Simões","given":"Eric A. F."},{"family":"Checchia","given":"Paul A."},{"family":"Paes","given":"Bosco"},{"family":"Figueras-Aloy","given":"Josep"},{"family":"Manzoni","given":"Paolo"},{"family":"Bont","given":"Louis"},{"family":"Carbonell-Estrany","given":"Xavier"}],"issued":{"date-parts":[["2017"]]}},"label":"page"},{"id":"3wKIw2bd/x6VHY8I2","uris":["http://zotero.org/groups/2141613/items/95V4U74X"],"itemData":{"id":76910,"type":"article-journal","abstract":"Aims: To examine healthcare resource utilization (HRU) and costs within 12 months after hospitalization for respiratory syncytial virus (RSVH) or unspecified bronchiolitis (UBH) in infants.Materials and methods: Infants born July 1, 2009-June 30, 2015 were identified in the MarketScan Medicaid and Commercial databases and were assigned to one of three cohorts: RSVH (with/without UBH), UBH, or comparator (no RSVH or UBH). Each infant was identified as pre-term (5 groups) or term (2 groups) based on weeks gestational age (wGA). Index dates were the first admission dates for RSVH or UBH infants and were randomly assigned to comparator infants based on time from birth to index in the RSVH cohort. HRU, all-cause costs, and incremental cost differences between hospitalized and comparator infants were assessed over 12 months post-index with and without the index hospitalization. Results were propensity score weighted to balance pre-index characteristics across hospitalization cohorts.Results: This study identified 15,872 RSVH infants, 6,081 UBH infants, and 986,087 comparator infants in the Medicaid population and 5,755 RSVH infants, 1,888 UBH infants, and 696,302 comparator infants in the commercial population. HRU in follow-up was greater for RSVH and UBH infants relative to comparator infants in both populations, including hospitalizations (commercial: 7.4%, 11.0%, 1.7%; Medicaid: 12.3%, 15.3%, 3.2%) and emergency department visits (commercial: 33.0%, 33.3%, 17.2%; Medicaid: 65.8%, 68.5%, 51.4%). HRU was highest among RSVH and UBH infants born at &lt;29 wGA. Hospitalized infants had numerically higher follow-up costs than comparator infants, with incremental differences reaching $19,896 among Medicaid UBH infants and $37,417 among commercial RSVH infants.Limitations: RSV/UB may be miscoded in claims data.Conclusions: Infants hospitalized for RSV or UB largely had greater subsequent HRU and costs in the first year after index hospitalization than comparator infants. Absolute and incremental follow-up costs relative to comparator infants were highest among infants &lt;29 wGA.","container-title":"Journal of Medical Economics","DOI":"10.1080/13696998.2019.1658592","ISSN":"1941-837X","issue":"2","journalAbbreviation":"J Med Econ","language":"eng","note":"PMID: 31432723","page":"139-147","source":"PubMed","title":"Healthcare resource utilization and costs in the 12 months following hospitalization for respiratory syncytial virus or unspecified bronchiolitis among infants","volume":"23","author":[{"family":"Ledbetter","given":"Joel"},{"family":"Brannman","given":"Lance"},{"family":"Wade","given":"Sally W."},{"family":"Gonzales","given":"Tara"},{"family":"Kong","given":"Amanda M."}],"issued":{"date-parts":[["2020"]]}},"label":"page"},{"id":"3wKIw2bd/jRWRbOrc","uris":["http://zotero.org/groups/2141613/items/QD46G8IK"],"itemData":{"id":76913,"type":"article-journal","abstract":"Limited research exists on the economic impact of respiratory syncytial virus lower respiratory infection (RSV LRI) among vulnerable infant populations. This study evaluated healthcare costs of full-term and late-preterm Medicaid infants with RSV LRI within 1 year of infection. Medicaid administrative claims were used to conduct a retrospective study of infants born 2003-2005. Full-term and late-preterm infants &lt;1 year old were assigned to groups based on RSV LRI and unspecified bronchiolitis/pneumonia (UBP) diagnosis codes and stratified by setting of diagnosis. Infants without evidence of RSV LRI/UBP were selected as a comparison group. Economic and clinical outcomes were analyzed descriptively using propensity score weighting, and logged ordinary least squares models were used to examine relationship between RSV and costs incurred within 1 year of infection. RSV LRI and UBP infants, regardless of gestational age or healthcare setting, were more likely to experience respiratory diagnoses of wheezing and infantile asthma versus comparisons. Adjusted and weighted healthcare costs were significantly higher for all groups of RSV LRI and UBP infants relative to comparison infants (P &lt; 0.001). Among late-preterm infants with inpatient and outpatient RSV, marginal costs compared with controls were $17,465 and $2,158, respectively. Costs for RSV LRI and UBP Medicaid infants are substantial. While much of the costs result from initial RSV episodes, higher post-episode costs and rates of respiratory events, procedures, and medications in RSV and UBP infants versus comparisons indicate long-term economic impact from infection and the impact is greater among late-preterm compared to full-term infants.","container-title":"Pediatric Pulmonology","DOI":"10.1002/ppul.21244","ISSN":"1099-0496","issue":"8","journalAbbreviation":"Pediatr Pulmonol","language":"eng","note":"PMID: 20632403","page":"772-781","source":"PubMed","title":"Healthcare costs within a year of respiratory syncytial virus among Medicaid infants","volume":"45","author":[{"family":"Palmer","given":"Liisa"},{"family":"Hall","given":"Caroline B."},{"family":"Katkin","given":"Julie P."},{"family":"Shi","given":"Nianwen"},{"family":"Masaquel","given":"Anthony S."},{"family":"McLaurin","given":"Kimmie K."},{"family":"Mahadevia","given":"Parthiv J."}],"issued":{"date-parts":[["2010"]]}},"label":"page"}],"schema":"https://github.com/citation-style-language/schema/raw/master/csl-citation.json"} </w:instrText>
      </w:r>
      <w:r w:rsidRPr="00EE3022">
        <w:rPr>
          <w:rFonts w:ascii="Times New Roman" w:hAnsi="Times New Roman" w:cs="Times New Roman"/>
          <w:color w:val="000000"/>
          <w:sz w:val="24"/>
          <w:szCs w:val="24"/>
          <w:lang w:val="en-US"/>
        </w:rPr>
        <w:fldChar w:fldCharType="separate"/>
      </w:r>
      <w:r w:rsidRPr="00EE3022">
        <w:rPr>
          <w:rFonts w:ascii="Times New Roman" w:hAnsi="Times New Roman" w:cs="Times New Roman"/>
          <w:sz w:val="24"/>
          <w:szCs w:val="24"/>
          <w:lang w:val="en-US"/>
        </w:rPr>
        <w:t>[13-16]</w:t>
      </w:r>
      <w:r w:rsidRPr="00EE3022">
        <w:rPr>
          <w:rFonts w:ascii="Times New Roman" w:hAnsi="Times New Roman" w:cs="Times New Roman"/>
          <w:color w:val="000000"/>
          <w:sz w:val="24"/>
          <w:szCs w:val="24"/>
          <w:lang w:val="en-US"/>
        </w:rPr>
        <w:fldChar w:fldCharType="end"/>
      </w:r>
      <w:r w:rsidRPr="00EE3022">
        <w:rPr>
          <w:rFonts w:ascii="Times New Roman" w:hAnsi="Times New Roman" w:cs="Times New Roman"/>
          <w:color w:val="000000"/>
          <w:sz w:val="24"/>
          <w:szCs w:val="24"/>
          <w:lang w:val="en-US"/>
        </w:rPr>
        <w:t>.</w:t>
      </w:r>
    </w:p>
    <w:p w14:paraId="610CB101" w14:textId="77777777" w:rsidR="000128A7" w:rsidRPr="00EE3022" w:rsidRDefault="001031E1">
      <w:pPr>
        <w:pStyle w:val="Ttulo1"/>
        <w:spacing w:after="240"/>
        <w:rPr>
          <w:lang w:val="en-US"/>
        </w:rPr>
      </w:pPr>
      <w:bookmarkStart w:id="1" w:name="_Toc135393159"/>
      <w:r w:rsidRPr="00EE3022">
        <w:rPr>
          <w:lang w:val="en-US"/>
        </w:rPr>
        <w:t xml:space="preserve">2. </w:t>
      </w:r>
      <w:r w:rsidR="000D109C" w:rsidRPr="00EE3022">
        <w:rPr>
          <w:lang w:val="en-US"/>
        </w:rPr>
        <w:t xml:space="preserve">The </w:t>
      </w:r>
      <w:r w:rsidR="00FF78B9" w:rsidRPr="00EE3022">
        <w:rPr>
          <w:lang w:val="en-US"/>
        </w:rPr>
        <w:t>MCDA</w:t>
      </w:r>
      <w:bookmarkEnd w:id="1"/>
    </w:p>
    <w:p w14:paraId="3EEF54FF" w14:textId="77777777" w:rsidR="000128A7" w:rsidRPr="00EE3022" w:rsidRDefault="001031E1">
      <w:pPr>
        <w:pStyle w:val="Ttulo2"/>
        <w:spacing w:before="240" w:after="240"/>
        <w:rPr>
          <w:bCs/>
          <w:iCs/>
          <w:lang w:val="en-US"/>
        </w:rPr>
      </w:pPr>
      <w:bookmarkStart w:id="2" w:name="_Toc135393160"/>
      <w:r w:rsidRPr="00EE3022">
        <w:rPr>
          <w:bCs/>
          <w:iCs/>
          <w:lang w:val="en-US"/>
        </w:rPr>
        <w:t xml:space="preserve">2.1 </w:t>
      </w:r>
      <w:r w:rsidR="00386456" w:rsidRPr="00EE3022">
        <w:rPr>
          <w:bCs/>
          <w:iCs/>
          <w:lang w:val="en-US"/>
        </w:rPr>
        <w:t>Methodology</w:t>
      </w:r>
      <w:bookmarkEnd w:id="2"/>
    </w:p>
    <w:p w14:paraId="7E9C881C" w14:textId="77777777" w:rsidR="000128A7" w:rsidRPr="00EE3022" w:rsidRDefault="001031E1">
      <w:pPr>
        <w:spacing w:line="360" w:lineRule="auto"/>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Methodologically, all MCDA contemplates the following common stages or principles: </w:t>
      </w:r>
    </w:p>
    <w:p w14:paraId="561E9354"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Problem definition</w:t>
      </w:r>
      <w:r w:rsidRPr="00EE3022">
        <w:rPr>
          <w:rFonts w:ascii="Times New Roman" w:hAnsi="Times New Roman" w:cs="Times New Roman"/>
          <w:sz w:val="24"/>
          <w:szCs w:val="24"/>
          <w:lang w:val="en-US"/>
        </w:rPr>
        <w:t>: identify the objectives, the type of decision, the alternatives, the members of the committee and the required results.</w:t>
      </w:r>
    </w:p>
    <w:p w14:paraId="6E06F2C7"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Criteria selection</w:t>
      </w:r>
      <w:r w:rsidRPr="00EE3022">
        <w:rPr>
          <w:rFonts w:ascii="Times New Roman" w:hAnsi="Times New Roman" w:cs="Times New Roman"/>
          <w:sz w:val="24"/>
          <w:szCs w:val="24"/>
          <w:lang w:val="en-US"/>
        </w:rPr>
        <w:t>: identifying and structuring the value elements or criteria that are important for evaluating the alternatives in question.</w:t>
      </w:r>
    </w:p>
    <w:p w14:paraId="1B9CA066"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Measurement of alternatives</w:t>
      </w:r>
      <w:r w:rsidRPr="00EE3022">
        <w:rPr>
          <w:rFonts w:ascii="Times New Roman" w:hAnsi="Times New Roman" w:cs="Times New Roman"/>
          <w:sz w:val="24"/>
          <w:szCs w:val="24"/>
          <w:lang w:val="en-US"/>
        </w:rPr>
        <w:t>: gather the available evidence for each criterion.</w:t>
      </w:r>
    </w:p>
    <w:p w14:paraId="62C2364E"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Weighting of the criteria</w:t>
      </w:r>
      <w:r w:rsidRPr="00EE3022">
        <w:rPr>
          <w:rFonts w:ascii="Times New Roman" w:hAnsi="Times New Roman" w:cs="Times New Roman"/>
          <w:sz w:val="24"/>
          <w:szCs w:val="24"/>
          <w:lang w:val="en-US"/>
        </w:rPr>
        <w:t>: to know the relative importance that each committee member gives to each criterion according to their individual preferences.</w:t>
      </w:r>
    </w:p>
    <w:p w14:paraId="4FAA3297"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Scoring of the alternatives</w:t>
      </w:r>
      <w:r w:rsidRPr="00EE3022">
        <w:rPr>
          <w:rFonts w:ascii="Times New Roman" w:hAnsi="Times New Roman" w:cs="Times New Roman"/>
          <w:sz w:val="24"/>
          <w:szCs w:val="24"/>
          <w:lang w:val="en-US"/>
        </w:rPr>
        <w:t>: to know the score that each member of the committee gives to the intervention evaluated in each criterion.</w:t>
      </w:r>
    </w:p>
    <w:p w14:paraId="4F63A60B"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Calculation of the total value of the alternatives</w:t>
      </w:r>
      <w:r w:rsidRPr="00EE3022">
        <w:rPr>
          <w:rFonts w:ascii="Times New Roman" w:hAnsi="Times New Roman" w:cs="Times New Roman"/>
          <w:sz w:val="24"/>
          <w:szCs w:val="24"/>
          <w:lang w:val="en-US"/>
        </w:rPr>
        <w:t>: aggregate the scores of the alternatives, weighted by the weights of the criteria, to obtain the total estimated value.</w:t>
      </w:r>
    </w:p>
    <w:p w14:paraId="3CE5D002" w14:textId="77777777" w:rsidR="000128A7" w:rsidRPr="00EE3022" w:rsidRDefault="001031E1">
      <w:pPr>
        <w:pStyle w:val="Prrafodelista"/>
        <w:numPr>
          <w:ilvl w:val="0"/>
          <w:numId w:val="1"/>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Interpretation of results</w:t>
      </w:r>
      <w:r w:rsidRPr="00EE3022">
        <w:rPr>
          <w:rFonts w:ascii="Times New Roman" w:hAnsi="Times New Roman" w:cs="Times New Roman"/>
          <w:sz w:val="24"/>
          <w:szCs w:val="24"/>
          <w:lang w:val="en-US"/>
        </w:rPr>
        <w:t>: qualify and interpret the results of the MCDA, including a possible sensitivity analysis, to support decision making.</w:t>
      </w:r>
    </w:p>
    <w:p w14:paraId="5769B8AA" w14:textId="4EE2F6AF" w:rsidR="000128A7" w:rsidRPr="00EE3022" w:rsidRDefault="001031E1">
      <w:pPr>
        <w:spacing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When determining the criteria that are relevant in decision making, there are two options: to create an ad hoc framework specific to that </w:t>
      </w:r>
      <w:r w:rsidR="006469C2" w:rsidRPr="00EE3022">
        <w:rPr>
          <w:rFonts w:ascii="Times New Roman" w:hAnsi="Times New Roman" w:cs="Times New Roman"/>
          <w:sz w:val="24"/>
          <w:szCs w:val="24"/>
          <w:lang w:val="en-US"/>
        </w:rPr>
        <w:t>decision</w:t>
      </w:r>
      <w:r w:rsidRPr="00EE3022">
        <w:rPr>
          <w:rFonts w:ascii="Times New Roman" w:hAnsi="Times New Roman" w:cs="Times New Roman"/>
          <w:sz w:val="24"/>
          <w:szCs w:val="24"/>
          <w:lang w:val="en-US"/>
        </w:rPr>
        <w:t xml:space="preserve"> or to use a standard framework and adapt it to that situation. In either case, the criteria must meet certain </w:t>
      </w:r>
      <w:r w:rsidRPr="00EE3022">
        <w:rPr>
          <w:rFonts w:ascii="Times New Roman" w:hAnsi="Times New Roman" w:cs="Times New Roman"/>
          <w:b/>
          <w:bCs/>
          <w:sz w:val="24"/>
          <w:szCs w:val="24"/>
          <w:lang w:val="en-US"/>
        </w:rPr>
        <w:t xml:space="preserve">methodological requirements. </w:t>
      </w:r>
      <w:r w:rsidRPr="00EE3022">
        <w:rPr>
          <w:rFonts w:ascii="Times New Roman" w:hAnsi="Times New Roman" w:cs="Times New Roman"/>
          <w:b/>
          <w:sz w:val="24"/>
          <w:szCs w:val="24"/>
          <w:lang w:val="en-US"/>
        </w:rPr>
        <w:fldChar w:fldCharType="begin"/>
      </w:r>
      <w:r w:rsidR="001D4F38" w:rsidRPr="00EE3022">
        <w:rPr>
          <w:rFonts w:ascii="Times New Roman" w:hAnsi="Times New Roman" w:cs="Times New Roman"/>
          <w:b/>
          <w:sz w:val="24"/>
          <w:szCs w:val="24"/>
          <w:lang w:val="en-US"/>
        </w:rPr>
        <w:instrText xml:space="preserve"> ADDIN ZOTERO_ITEM CSL_CITATION {"citationID":"fBzEbCEn","properties":{"formattedCitation":"[17]","plainCitation":"[17]","noteIndex":0},"citationItems":[{"id":21952,"uris":["http://zotero.org/groups/337550/items/84CSJRTA"],"itemData":{"id":21952,"type":"article-journal","container-title":"Value in Health","DOI":"10.1016/j.jval.2015.12.003","ISSN":"10983015","issue":"1","language":"en","page":"1-13","source":"CrossRef","title":"Multiple Criteria Decision Analysis for Health Care Decision Making—An Introduction: Report 1 of the ISPOR MCDA Emerging Good Practices Task Force","title-short":"Multiple Criteria Decision Analysis for Health Care Decision Making—An Introduction","volume":"19","author":[{"family":"Thokala","given":"Praveen"},{"family":"Devlin","given":"Nancy"},{"family":"Marsh","given":"Kevin"},{"family":"Baltussen","given":"Rob"},{"family":"Boysen","given":"Meindert"},{"family":"Kalo","given":"Zoltan"},{"family":"Longrenn","given":"Thomas"},{"family":"Mussen","given":"Filip"},{"family":"Peacock","given":"Stuart"},{"family":"Watkins","given":"John"},{"family":"Ijzerman","given":"Maarten"}],"issued":{"date-parts":[["2016"]]}}}],"schema":"https://github.com/citation-style-language/schema/raw/master/csl-citation.json"} </w:instrText>
      </w:r>
      <w:r w:rsidRPr="00EE3022">
        <w:rPr>
          <w:rFonts w:ascii="Times New Roman" w:hAnsi="Times New Roman" w:cs="Times New Roman"/>
          <w:b/>
          <w:sz w:val="24"/>
          <w:szCs w:val="24"/>
          <w:lang w:val="en-US"/>
        </w:rPr>
        <w:fldChar w:fldCharType="separate"/>
      </w:r>
      <w:r w:rsidR="001D4F38" w:rsidRPr="00EE3022">
        <w:rPr>
          <w:rFonts w:ascii="Times New Roman" w:hAnsi="Times New Roman" w:cs="Times New Roman"/>
          <w:sz w:val="24"/>
          <w:lang w:val="en-US"/>
        </w:rPr>
        <w:t>[17]</w:t>
      </w:r>
      <w:r w:rsidRPr="00EE3022">
        <w:rPr>
          <w:rFonts w:ascii="Times New Roman" w:hAnsi="Times New Roman" w:cs="Times New Roman"/>
          <w:b/>
          <w:sz w:val="24"/>
          <w:szCs w:val="24"/>
          <w:lang w:val="en-US"/>
        </w:rPr>
        <w:fldChar w:fldCharType="end"/>
      </w:r>
      <w:r w:rsidRPr="00EE3022">
        <w:rPr>
          <w:rFonts w:ascii="Times New Roman" w:hAnsi="Times New Roman" w:cs="Times New Roman"/>
          <w:sz w:val="24"/>
          <w:szCs w:val="24"/>
          <w:lang w:val="en-US"/>
        </w:rPr>
        <w:t>:</w:t>
      </w:r>
    </w:p>
    <w:p w14:paraId="0DDE26BB" w14:textId="77777777" w:rsidR="000128A7" w:rsidRPr="00EE3022" w:rsidRDefault="001031E1">
      <w:pPr>
        <w:pStyle w:val="Prrafodelista"/>
        <w:numPr>
          <w:ilvl w:val="0"/>
          <w:numId w:val="2"/>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lastRenderedPageBreak/>
        <w:t>Completeness</w:t>
      </w:r>
      <w:r w:rsidRPr="00EE3022">
        <w:rPr>
          <w:rFonts w:ascii="Times New Roman" w:hAnsi="Times New Roman" w:cs="Times New Roman"/>
          <w:sz w:val="24"/>
          <w:szCs w:val="24"/>
          <w:lang w:val="en-US"/>
        </w:rPr>
        <w:t xml:space="preserve">: include all relevant components in the decision. </w:t>
      </w:r>
    </w:p>
    <w:p w14:paraId="1E8086AA" w14:textId="77777777" w:rsidR="000128A7" w:rsidRPr="00EE3022" w:rsidRDefault="001031E1">
      <w:pPr>
        <w:pStyle w:val="Prrafodelista"/>
        <w:numPr>
          <w:ilvl w:val="0"/>
          <w:numId w:val="2"/>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No redundancy</w:t>
      </w:r>
      <w:r w:rsidRPr="00EE3022">
        <w:rPr>
          <w:rFonts w:ascii="Times New Roman" w:hAnsi="Times New Roman" w:cs="Times New Roman"/>
          <w:sz w:val="24"/>
          <w:szCs w:val="24"/>
          <w:lang w:val="en-US"/>
        </w:rPr>
        <w:t>: components must not be duplicated.</w:t>
      </w:r>
    </w:p>
    <w:p w14:paraId="1FB698E0" w14:textId="77777777" w:rsidR="00731911" w:rsidRDefault="001031E1" w:rsidP="00731911">
      <w:pPr>
        <w:pStyle w:val="Prrafodelista"/>
        <w:numPr>
          <w:ilvl w:val="0"/>
          <w:numId w:val="2"/>
        </w:num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b/>
          <w:bCs/>
          <w:sz w:val="24"/>
          <w:szCs w:val="24"/>
          <w:lang w:val="en-US"/>
        </w:rPr>
        <w:t>Mutual independence</w:t>
      </w:r>
      <w:r w:rsidRPr="00EE3022">
        <w:rPr>
          <w:rFonts w:ascii="Times New Roman" w:hAnsi="Times New Roman" w:cs="Times New Roman"/>
          <w:sz w:val="24"/>
          <w:szCs w:val="24"/>
          <w:lang w:val="en-US"/>
        </w:rPr>
        <w:t>: the score of each component must be independent of the score of the other components.</w:t>
      </w:r>
    </w:p>
    <w:p w14:paraId="724E4068" w14:textId="2ADDF2C1" w:rsidR="000128A7" w:rsidRPr="00731911" w:rsidRDefault="001031E1" w:rsidP="00731911">
      <w:pPr>
        <w:pStyle w:val="Prrafodelista"/>
        <w:numPr>
          <w:ilvl w:val="0"/>
          <w:numId w:val="2"/>
        </w:numPr>
        <w:spacing w:after="120" w:line="360" w:lineRule="auto"/>
        <w:jc w:val="both"/>
        <w:rPr>
          <w:rFonts w:ascii="Times New Roman" w:hAnsi="Times New Roman" w:cs="Times New Roman"/>
          <w:sz w:val="24"/>
          <w:szCs w:val="24"/>
          <w:lang w:val="en-US"/>
        </w:rPr>
      </w:pPr>
      <w:r w:rsidRPr="00731911">
        <w:rPr>
          <w:rFonts w:ascii="Times New Roman" w:hAnsi="Times New Roman" w:cs="Times New Roman"/>
          <w:b/>
          <w:bCs/>
          <w:sz w:val="24"/>
          <w:szCs w:val="24"/>
          <w:lang w:val="en-US"/>
        </w:rPr>
        <w:t>Operationalization</w:t>
      </w:r>
      <w:r w:rsidRPr="00731911">
        <w:rPr>
          <w:rFonts w:ascii="Times New Roman" w:hAnsi="Times New Roman" w:cs="Times New Roman"/>
          <w:sz w:val="24"/>
          <w:szCs w:val="24"/>
          <w:lang w:val="en-US"/>
        </w:rPr>
        <w:t>: each component must be unambiguously defined and have data on which to base the assessment.</w:t>
      </w:r>
    </w:p>
    <w:p w14:paraId="3F09C6A0" w14:textId="77777777" w:rsidR="000128A7" w:rsidRPr="00EE3022" w:rsidRDefault="001031E1">
      <w:pPr>
        <w:pStyle w:val="Ttulo2"/>
        <w:spacing w:before="240" w:after="240"/>
        <w:rPr>
          <w:lang w:val="en-US"/>
        </w:rPr>
      </w:pPr>
      <w:bookmarkStart w:id="3" w:name="_Toc135393161"/>
      <w:r w:rsidRPr="00EE3022">
        <w:rPr>
          <w:lang w:val="en-US"/>
        </w:rPr>
        <w:t>2.2 An example</w:t>
      </w:r>
      <w:bookmarkEnd w:id="3"/>
    </w:p>
    <w:p w14:paraId="7515B0E1" w14:textId="58D51C64" w:rsidR="000128A7" w:rsidRPr="00EE3022" w:rsidRDefault="001031E1">
      <w:pPr>
        <w:spacing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To facilitate the understanding of the MCDA methodology, </w:t>
      </w:r>
      <w:r w:rsidRPr="00EE3022">
        <w:rPr>
          <w:rFonts w:ascii="Times New Roman" w:hAnsi="Times New Roman" w:cs="Times New Roman"/>
          <w:sz w:val="24"/>
          <w:szCs w:val="24"/>
          <w:u w:val="single"/>
          <w:lang w:val="en-US"/>
        </w:rPr>
        <w:t xml:space="preserve">we will give an example of its application in the daily life of a family </w:t>
      </w:r>
      <w:r w:rsidRPr="00EE3022">
        <w:rPr>
          <w:rFonts w:ascii="Times New Roman" w:hAnsi="Times New Roman" w:cs="Times New Roman"/>
          <w:sz w:val="24"/>
          <w:szCs w:val="24"/>
          <w:lang w:val="en-US"/>
        </w:rPr>
        <w:t xml:space="preserve">that wants to buy a toaster for their home. Let's imagine that there are 2 types of toasters available on the market (toasters A and B). First, the family meets to decide what criteria they will </w:t>
      </w:r>
      <w:r w:rsidR="00731911" w:rsidRPr="00EE3022">
        <w:rPr>
          <w:rFonts w:ascii="Times New Roman" w:hAnsi="Times New Roman" w:cs="Times New Roman"/>
          <w:sz w:val="24"/>
          <w:szCs w:val="24"/>
          <w:lang w:val="en-US"/>
        </w:rPr>
        <w:t>consider</w:t>
      </w:r>
      <w:r w:rsidRPr="00EE3022">
        <w:rPr>
          <w:rFonts w:ascii="Times New Roman" w:hAnsi="Times New Roman" w:cs="Times New Roman"/>
          <w:sz w:val="24"/>
          <w:szCs w:val="24"/>
          <w:lang w:val="en-US"/>
        </w:rPr>
        <w:t xml:space="preserve"> </w:t>
      </w:r>
      <w:r w:rsidR="00731911">
        <w:rPr>
          <w:rFonts w:ascii="Times New Roman" w:hAnsi="Times New Roman" w:cs="Times New Roman"/>
          <w:sz w:val="24"/>
          <w:szCs w:val="24"/>
          <w:lang w:val="en-US"/>
        </w:rPr>
        <w:t xml:space="preserve">when </w:t>
      </w:r>
      <w:r w:rsidR="00731911" w:rsidRPr="00EE3022">
        <w:rPr>
          <w:rFonts w:ascii="Times New Roman" w:hAnsi="Times New Roman" w:cs="Times New Roman"/>
          <w:sz w:val="24"/>
          <w:szCs w:val="24"/>
          <w:lang w:val="en-US"/>
        </w:rPr>
        <w:t>choosing</w:t>
      </w:r>
      <w:r w:rsidRPr="00EE3022">
        <w:rPr>
          <w:rFonts w:ascii="Times New Roman" w:hAnsi="Times New Roman" w:cs="Times New Roman"/>
          <w:sz w:val="24"/>
          <w:szCs w:val="24"/>
          <w:lang w:val="en-US"/>
        </w:rPr>
        <w:t xml:space="preserve"> the toaster. </w:t>
      </w:r>
    </w:p>
    <w:tbl>
      <w:tblPr>
        <w:tblStyle w:val="Tablaconcuadrcula"/>
        <w:tblW w:w="9067" w:type="dxa"/>
        <w:tblLook w:val="04A0" w:firstRow="1" w:lastRow="0" w:firstColumn="1" w:lastColumn="0" w:noHBand="0" w:noVBand="1"/>
      </w:tblPr>
      <w:tblGrid>
        <w:gridCol w:w="9067"/>
      </w:tblGrid>
      <w:tr w:rsidR="009C0853" w:rsidRPr="00EE3022" w14:paraId="04303E1E" w14:textId="77777777" w:rsidTr="002A5DD8">
        <w:tc>
          <w:tcPr>
            <w:tcW w:w="9067" w:type="dxa"/>
            <w:tcMar>
              <w:bottom w:w="85" w:type="dxa"/>
            </w:tcMar>
          </w:tcPr>
          <w:p w14:paraId="5C2F8FE3" w14:textId="77777777" w:rsidR="000128A7" w:rsidRPr="00EE3022" w:rsidRDefault="001031E1">
            <w:pPr>
              <w:spacing w:before="120"/>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 xml:space="preserve">First, the family decides that the criteria to consider when buying a toaster are: </w:t>
            </w:r>
          </w:p>
          <w:p w14:paraId="27AFE3E3" w14:textId="77777777" w:rsidR="000128A7" w:rsidRPr="00EE3022" w:rsidRDefault="001031E1">
            <w:pPr>
              <w:pStyle w:val="Prrafodelista"/>
              <w:numPr>
                <w:ilvl w:val="0"/>
                <w:numId w:val="3"/>
              </w:numPr>
              <w:spacing w:before="120"/>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Adjustable browning level </w:t>
            </w:r>
          </w:p>
          <w:p w14:paraId="21C64EF0" w14:textId="77777777" w:rsidR="000128A7" w:rsidRPr="00EE3022" w:rsidRDefault="001031E1">
            <w:pPr>
              <w:pStyle w:val="Prrafodelista"/>
              <w:numPr>
                <w:ilvl w:val="0"/>
                <w:numId w:val="3"/>
              </w:numPr>
              <w:spacing w:before="120"/>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Uniformity of roasting</w:t>
            </w:r>
          </w:p>
          <w:p w14:paraId="4FCF0E00" w14:textId="77777777" w:rsidR="000128A7" w:rsidRPr="00EE3022" w:rsidRDefault="001031E1">
            <w:pPr>
              <w:pStyle w:val="Prrafodelista"/>
              <w:numPr>
                <w:ilvl w:val="0"/>
                <w:numId w:val="3"/>
              </w:numPr>
              <w:spacing w:before="120"/>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Number of slots</w:t>
            </w:r>
          </w:p>
          <w:p w14:paraId="5558F469" w14:textId="77777777" w:rsidR="000128A7" w:rsidRPr="00EE3022" w:rsidRDefault="001031E1">
            <w:pPr>
              <w:pStyle w:val="Prrafodelista"/>
              <w:numPr>
                <w:ilvl w:val="0"/>
                <w:numId w:val="3"/>
              </w:numPr>
              <w:spacing w:before="120"/>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Price</w:t>
            </w:r>
          </w:p>
        </w:tc>
      </w:tr>
    </w:tbl>
    <w:p w14:paraId="2C2CE1F0" w14:textId="2AD8DBF3" w:rsidR="00ED7E58" w:rsidRPr="00EE3022" w:rsidRDefault="001031E1" w:rsidP="009C0853">
      <w:pPr>
        <w:spacing w:before="36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After agreeing on these criteria, each family member decides how important each criterion is to him/her, weighting the criteria on a scale between 1 and 5 points, where 1 is not very important and 5 is very important. For example, for John, the father of the family, the most important criterion is the price, followed by the adjustable browning level, the evenness of browning and finally the number of slots in the toaster (</w:t>
      </w:r>
      <w:r w:rsidR="00C15BE6" w:rsidRPr="00EE3022">
        <w:rPr>
          <w:rFonts w:ascii="Times New Roman" w:hAnsi="Times New Roman" w:cs="Times New Roman"/>
          <w:b/>
          <w:bCs/>
          <w:sz w:val="24"/>
          <w:szCs w:val="24"/>
          <w:lang w:val="en-US"/>
        </w:rPr>
        <w:t>Table [S1].1</w:t>
      </w:r>
      <w:r w:rsidRPr="00EE3022">
        <w:rPr>
          <w:rFonts w:ascii="Times New Roman" w:hAnsi="Times New Roman" w:cs="Times New Roman"/>
          <w:sz w:val="24"/>
          <w:szCs w:val="24"/>
          <w:lang w:val="en-US"/>
        </w:rPr>
        <w:t>). This would apply to any toaster on the market, although it is the particular opinion of this family member.</w:t>
      </w:r>
    </w:p>
    <w:p w14:paraId="6CEAD303" w14:textId="77777777" w:rsidR="000128A7" w:rsidRPr="00EE3022" w:rsidRDefault="001031E1">
      <w:pPr>
        <w:spacing w:before="360" w:line="360" w:lineRule="auto"/>
        <w:jc w:val="both"/>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 xml:space="preserve">Table (S1).1. Weighting of the criteria for assessing the roasters in the market for Juan </w:t>
      </w:r>
    </w:p>
    <w:tbl>
      <w:tblPr>
        <w:tblStyle w:val="Tabladelista3"/>
        <w:tblW w:w="0" w:type="auto"/>
        <w:tblLook w:val="04A0" w:firstRow="1" w:lastRow="0" w:firstColumn="1" w:lastColumn="0" w:noHBand="0" w:noVBand="1"/>
      </w:tblPr>
      <w:tblGrid>
        <w:gridCol w:w="4815"/>
        <w:gridCol w:w="3679"/>
      </w:tblGrid>
      <w:tr w:rsidR="00F136E2" w:rsidRPr="00EE3022" w14:paraId="39C48C1F" w14:textId="77777777" w:rsidTr="001511E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15" w:type="dxa"/>
          </w:tcPr>
          <w:p w14:paraId="07ADFF2C"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Criteria</w:t>
            </w:r>
          </w:p>
        </w:tc>
        <w:tc>
          <w:tcPr>
            <w:tcW w:w="3679" w:type="dxa"/>
          </w:tcPr>
          <w:p w14:paraId="3922EFCF" w14:textId="77777777" w:rsidR="000128A7" w:rsidRPr="00EE3022" w:rsidRDefault="001031E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Weight</w:t>
            </w:r>
          </w:p>
        </w:tc>
      </w:tr>
      <w:tr w:rsidR="00F136E2" w:rsidRPr="00EE3022" w14:paraId="07848C1B" w14:textId="77777777" w:rsidTr="001511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0C56B437"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Adjustable browning level</w:t>
            </w:r>
          </w:p>
        </w:tc>
        <w:tc>
          <w:tcPr>
            <w:tcW w:w="3679" w:type="dxa"/>
          </w:tcPr>
          <w:p w14:paraId="754C578D" w14:textId="77777777" w:rsidR="000128A7" w:rsidRPr="00EE3022" w:rsidRDefault="002C1D6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682697036"/>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F136E2" w:rsidRPr="00EE3022">
              <w:rPr>
                <w:rFonts w:ascii="Times New Roman" w:hAnsi="Times New Roman" w:cs="Times New Roman"/>
                <w:sz w:val="24"/>
                <w:szCs w:val="24"/>
                <w:lang w:val="en-US"/>
              </w:rPr>
              <w:t xml:space="preserve"> 1 </w:t>
            </w:r>
            <w:sdt>
              <w:sdtPr>
                <w:rPr>
                  <w:rFonts w:ascii="Times New Roman" w:hAnsi="Times New Roman" w:cs="Times New Roman"/>
                  <w:sz w:val="24"/>
                  <w:szCs w:val="24"/>
                  <w:lang w:val="en-US"/>
                </w:rPr>
                <w:id w:val="101403369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DD222E" w:rsidRPr="00EE3022">
              <w:rPr>
                <w:rFonts w:ascii="Times New Roman" w:hAnsi="Times New Roman" w:cs="Times New Roman"/>
                <w:sz w:val="24"/>
                <w:szCs w:val="24"/>
                <w:lang w:val="en-US"/>
              </w:rPr>
              <w:t xml:space="preserve"> 2 </w:t>
            </w:r>
            <w:sdt>
              <w:sdtPr>
                <w:rPr>
                  <w:rFonts w:ascii="Times New Roman" w:hAnsi="Times New Roman" w:cs="Times New Roman"/>
                  <w:sz w:val="24"/>
                  <w:szCs w:val="24"/>
                  <w:lang w:val="en-US"/>
                </w:rPr>
                <w:id w:val="-1493792045"/>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F136E2" w:rsidRPr="00EE3022">
              <w:rPr>
                <w:rFonts w:ascii="Times New Roman" w:hAnsi="Times New Roman" w:cs="Times New Roman"/>
                <w:sz w:val="24"/>
                <w:szCs w:val="24"/>
                <w:lang w:val="en-US"/>
              </w:rPr>
              <w:t xml:space="preserve"> 3 </w:t>
            </w:r>
            <w:sdt>
              <w:sdtPr>
                <w:rPr>
                  <w:rFonts w:ascii="Times New Roman" w:hAnsi="Times New Roman" w:cs="Times New Roman"/>
                  <w:sz w:val="24"/>
                  <w:szCs w:val="24"/>
                  <w:lang w:val="en-US"/>
                </w:rPr>
                <w:id w:val="-1435585747"/>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DD222E" w:rsidRPr="00EE3022">
              <w:rPr>
                <w:rFonts w:ascii="Times New Roman" w:hAnsi="Times New Roman" w:cs="Times New Roman"/>
                <w:sz w:val="24"/>
                <w:szCs w:val="24"/>
                <w:lang w:val="en-US"/>
              </w:rPr>
              <w:t xml:space="preserve"> 4 </w:t>
            </w:r>
            <w:sdt>
              <w:sdtPr>
                <w:rPr>
                  <w:rFonts w:ascii="Times New Roman" w:hAnsi="Times New Roman" w:cs="Times New Roman"/>
                  <w:sz w:val="24"/>
                  <w:szCs w:val="24"/>
                  <w:lang w:val="en-US"/>
                </w:rPr>
                <w:id w:val="159381597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F136E2" w:rsidRPr="00EE3022">
              <w:rPr>
                <w:rFonts w:ascii="Times New Roman" w:hAnsi="Times New Roman" w:cs="Times New Roman"/>
                <w:sz w:val="24"/>
                <w:szCs w:val="24"/>
                <w:lang w:val="en-US"/>
              </w:rPr>
              <w:t xml:space="preserve"> 5</w:t>
            </w:r>
          </w:p>
        </w:tc>
      </w:tr>
      <w:tr w:rsidR="00F136E2" w:rsidRPr="00EE3022" w14:paraId="6BC70818" w14:textId="77777777" w:rsidTr="001511ED">
        <w:tc>
          <w:tcPr>
            <w:cnfStyle w:val="001000000000" w:firstRow="0" w:lastRow="0" w:firstColumn="1" w:lastColumn="0" w:oddVBand="0" w:evenVBand="0" w:oddHBand="0" w:evenHBand="0" w:firstRowFirstColumn="0" w:firstRowLastColumn="0" w:lastRowFirstColumn="0" w:lastRowLastColumn="0"/>
            <w:tcW w:w="4815" w:type="dxa"/>
          </w:tcPr>
          <w:p w14:paraId="0CC7B78F"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Uniformity of roasting</w:t>
            </w:r>
          </w:p>
        </w:tc>
        <w:tc>
          <w:tcPr>
            <w:tcW w:w="3679" w:type="dxa"/>
          </w:tcPr>
          <w:p w14:paraId="64D99BD3" w14:textId="77777777" w:rsidR="000128A7" w:rsidRPr="00EE3022" w:rsidRDefault="002C1D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889461966"/>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sdt>
              <w:sdtPr>
                <w:rPr>
                  <w:rFonts w:ascii="Times New Roman" w:hAnsi="Times New Roman" w:cs="Times New Roman"/>
                  <w:sz w:val="24"/>
                  <w:szCs w:val="24"/>
                  <w:lang w:val="en-US"/>
                </w:rPr>
                <w:id w:val="123913599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 </w:t>
            </w:r>
            <w:sdt>
              <w:sdtPr>
                <w:rPr>
                  <w:rFonts w:ascii="Times New Roman" w:hAnsi="Times New Roman" w:cs="Times New Roman"/>
                  <w:sz w:val="24"/>
                  <w:szCs w:val="24"/>
                  <w:lang w:val="en-US"/>
                </w:rPr>
                <w:id w:val="-810394893"/>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w:t>
            </w:r>
            <w:sdt>
              <w:sdtPr>
                <w:rPr>
                  <w:rFonts w:ascii="Times New Roman" w:hAnsi="Times New Roman" w:cs="Times New Roman"/>
                  <w:sz w:val="24"/>
                  <w:szCs w:val="24"/>
                  <w:lang w:val="en-US"/>
                </w:rPr>
                <w:id w:val="1830551092"/>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4 </w:t>
            </w:r>
            <w:sdt>
              <w:sdtPr>
                <w:rPr>
                  <w:rFonts w:ascii="Times New Roman" w:hAnsi="Times New Roman" w:cs="Times New Roman"/>
                  <w:sz w:val="24"/>
                  <w:szCs w:val="24"/>
                  <w:lang w:val="en-US"/>
                </w:rPr>
                <w:id w:val="-205630707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5</w:t>
            </w:r>
          </w:p>
        </w:tc>
      </w:tr>
      <w:tr w:rsidR="00F136E2" w:rsidRPr="00EE3022" w14:paraId="678812F1" w14:textId="77777777" w:rsidTr="001511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0B3BD44F"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Number of slots</w:t>
            </w:r>
          </w:p>
        </w:tc>
        <w:tc>
          <w:tcPr>
            <w:tcW w:w="3679" w:type="dxa"/>
          </w:tcPr>
          <w:p w14:paraId="114C8855" w14:textId="77777777" w:rsidR="000128A7" w:rsidRPr="00EE3022" w:rsidRDefault="002C1D6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654634011"/>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sdt>
              <w:sdtPr>
                <w:rPr>
                  <w:rFonts w:ascii="Times New Roman" w:hAnsi="Times New Roman" w:cs="Times New Roman"/>
                  <w:sz w:val="24"/>
                  <w:szCs w:val="24"/>
                  <w:lang w:val="en-US"/>
                </w:rPr>
                <w:id w:val="-1984385138"/>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 </w:t>
            </w:r>
            <w:sdt>
              <w:sdtPr>
                <w:rPr>
                  <w:rFonts w:ascii="Times New Roman" w:hAnsi="Times New Roman" w:cs="Times New Roman"/>
                  <w:sz w:val="24"/>
                  <w:szCs w:val="24"/>
                  <w:lang w:val="en-US"/>
                </w:rPr>
                <w:id w:val="133263920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w:t>
            </w:r>
            <w:sdt>
              <w:sdtPr>
                <w:rPr>
                  <w:rFonts w:ascii="Times New Roman" w:hAnsi="Times New Roman" w:cs="Times New Roman"/>
                  <w:sz w:val="24"/>
                  <w:szCs w:val="24"/>
                  <w:lang w:val="en-US"/>
                </w:rPr>
                <w:id w:val="-140051383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4 </w:t>
            </w:r>
            <w:sdt>
              <w:sdtPr>
                <w:rPr>
                  <w:rFonts w:ascii="Times New Roman" w:hAnsi="Times New Roman" w:cs="Times New Roman"/>
                  <w:sz w:val="24"/>
                  <w:szCs w:val="24"/>
                  <w:lang w:val="en-US"/>
                </w:rPr>
                <w:id w:val="-60827882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5</w:t>
            </w:r>
          </w:p>
        </w:tc>
      </w:tr>
      <w:tr w:rsidR="00F136E2" w:rsidRPr="00EE3022" w14:paraId="04DC9FE7" w14:textId="77777777" w:rsidTr="001511ED">
        <w:tc>
          <w:tcPr>
            <w:cnfStyle w:val="001000000000" w:firstRow="0" w:lastRow="0" w:firstColumn="1" w:lastColumn="0" w:oddVBand="0" w:evenVBand="0" w:oddHBand="0" w:evenHBand="0" w:firstRowFirstColumn="0" w:firstRowLastColumn="0" w:lastRowFirstColumn="0" w:lastRowLastColumn="0"/>
            <w:tcW w:w="4815" w:type="dxa"/>
          </w:tcPr>
          <w:p w14:paraId="4016F01B"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Price</w:t>
            </w:r>
          </w:p>
        </w:tc>
        <w:tc>
          <w:tcPr>
            <w:tcW w:w="3679" w:type="dxa"/>
          </w:tcPr>
          <w:p w14:paraId="4B0623BC" w14:textId="77777777" w:rsidR="000128A7" w:rsidRPr="00EE3022" w:rsidRDefault="002C1D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841438407"/>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sdt>
              <w:sdtPr>
                <w:rPr>
                  <w:rFonts w:ascii="Times New Roman" w:hAnsi="Times New Roman" w:cs="Times New Roman"/>
                  <w:sz w:val="24"/>
                  <w:szCs w:val="24"/>
                  <w:lang w:val="en-US"/>
                </w:rPr>
                <w:id w:val="-1678108880"/>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 </w:t>
            </w:r>
            <w:sdt>
              <w:sdtPr>
                <w:rPr>
                  <w:rFonts w:ascii="Times New Roman" w:hAnsi="Times New Roman" w:cs="Times New Roman"/>
                  <w:sz w:val="24"/>
                  <w:szCs w:val="24"/>
                  <w:lang w:val="en-US"/>
                </w:rPr>
                <w:id w:val="-546142412"/>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w:t>
            </w:r>
            <w:sdt>
              <w:sdtPr>
                <w:rPr>
                  <w:rFonts w:ascii="Times New Roman" w:hAnsi="Times New Roman" w:cs="Times New Roman"/>
                  <w:sz w:val="24"/>
                  <w:szCs w:val="24"/>
                  <w:lang w:val="en-US"/>
                </w:rPr>
                <w:id w:val="561535360"/>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4 </w:t>
            </w:r>
            <w:sdt>
              <w:sdtPr>
                <w:rPr>
                  <w:rFonts w:ascii="Times New Roman" w:hAnsi="Times New Roman" w:cs="Times New Roman"/>
                  <w:sz w:val="24"/>
                  <w:szCs w:val="24"/>
                  <w:lang w:val="en-US"/>
                </w:rPr>
                <w:id w:val="-358898478"/>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5</w:t>
            </w:r>
          </w:p>
        </w:tc>
      </w:tr>
    </w:tbl>
    <w:p w14:paraId="29AB3746" w14:textId="25EB336D" w:rsidR="009C0853" w:rsidRPr="00EE3022" w:rsidRDefault="009C0853" w:rsidP="009C0853">
      <w:pPr>
        <w:jc w:val="center"/>
        <w:rPr>
          <w:rFonts w:ascii="Times New Roman" w:hAnsi="Times New Roman" w:cs="Times New Roman"/>
          <w:sz w:val="24"/>
          <w:szCs w:val="24"/>
          <w:lang w:val="en-US"/>
        </w:rPr>
      </w:pPr>
    </w:p>
    <w:p w14:paraId="4595BAAA" w14:textId="77777777" w:rsidR="000128A7" w:rsidRPr="00EE3022" w:rsidRDefault="001031E1">
      <w:pPr>
        <w:spacing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lastRenderedPageBreak/>
        <w:t xml:space="preserve">The next step is to gather information (based on these criteria) about the toasters available on the market, either by searching for information online or in physical stores or by asking family and friends for their opinion. </w:t>
      </w:r>
    </w:p>
    <w:p w14:paraId="1C26DDA8" w14:textId="77777777" w:rsidR="000128A7" w:rsidRPr="00EE3022" w:rsidRDefault="001031E1">
      <w:pPr>
        <w:spacing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Based on the information found by the family, each member evaluates each of the toasters in the market. </w:t>
      </w:r>
      <w:r w:rsidR="006A3D55" w:rsidRPr="00EE3022">
        <w:rPr>
          <w:rFonts w:ascii="Times New Roman" w:hAnsi="Times New Roman" w:cs="Times New Roman"/>
          <w:sz w:val="24"/>
          <w:szCs w:val="24"/>
          <w:lang w:val="en-US"/>
        </w:rPr>
        <w:t xml:space="preserve">Table (S2).2 </w:t>
      </w:r>
      <w:r w:rsidRPr="00EE3022">
        <w:rPr>
          <w:rFonts w:ascii="Times New Roman" w:hAnsi="Times New Roman" w:cs="Times New Roman"/>
          <w:sz w:val="24"/>
          <w:szCs w:val="24"/>
          <w:lang w:val="en-US"/>
        </w:rPr>
        <w:t xml:space="preserve">summarizes the information found and how Juan scores it. For example, for Juan, toaster A is better in all aspects compared to toaster B (scores from 1 to 3), except for the price, a criterion that he scores with a -2 because it is more expensive than toaster B.  </w:t>
      </w:r>
    </w:p>
    <w:p w14:paraId="1A123DF7" w14:textId="7E61EFDF" w:rsidR="000128A7" w:rsidRPr="00EE3022" w:rsidRDefault="001031E1">
      <w:pPr>
        <w:spacing w:line="360" w:lineRule="auto"/>
        <w:jc w:val="both"/>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Table (S</w:t>
      </w:r>
      <w:r w:rsidR="008D7286">
        <w:rPr>
          <w:rFonts w:ascii="Times New Roman" w:hAnsi="Times New Roman" w:cs="Times New Roman"/>
          <w:b/>
          <w:bCs/>
          <w:sz w:val="24"/>
          <w:szCs w:val="24"/>
          <w:lang w:val="en-US"/>
        </w:rPr>
        <w:t>1</w:t>
      </w:r>
      <w:r w:rsidRPr="00EE3022">
        <w:rPr>
          <w:rFonts w:ascii="Times New Roman" w:hAnsi="Times New Roman" w:cs="Times New Roman"/>
          <w:b/>
          <w:bCs/>
          <w:sz w:val="24"/>
          <w:szCs w:val="24"/>
          <w:lang w:val="en-US"/>
        </w:rPr>
        <w:t>).2. Juan's score for roaster A versus B</w:t>
      </w:r>
    </w:p>
    <w:tbl>
      <w:tblPr>
        <w:tblStyle w:val="Tabladelista3"/>
        <w:tblW w:w="0" w:type="auto"/>
        <w:tblLook w:val="04A0" w:firstRow="1" w:lastRow="0" w:firstColumn="1" w:lastColumn="0" w:noHBand="0" w:noVBand="1"/>
      </w:tblPr>
      <w:tblGrid>
        <w:gridCol w:w="2831"/>
        <w:gridCol w:w="2831"/>
        <w:gridCol w:w="2832"/>
      </w:tblGrid>
      <w:tr w:rsidR="00C15BE6" w:rsidRPr="00EE3022" w14:paraId="04EC3B83" w14:textId="77777777" w:rsidTr="00FE79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31" w:type="dxa"/>
          </w:tcPr>
          <w:p w14:paraId="48DFEE98"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Criteria</w:t>
            </w:r>
          </w:p>
        </w:tc>
        <w:tc>
          <w:tcPr>
            <w:tcW w:w="2831" w:type="dxa"/>
          </w:tcPr>
          <w:p w14:paraId="51D10A18" w14:textId="77777777" w:rsidR="000128A7" w:rsidRPr="00EE3022" w:rsidRDefault="001031E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Evidence Synthesis (Toaster A vs. Toaster B)</w:t>
            </w:r>
          </w:p>
        </w:tc>
        <w:tc>
          <w:tcPr>
            <w:tcW w:w="2832" w:type="dxa"/>
          </w:tcPr>
          <w:p w14:paraId="5B7D227E" w14:textId="77777777" w:rsidR="000128A7" w:rsidRPr="00EE3022" w:rsidRDefault="001031E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Score</w:t>
            </w:r>
          </w:p>
        </w:tc>
      </w:tr>
      <w:tr w:rsidR="00C15BE6" w:rsidRPr="007C4332" w14:paraId="171FEA42" w14:textId="77777777" w:rsidTr="00FE79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6AA12B90" w14:textId="77777777" w:rsidR="000128A7" w:rsidRPr="00EE3022" w:rsidRDefault="001031E1" w:rsidP="00CF6763">
            <w:pPr>
              <w:rPr>
                <w:rFonts w:ascii="Times New Roman" w:hAnsi="Times New Roman" w:cs="Times New Roman"/>
                <w:sz w:val="24"/>
                <w:szCs w:val="24"/>
                <w:lang w:val="en-US"/>
              </w:rPr>
            </w:pPr>
            <w:r w:rsidRPr="00EE3022">
              <w:rPr>
                <w:rFonts w:ascii="Times New Roman" w:hAnsi="Times New Roman" w:cs="Times New Roman"/>
                <w:sz w:val="24"/>
                <w:szCs w:val="24"/>
                <w:lang w:val="en-US"/>
              </w:rPr>
              <w:t>Adjustable browning level</w:t>
            </w:r>
          </w:p>
        </w:tc>
        <w:tc>
          <w:tcPr>
            <w:tcW w:w="2831" w:type="dxa"/>
          </w:tcPr>
          <w:p w14:paraId="441133D1" w14:textId="77777777" w:rsidR="000128A7" w:rsidRPr="00EE3022" w:rsidRDefault="001031E1"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Toaster A: Available, but no data on the quality of its fit. </w:t>
            </w:r>
          </w:p>
          <w:p w14:paraId="1412B263" w14:textId="77777777" w:rsidR="00F70303" w:rsidRPr="00EE3022" w:rsidRDefault="00F70303"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p w14:paraId="62FDA01B" w14:textId="77777777" w:rsidR="000128A7" w:rsidRPr="00EE3022" w:rsidRDefault="001031E1"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B: Not available</w:t>
            </w:r>
          </w:p>
        </w:tc>
        <w:tc>
          <w:tcPr>
            <w:tcW w:w="2832" w:type="dxa"/>
          </w:tcPr>
          <w:p w14:paraId="36F41B14"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55350811"/>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3</w:t>
            </w:r>
            <w:r w:rsidR="00FE7977" w:rsidRPr="00EE3022">
              <w:rPr>
                <w:rFonts w:ascii="Times New Roman" w:hAnsi="Times New Roman" w:cs="Times New Roman"/>
                <w:sz w:val="24"/>
                <w:szCs w:val="24"/>
                <w:lang w:val="en-US"/>
              </w:rPr>
              <w:t xml:space="preserve">: </w:t>
            </w:r>
            <w:r w:rsidR="00BA403C" w:rsidRPr="00EE3022">
              <w:rPr>
                <w:rFonts w:ascii="Times New Roman" w:hAnsi="Times New Roman" w:cs="Times New Roman"/>
                <w:sz w:val="24"/>
                <w:szCs w:val="24"/>
                <w:lang w:val="en-US"/>
              </w:rPr>
              <w:t>Toaster A is much better than B</w:t>
            </w:r>
          </w:p>
          <w:p w14:paraId="4DBF9DFD"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826276208"/>
                <w14:checkbox>
                  <w14:checked w14:val="1"/>
                  <w14:checkedState w14:val="2612" w14:font="MS Gothic"/>
                  <w14:uncheckedState w14:val="2610" w14:font="MS Gothic"/>
                </w14:checkbox>
              </w:sdtPr>
              <w:sdtEndPr/>
              <w:sdtContent>
                <w:r w:rsidR="00FE7977"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2</w:t>
            </w:r>
          </w:p>
          <w:p w14:paraId="4B1CD6F0"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210591736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1</w:t>
            </w:r>
          </w:p>
          <w:p w14:paraId="2C6EA1D6"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83534876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0</w:t>
            </w:r>
            <w:r w:rsidR="00FE7977" w:rsidRPr="00EE3022">
              <w:rPr>
                <w:rFonts w:ascii="Times New Roman" w:hAnsi="Times New Roman" w:cs="Times New Roman"/>
                <w:sz w:val="24"/>
                <w:szCs w:val="24"/>
                <w:lang w:val="en-US"/>
              </w:rPr>
              <w:t xml:space="preserve">: </w:t>
            </w:r>
            <w:r w:rsidR="00BA403C" w:rsidRPr="00EE3022">
              <w:rPr>
                <w:rFonts w:ascii="Times New Roman" w:hAnsi="Times New Roman" w:cs="Times New Roman"/>
                <w:sz w:val="24"/>
                <w:szCs w:val="24"/>
                <w:lang w:val="en-US"/>
              </w:rPr>
              <w:t>no difference</w:t>
            </w:r>
          </w:p>
          <w:p w14:paraId="2B4350C1"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23335139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-1 </w:t>
            </w:r>
          </w:p>
          <w:p w14:paraId="507DD6ED"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292634720"/>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-2</w:t>
            </w:r>
          </w:p>
          <w:p w14:paraId="06AB21A3"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823593986"/>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BA403C" w:rsidRPr="00EE3022">
              <w:rPr>
                <w:rFonts w:ascii="Times New Roman" w:hAnsi="Times New Roman" w:cs="Times New Roman"/>
                <w:sz w:val="24"/>
                <w:szCs w:val="24"/>
                <w:lang w:val="en-US"/>
              </w:rPr>
              <w:t xml:space="preserve"> -3</w:t>
            </w:r>
            <w:r w:rsidR="00FE7977" w:rsidRPr="00EE3022">
              <w:rPr>
                <w:rFonts w:ascii="Times New Roman" w:hAnsi="Times New Roman" w:cs="Times New Roman"/>
                <w:sz w:val="24"/>
                <w:szCs w:val="24"/>
                <w:lang w:val="en-US"/>
              </w:rPr>
              <w:t xml:space="preserve">: </w:t>
            </w:r>
            <w:r w:rsidR="00BA403C" w:rsidRPr="00EE3022">
              <w:rPr>
                <w:rFonts w:ascii="Times New Roman" w:hAnsi="Times New Roman" w:cs="Times New Roman"/>
                <w:sz w:val="24"/>
                <w:szCs w:val="24"/>
                <w:lang w:val="en-US"/>
              </w:rPr>
              <w:t>Toaster A is much worse than B</w:t>
            </w:r>
          </w:p>
        </w:tc>
      </w:tr>
      <w:tr w:rsidR="00C15BE6" w:rsidRPr="005812DD" w14:paraId="1FC5B8D7" w14:textId="77777777" w:rsidTr="00FE7977">
        <w:tc>
          <w:tcPr>
            <w:cnfStyle w:val="001000000000" w:firstRow="0" w:lastRow="0" w:firstColumn="1" w:lastColumn="0" w:oddVBand="0" w:evenVBand="0" w:oddHBand="0" w:evenHBand="0" w:firstRowFirstColumn="0" w:firstRowLastColumn="0" w:lastRowFirstColumn="0" w:lastRowLastColumn="0"/>
            <w:tcW w:w="2831" w:type="dxa"/>
          </w:tcPr>
          <w:p w14:paraId="6E360E07" w14:textId="77777777" w:rsidR="000128A7" w:rsidRPr="00EE3022" w:rsidRDefault="001031E1" w:rsidP="00CF6763">
            <w:pPr>
              <w:rPr>
                <w:rFonts w:ascii="Times New Roman" w:hAnsi="Times New Roman" w:cs="Times New Roman"/>
                <w:sz w:val="24"/>
                <w:szCs w:val="24"/>
                <w:lang w:val="en-US"/>
              </w:rPr>
            </w:pPr>
            <w:r w:rsidRPr="00EE3022">
              <w:rPr>
                <w:rFonts w:ascii="Times New Roman" w:hAnsi="Times New Roman" w:cs="Times New Roman"/>
                <w:sz w:val="24"/>
                <w:szCs w:val="24"/>
                <w:lang w:val="en-US"/>
              </w:rPr>
              <w:t>Uniformity of roasting</w:t>
            </w:r>
          </w:p>
        </w:tc>
        <w:tc>
          <w:tcPr>
            <w:tcW w:w="2831" w:type="dxa"/>
          </w:tcPr>
          <w:p w14:paraId="2AC51C01" w14:textId="77777777" w:rsidR="000128A7" w:rsidRPr="00EE3022" w:rsidRDefault="001031E1"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A: Excellent (data sheet). Worsens after 1 year (friend)</w:t>
            </w:r>
          </w:p>
          <w:p w14:paraId="1C55F208" w14:textId="77777777" w:rsidR="00F70303" w:rsidRPr="00EE3022" w:rsidRDefault="00F70303"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66D016C5" w14:textId="77777777" w:rsidR="000128A7" w:rsidRPr="00EE3022" w:rsidRDefault="001031E1"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B: Good (technical data sheet).</w:t>
            </w:r>
          </w:p>
        </w:tc>
        <w:tc>
          <w:tcPr>
            <w:tcW w:w="2832" w:type="dxa"/>
          </w:tcPr>
          <w:p w14:paraId="58067D8C"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619728077"/>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better than B</w:t>
            </w:r>
          </w:p>
          <w:p w14:paraId="0C0B58FA"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24747169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2A611EA0"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825108657"/>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w:t>
            </w:r>
          </w:p>
          <w:p w14:paraId="6AE0B59E"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33785115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0: no difference</w:t>
            </w:r>
          </w:p>
          <w:p w14:paraId="49A451E7"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810054677"/>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p>
          <w:p w14:paraId="3FE6ED26"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145947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1924A9AB"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4902227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worse than B</w:t>
            </w:r>
          </w:p>
        </w:tc>
      </w:tr>
      <w:tr w:rsidR="00C15BE6" w:rsidRPr="005812DD" w14:paraId="440B2ED6" w14:textId="77777777" w:rsidTr="00FE79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2E8DB6F3" w14:textId="77777777" w:rsidR="000128A7" w:rsidRPr="00EE3022" w:rsidRDefault="001031E1" w:rsidP="00CF6763">
            <w:pPr>
              <w:rPr>
                <w:rFonts w:ascii="Times New Roman" w:hAnsi="Times New Roman" w:cs="Times New Roman"/>
                <w:sz w:val="24"/>
                <w:szCs w:val="24"/>
                <w:lang w:val="en-US"/>
              </w:rPr>
            </w:pPr>
            <w:r w:rsidRPr="00EE3022">
              <w:rPr>
                <w:rFonts w:ascii="Times New Roman" w:hAnsi="Times New Roman" w:cs="Times New Roman"/>
                <w:sz w:val="24"/>
                <w:szCs w:val="24"/>
                <w:lang w:val="en-US"/>
              </w:rPr>
              <w:t>Number of slots</w:t>
            </w:r>
          </w:p>
        </w:tc>
        <w:tc>
          <w:tcPr>
            <w:tcW w:w="2831" w:type="dxa"/>
          </w:tcPr>
          <w:p w14:paraId="0DB05A1A" w14:textId="77777777" w:rsidR="000128A7" w:rsidRPr="00EE3022" w:rsidRDefault="001031E1"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A: 4</w:t>
            </w:r>
          </w:p>
          <w:p w14:paraId="776ED75C" w14:textId="77777777" w:rsidR="00BA403C" w:rsidRPr="00EE3022" w:rsidRDefault="00BA403C"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p w14:paraId="417D5869" w14:textId="77777777" w:rsidR="000128A7" w:rsidRPr="00EE3022" w:rsidRDefault="001031E1"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B: 1</w:t>
            </w:r>
          </w:p>
        </w:tc>
        <w:tc>
          <w:tcPr>
            <w:tcW w:w="2832" w:type="dxa"/>
          </w:tcPr>
          <w:p w14:paraId="00B57A22"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1117309"/>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better than B</w:t>
            </w:r>
          </w:p>
          <w:p w14:paraId="4D1B107D"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536482636"/>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225476B6"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94368356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w:t>
            </w:r>
          </w:p>
          <w:p w14:paraId="1D5AE741"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72367368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0: no difference</w:t>
            </w:r>
          </w:p>
          <w:p w14:paraId="436678DD"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33746520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p>
          <w:p w14:paraId="4D377E5E"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541970615"/>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64F7ABF2" w14:textId="77777777" w:rsidR="000128A7" w:rsidRPr="00EE3022" w:rsidRDefault="002C1D6B" w:rsidP="00CF67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95810023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worse than B</w:t>
            </w:r>
          </w:p>
        </w:tc>
      </w:tr>
      <w:tr w:rsidR="00C15BE6" w:rsidRPr="005812DD" w14:paraId="359B8F9B" w14:textId="77777777" w:rsidTr="00FE7977">
        <w:tc>
          <w:tcPr>
            <w:cnfStyle w:val="001000000000" w:firstRow="0" w:lastRow="0" w:firstColumn="1" w:lastColumn="0" w:oddVBand="0" w:evenVBand="0" w:oddHBand="0" w:evenHBand="0" w:firstRowFirstColumn="0" w:firstRowLastColumn="0" w:lastRowFirstColumn="0" w:lastRowLastColumn="0"/>
            <w:tcW w:w="2831" w:type="dxa"/>
          </w:tcPr>
          <w:p w14:paraId="0C8C4DEA" w14:textId="77777777" w:rsidR="000128A7" w:rsidRPr="00EE3022" w:rsidRDefault="001031E1" w:rsidP="00CF6763">
            <w:pPr>
              <w:rPr>
                <w:rFonts w:ascii="Times New Roman" w:hAnsi="Times New Roman" w:cs="Times New Roman"/>
                <w:sz w:val="24"/>
                <w:szCs w:val="24"/>
                <w:lang w:val="en-US"/>
              </w:rPr>
            </w:pPr>
            <w:r w:rsidRPr="00EE3022">
              <w:rPr>
                <w:rFonts w:ascii="Times New Roman" w:hAnsi="Times New Roman" w:cs="Times New Roman"/>
                <w:sz w:val="24"/>
                <w:szCs w:val="24"/>
                <w:lang w:val="en-US"/>
              </w:rPr>
              <w:t>Price</w:t>
            </w:r>
          </w:p>
        </w:tc>
        <w:tc>
          <w:tcPr>
            <w:tcW w:w="2831" w:type="dxa"/>
          </w:tcPr>
          <w:p w14:paraId="7D95CC2B" w14:textId="77777777" w:rsidR="000128A7" w:rsidRPr="00EE3022" w:rsidRDefault="001031E1"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A: €55</w:t>
            </w:r>
          </w:p>
          <w:p w14:paraId="212D6BD6" w14:textId="77777777" w:rsidR="00BA403C" w:rsidRPr="00EE3022" w:rsidRDefault="00BA403C"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p w14:paraId="76C6765E" w14:textId="77777777" w:rsidR="000128A7" w:rsidRPr="00EE3022" w:rsidRDefault="001031E1"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Toaster B: €15</w:t>
            </w:r>
          </w:p>
        </w:tc>
        <w:tc>
          <w:tcPr>
            <w:tcW w:w="2832" w:type="dxa"/>
          </w:tcPr>
          <w:p w14:paraId="36B7F1F4"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96819978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cheaper than toaster B</w:t>
            </w:r>
          </w:p>
          <w:p w14:paraId="49C9F695"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783337093"/>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64057CE8"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309911628"/>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w:t>
            </w:r>
          </w:p>
          <w:p w14:paraId="4195B4C3"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056049904"/>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0: no difference</w:t>
            </w:r>
          </w:p>
          <w:p w14:paraId="27446692"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69238928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-1 </w:t>
            </w:r>
          </w:p>
          <w:p w14:paraId="061FBEB1"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224404069"/>
                <w14:checkbox>
                  <w14:checked w14:val="1"/>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-2</w:t>
            </w:r>
          </w:p>
          <w:p w14:paraId="0AE34301" w14:textId="77777777" w:rsidR="000128A7" w:rsidRPr="00EE3022" w:rsidRDefault="002C1D6B" w:rsidP="00CF67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sdt>
              <w:sdtPr>
                <w:rPr>
                  <w:rFonts w:ascii="Times New Roman" w:hAnsi="Times New Roman" w:cs="Times New Roman"/>
                  <w:sz w:val="24"/>
                  <w:szCs w:val="24"/>
                  <w:lang w:val="en-US"/>
                </w:rPr>
                <w:id w:val="1354381759"/>
                <w14:checkbox>
                  <w14:checked w14:val="0"/>
                  <w14:checkedState w14:val="2612" w14:font="MS Gothic"/>
                  <w14:uncheckedState w14:val="2610" w14:font="MS Gothic"/>
                </w14:checkbox>
              </w:sdtPr>
              <w:sdtEndPr/>
              <w:sdtContent>
                <w:r w:rsidR="001031E1" w:rsidRPr="00EE3022">
                  <w:rPr>
                    <w:rFonts w:ascii="MS Gothic" w:eastAsia="MS Gothic" w:hAnsi="MS Gothic" w:cs="Times New Roman"/>
                    <w:sz w:val="24"/>
                    <w:szCs w:val="24"/>
                    <w:lang w:val="en-US"/>
                  </w:rPr>
                  <w:t>☐</w:t>
                </w:r>
              </w:sdtContent>
            </w:sdt>
            <w:r w:rsidR="001031E1" w:rsidRPr="00EE3022">
              <w:rPr>
                <w:rFonts w:ascii="Times New Roman" w:hAnsi="Times New Roman" w:cs="Times New Roman"/>
                <w:sz w:val="24"/>
                <w:szCs w:val="24"/>
                <w:lang w:val="en-US"/>
              </w:rPr>
              <w:t xml:space="preserve"> -3: Toaster A is much more expensive than B</w:t>
            </w:r>
          </w:p>
        </w:tc>
      </w:tr>
    </w:tbl>
    <w:p w14:paraId="4B8E2167" w14:textId="5C8076C3" w:rsidR="000128A7" w:rsidRPr="00EE3022" w:rsidRDefault="001031E1">
      <w:pPr>
        <w:spacing w:before="24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lastRenderedPageBreak/>
        <w:t xml:space="preserve">To </w:t>
      </w:r>
      <w:r w:rsidR="00861898">
        <w:rPr>
          <w:rFonts w:ascii="Times New Roman" w:hAnsi="Times New Roman" w:cs="Times New Roman"/>
          <w:sz w:val="24"/>
          <w:szCs w:val="24"/>
          <w:lang w:val="en-US"/>
        </w:rPr>
        <w:t>estimate</w:t>
      </w:r>
      <w:r w:rsidRPr="00EE3022">
        <w:rPr>
          <w:rFonts w:ascii="Times New Roman" w:hAnsi="Times New Roman" w:cs="Times New Roman"/>
          <w:sz w:val="24"/>
          <w:szCs w:val="24"/>
          <w:lang w:val="en-US"/>
        </w:rPr>
        <w:t xml:space="preserve"> a final value, each member of the family makes a calculation </w:t>
      </w:r>
      <w:proofErr w:type="gramStart"/>
      <w:r w:rsidRPr="00EE3022">
        <w:rPr>
          <w:rFonts w:ascii="Times New Roman" w:hAnsi="Times New Roman" w:cs="Times New Roman"/>
          <w:sz w:val="24"/>
          <w:szCs w:val="24"/>
          <w:lang w:val="en-US"/>
        </w:rPr>
        <w:t>taking into account</w:t>
      </w:r>
      <w:proofErr w:type="gramEnd"/>
      <w:r w:rsidRPr="00EE3022">
        <w:rPr>
          <w:rFonts w:ascii="Times New Roman" w:hAnsi="Times New Roman" w:cs="Times New Roman"/>
          <w:sz w:val="24"/>
          <w:szCs w:val="24"/>
          <w:lang w:val="en-US"/>
        </w:rPr>
        <w:t xml:space="preserve"> the weighting they gave to each criterion and the relative score for Toaster A. For example, for John, the value for the level of toast is 0.19, since his score was 2, and his normalized weighting is 0.29 (4/14). The sum of each of these values results in 0.50, which divided by 3 (the maximum value for each scale), results in a final value of 0.17 (out of 1) for roaster A versus B. In other words, toaster A gives John a positive value </w:t>
      </w:r>
      <w:r w:rsidR="00324745" w:rsidRPr="00EE3022">
        <w:rPr>
          <w:rFonts w:ascii="Times New Roman" w:hAnsi="Times New Roman" w:cs="Times New Roman"/>
          <w:sz w:val="24"/>
          <w:szCs w:val="24"/>
          <w:lang w:val="en-US"/>
        </w:rPr>
        <w:t xml:space="preserve">relative to </w:t>
      </w:r>
      <w:r w:rsidRPr="00EE3022">
        <w:rPr>
          <w:rFonts w:ascii="Times New Roman" w:hAnsi="Times New Roman" w:cs="Times New Roman"/>
          <w:sz w:val="24"/>
          <w:szCs w:val="24"/>
          <w:lang w:val="en-US"/>
        </w:rPr>
        <w:t>toaster B.</w:t>
      </w:r>
    </w:p>
    <w:p w14:paraId="26A4546C" w14:textId="77777777" w:rsidR="000128A7" w:rsidRPr="00EE3022" w:rsidRDefault="001031E1">
      <w:pPr>
        <w:spacing w:before="240" w:line="360" w:lineRule="auto"/>
        <w:jc w:val="both"/>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Table (S1).3. Calculation of the final value of roaster A for Juan</w:t>
      </w:r>
    </w:p>
    <w:tbl>
      <w:tblPr>
        <w:tblStyle w:val="Tabladelista3"/>
        <w:tblW w:w="0" w:type="auto"/>
        <w:tblLook w:val="04E0" w:firstRow="1" w:lastRow="1" w:firstColumn="1" w:lastColumn="0" w:noHBand="0" w:noVBand="1"/>
      </w:tblPr>
      <w:tblGrid>
        <w:gridCol w:w="1698"/>
        <w:gridCol w:w="1699"/>
        <w:gridCol w:w="1699"/>
        <w:gridCol w:w="853"/>
        <w:gridCol w:w="2545"/>
      </w:tblGrid>
      <w:tr w:rsidR="001C32FD" w:rsidRPr="00EE3022" w14:paraId="292152CE" w14:textId="77777777" w:rsidTr="00D6701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98" w:type="dxa"/>
          </w:tcPr>
          <w:p w14:paraId="09476B36"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Criteria</w:t>
            </w:r>
          </w:p>
        </w:tc>
        <w:tc>
          <w:tcPr>
            <w:tcW w:w="1699" w:type="dxa"/>
          </w:tcPr>
          <w:p w14:paraId="13E89E08" w14:textId="77777777" w:rsidR="000128A7" w:rsidRPr="00EE3022" w:rsidRDefault="001031E1" w:rsidP="00760D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Weighting</w:t>
            </w:r>
          </w:p>
        </w:tc>
        <w:tc>
          <w:tcPr>
            <w:tcW w:w="1699" w:type="dxa"/>
          </w:tcPr>
          <w:p w14:paraId="5E036136" w14:textId="77777777" w:rsidR="000128A7" w:rsidRPr="00EE3022" w:rsidRDefault="001031E1" w:rsidP="00760D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Normalized weighting</w:t>
            </w:r>
          </w:p>
        </w:tc>
        <w:tc>
          <w:tcPr>
            <w:tcW w:w="853" w:type="dxa"/>
          </w:tcPr>
          <w:p w14:paraId="42B53952" w14:textId="77777777" w:rsidR="000128A7" w:rsidRPr="00EE3022" w:rsidRDefault="001031E1" w:rsidP="00760D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Score</w:t>
            </w:r>
          </w:p>
        </w:tc>
        <w:tc>
          <w:tcPr>
            <w:tcW w:w="2545" w:type="dxa"/>
          </w:tcPr>
          <w:p w14:paraId="3D64DD6D" w14:textId="77777777" w:rsidR="000128A7" w:rsidRPr="00EE3022" w:rsidRDefault="001031E1" w:rsidP="00760D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Final estimated value</w:t>
            </w:r>
          </w:p>
        </w:tc>
      </w:tr>
      <w:tr w:rsidR="001C32FD" w:rsidRPr="00EE3022" w14:paraId="577F1641" w14:textId="77777777" w:rsidTr="00D670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8" w:type="dxa"/>
          </w:tcPr>
          <w:p w14:paraId="618F61E2" w14:textId="77777777" w:rsidR="000128A7" w:rsidRPr="00EE3022" w:rsidRDefault="001031E1">
            <w:pPr>
              <w:rPr>
                <w:rFonts w:ascii="Times New Roman" w:hAnsi="Times New Roman" w:cs="Times New Roman"/>
                <w:sz w:val="24"/>
                <w:szCs w:val="24"/>
                <w:lang w:val="en-US"/>
              </w:rPr>
            </w:pPr>
            <w:r w:rsidRPr="00EE3022">
              <w:rPr>
                <w:rFonts w:ascii="Times New Roman" w:hAnsi="Times New Roman" w:cs="Times New Roman"/>
                <w:sz w:val="24"/>
                <w:szCs w:val="24"/>
                <w:lang w:val="en-US"/>
              </w:rPr>
              <w:t>Adjustable browning level</w:t>
            </w:r>
          </w:p>
        </w:tc>
        <w:tc>
          <w:tcPr>
            <w:tcW w:w="1699" w:type="dxa"/>
          </w:tcPr>
          <w:p w14:paraId="54AAF949" w14:textId="4451B4EB" w:rsidR="000128A7" w:rsidRPr="00EE3022" w:rsidRDefault="00760DA9"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699" w:type="dxa"/>
          </w:tcPr>
          <w:p w14:paraId="3E2A4BB9" w14:textId="77777777" w:rsidR="000128A7" w:rsidRPr="00EE3022" w:rsidRDefault="001031E1"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0,29</w:t>
            </w:r>
          </w:p>
        </w:tc>
        <w:tc>
          <w:tcPr>
            <w:tcW w:w="853" w:type="dxa"/>
          </w:tcPr>
          <w:p w14:paraId="77A7C8C0" w14:textId="35D62738" w:rsidR="000128A7" w:rsidRPr="00EE3022" w:rsidRDefault="00760DA9"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2545" w:type="dxa"/>
          </w:tcPr>
          <w:p w14:paraId="7ACD7810" w14:textId="77777777" w:rsidR="000128A7" w:rsidRPr="00EE3022" w:rsidRDefault="001031E1"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0,57 / 3* = 0,19</w:t>
            </w:r>
          </w:p>
        </w:tc>
      </w:tr>
      <w:tr w:rsidR="001C32FD" w:rsidRPr="00EE3022" w14:paraId="4C6D34C7" w14:textId="77777777" w:rsidTr="00D67017">
        <w:tc>
          <w:tcPr>
            <w:cnfStyle w:val="001000000000" w:firstRow="0" w:lastRow="0" w:firstColumn="1" w:lastColumn="0" w:oddVBand="0" w:evenVBand="0" w:oddHBand="0" w:evenHBand="0" w:firstRowFirstColumn="0" w:firstRowLastColumn="0" w:lastRowFirstColumn="0" w:lastRowLastColumn="0"/>
            <w:tcW w:w="1698" w:type="dxa"/>
          </w:tcPr>
          <w:p w14:paraId="37840A01"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Uniformity of roasting</w:t>
            </w:r>
          </w:p>
        </w:tc>
        <w:tc>
          <w:tcPr>
            <w:tcW w:w="1699" w:type="dxa"/>
          </w:tcPr>
          <w:p w14:paraId="5F809C82" w14:textId="0D966FD2" w:rsidR="000128A7" w:rsidRPr="00EE3022" w:rsidRDefault="00760DA9"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699" w:type="dxa"/>
          </w:tcPr>
          <w:p w14:paraId="64010064"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0,21</w:t>
            </w:r>
          </w:p>
        </w:tc>
        <w:tc>
          <w:tcPr>
            <w:tcW w:w="853" w:type="dxa"/>
          </w:tcPr>
          <w:p w14:paraId="1578DC04"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1</w:t>
            </w:r>
          </w:p>
        </w:tc>
        <w:tc>
          <w:tcPr>
            <w:tcW w:w="2545" w:type="dxa"/>
          </w:tcPr>
          <w:p w14:paraId="589D3734"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0,21 / 3 = 0,07</w:t>
            </w:r>
          </w:p>
        </w:tc>
      </w:tr>
      <w:tr w:rsidR="001C32FD" w:rsidRPr="00EE3022" w14:paraId="636DD081" w14:textId="77777777" w:rsidTr="00D670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8" w:type="dxa"/>
          </w:tcPr>
          <w:p w14:paraId="225BB71C" w14:textId="77777777" w:rsidR="000128A7" w:rsidRPr="00EE3022" w:rsidRDefault="001031E1">
            <w:pPr>
              <w:rPr>
                <w:rFonts w:ascii="Times New Roman" w:hAnsi="Times New Roman" w:cs="Times New Roman"/>
                <w:sz w:val="24"/>
                <w:szCs w:val="24"/>
                <w:lang w:val="en-US"/>
              </w:rPr>
            </w:pPr>
            <w:r w:rsidRPr="00EE3022">
              <w:rPr>
                <w:rFonts w:ascii="Times New Roman" w:hAnsi="Times New Roman" w:cs="Times New Roman"/>
                <w:sz w:val="24"/>
                <w:szCs w:val="24"/>
                <w:lang w:val="en-US"/>
              </w:rPr>
              <w:t>Number of slots</w:t>
            </w:r>
          </w:p>
        </w:tc>
        <w:tc>
          <w:tcPr>
            <w:tcW w:w="1699" w:type="dxa"/>
          </w:tcPr>
          <w:p w14:paraId="338C7242" w14:textId="5F4C7399" w:rsidR="000128A7" w:rsidRPr="00EE3022" w:rsidRDefault="00760DA9"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699" w:type="dxa"/>
          </w:tcPr>
          <w:p w14:paraId="2E081396" w14:textId="77777777" w:rsidR="000128A7" w:rsidRPr="00EE3022" w:rsidRDefault="001031E1"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0,14</w:t>
            </w:r>
          </w:p>
        </w:tc>
        <w:tc>
          <w:tcPr>
            <w:tcW w:w="853" w:type="dxa"/>
          </w:tcPr>
          <w:p w14:paraId="06E43185" w14:textId="73AB4EBB" w:rsidR="000128A7" w:rsidRPr="00EE3022" w:rsidRDefault="00760DA9"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545" w:type="dxa"/>
          </w:tcPr>
          <w:p w14:paraId="7B4C6E7D" w14:textId="77777777" w:rsidR="000128A7" w:rsidRPr="00EE3022" w:rsidRDefault="001031E1" w:rsidP="00760D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0,42 / 3 = 0,14</w:t>
            </w:r>
          </w:p>
        </w:tc>
      </w:tr>
      <w:tr w:rsidR="001C32FD" w:rsidRPr="00EE3022" w14:paraId="5632B6E0" w14:textId="77777777" w:rsidTr="00D67017">
        <w:tc>
          <w:tcPr>
            <w:cnfStyle w:val="001000000000" w:firstRow="0" w:lastRow="0" w:firstColumn="1" w:lastColumn="0" w:oddVBand="0" w:evenVBand="0" w:oddHBand="0" w:evenHBand="0" w:firstRowFirstColumn="0" w:firstRowLastColumn="0" w:lastRowFirstColumn="0" w:lastRowLastColumn="0"/>
            <w:tcW w:w="1698" w:type="dxa"/>
          </w:tcPr>
          <w:p w14:paraId="3E37B3F0"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Price</w:t>
            </w:r>
          </w:p>
        </w:tc>
        <w:tc>
          <w:tcPr>
            <w:tcW w:w="1699" w:type="dxa"/>
          </w:tcPr>
          <w:p w14:paraId="79FEC1D8"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5</w:t>
            </w:r>
          </w:p>
        </w:tc>
        <w:tc>
          <w:tcPr>
            <w:tcW w:w="1699" w:type="dxa"/>
          </w:tcPr>
          <w:p w14:paraId="3D5F7C7F"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0,36</w:t>
            </w:r>
          </w:p>
        </w:tc>
        <w:tc>
          <w:tcPr>
            <w:tcW w:w="853" w:type="dxa"/>
          </w:tcPr>
          <w:p w14:paraId="1337E5E3"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-2</w:t>
            </w:r>
          </w:p>
        </w:tc>
        <w:tc>
          <w:tcPr>
            <w:tcW w:w="2545" w:type="dxa"/>
          </w:tcPr>
          <w:p w14:paraId="627AEF75" w14:textId="77777777" w:rsidR="000128A7" w:rsidRPr="00EE3022" w:rsidRDefault="001031E1" w:rsidP="00760D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-0,71 / 3 = -0,24</w:t>
            </w:r>
          </w:p>
        </w:tc>
      </w:tr>
      <w:tr w:rsidR="001C32FD" w:rsidRPr="00EE3022" w14:paraId="0CB0E3F3" w14:textId="77777777" w:rsidTr="00D67017">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1698" w:type="dxa"/>
          </w:tcPr>
          <w:p w14:paraId="21414BF9" w14:textId="77777777" w:rsidR="000128A7" w:rsidRPr="00EE3022" w:rsidRDefault="001031E1">
            <w:pPr>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Total</w:t>
            </w:r>
          </w:p>
        </w:tc>
        <w:tc>
          <w:tcPr>
            <w:tcW w:w="1699" w:type="dxa"/>
          </w:tcPr>
          <w:p w14:paraId="610C5B95" w14:textId="5BBB270E" w:rsidR="000128A7" w:rsidRPr="00EE3022" w:rsidRDefault="00760DA9" w:rsidP="00760DA9">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1699" w:type="dxa"/>
          </w:tcPr>
          <w:p w14:paraId="322251F3" w14:textId="77777777" w:rsidR="000128A7" w:rsidRPr="00EE3022" w:rsidRDefault="001031E1" w:rsidP="00760DA9">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1,00</w:t>
            </w:r>
          </w:p>
        </w:tc>
        <w:tc>
          <w:tcPr>
            <w:tcW w:w="853" w:type="dxa"/>
          </w:tcPr>
          <w:p w14:paraId="69AEA38D" w14:textId="77777777" w:rsidR="000128A7" w:rsidRPr="00EE3022" w:rsidRDefault="001031E1" w:rsidP="00760DA9">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w:t>
            </w:r>
          </w:p>
        </w:tc>
        <w:tc>
          <w:tcPr>
            <w:tcW w:w="2545" w:type="dxa"/>
          </w:tcPr>
          <w:p w14:paraId="6BC554FA" w14:textId="77777777" w:rsidR="000128A7" w:rsidRPr="00EE3022" w:rsidRDefault="001031E1" w:rsidP="00760DA9">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E3022">
              <w:rPr>
                <w:rFonts w:ascii="Times New Roman" w:hAnsi="Times New Roman" w:cs="Times New Roman"/>
                <w:sz w:val="24"/>
                <w:szCs w:val="24"/>
                <w:lang w:val="en-US"/>
              </w:rPr>
              <w:t>0,50 / 3 = 0,17</w:t>
            </w:r>
          </w:p>
        </w:tc>
      </w:tr>
    </w:tbl>
    <w:p w14:paraId="0C59E539" w14:textId="159CE6B6" w:rsidR="000128A7" w:rsidRPr="00EE3022" w:rsidRDefault="001031E1" w:rsidP="00F8554E">
      <w:pPr>
        <w:spacing w:before="24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When each member of the family has done this exercise, they meet to discuss their arguments and decide which toaster to buy. Also, beyond the overall quantitative calculation, they can </w:t>
      </w:r>
      <w:r w:rsidR="00F8554E" w:rsidRPr="00EE3022">
        <w:rPr>
          <w:rFonts w:ascii="Times New Roman" w:hAnsi="Times New Roman" w:cs="Times New Roman"/>
          <w:sz w:val="24"/>
          <w:szCs w:val="24"/>
          <w:lang w:val="en-US"/>
        </w:rPr>
        <w:t>consider</w:t>
      </w:r>
      <w:r w:rsidRPr="00EE3022">
        <w:rPr>
          <w:rFonts w:ascii="Times New Roman" w:hAnsi="Times New Roman" w:cs="Times New Roman"/>
          <w:sz w:val="24"/>
          <w:szCs w:val="24"/>
          <w:lang w:val="en-US"/>
        </w:rPr>
        <w:t xml:space="preserve"> some contextual criteria, in case it affects their decision, such as the current availability in the store, free space on the countertop or possible shipping costs.</w:t>
      </w:r>
    </w:p>
    <w:p w14:paraId="6FBB6C7C" w14:textId="77777777" w:rsidR="000128A7" w:rsidRPr="00EE3022" w:rsidRDefault="001031E1">
      <w:pPr>
        <w:pStyle w:val="Ttulo2"/>
        <w:spacing w:before="240" w:after="240"/>
        <w:rPr>
          <w:lang w:val="en-US"/>
        </w:rPr>
      </w:pPr>
      <w:bookmarkStart w:id="4" w:name="_Toc135393162"/>
      <w:r w:rsidRPr="00EE3022">
        <w:rPr>
          <w:lang w:val="en-US"/>
        </w:rPr>
        <w:t xml:space="preserve">2.3 </w:t>
      </w:r>
      <w:r w:rsidR="009C0853" w:rsidRPr="00EE3022">
        <w:rPr>
          <w:lang w:val="en-US"/>
        </w:rPr>
        <w:t>MCDA in RSV</w:t>
      </w:r>
      <w:bookmarkEnd w:id="4"/>
    </w:p>
    <w:p w14:paraId="043DB468" w14:textId="77777777" w:rsidR="000128A7" w:rsidRPr="00EE3022" w:rsidRDefault="001031E1">
      <w:p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The following describes the steps we will follow to conduct the MCDA for this project, focused on assessing the value of Nirsevimab, a new RSV preventive measure.</w:t>
      </w:r>
    </w:p>
    <w:p w14:paraId="4E3EA7DD" w14:textId="31848534" w:rsidR="000128A7" w:rsidRPr="00EE3022" w:rsidRDefault="001031E1">
      <w:pPr>
        <w:jc w:val="both"/>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Step 1: Choosing the relevant criteria</w:t>
      </w:r>
    </w:p>
    <w:p w14:paraId="54BA97F5" w14:textId="6BAA64F2" w:rsidR="000128A7" w:rsidRPr="00EE3022" w:rsidRDefault="001031E1">
      <w:p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lastRenderedPageBreak/>
        <w:t xml:space="preserve">Based on the available evidence on the pathology, the most appropriate ad hoc framework (or set of criteria) to assess the value of the intervention against the comparator will be decided, starting from a pre-established framework, as we will see in section </w:t>
      </w:r>
      <w:r w:rsidR="008C4D92" w:rsidRPr="00EE3022">
        <w:rPr>
          <w:rFonts w:ascii="Times New Roman" w:hAnsi="Times New Roman" w:cs="Times New Roman"/>
          <w:sz w:val="24"/>
          <w:szCs w:val="24"/>
          <w:lang w:val="en-US"/>
        </w:rPr>
        <w:t>3.</w:t>
      </w:r>
    </w:p>
    <w:p w14:paraId="15648792" w14:textId="733B243E" w:rsidR="000128A7" w:rsidRPr="00EE3022" w:rsidRDefault="001031E1">
      <w:pPr>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 xml:space="preserve">Step 2: Assignment of weights to each criterion </w:t>
      </w:r>
    </w:p>
    <w:p w14:paraId="4CB19F4A" w14:textId="77777777" w:rsidR="000128A7" w:rsidRPr="00EE3022" w:rsidRDefault="001031E1">
      <w:p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Each expert, from his or her individual perspective, will assign a weight or weighting to each of the criteria selected in the previous step, according to the relative importance he or she gives to each of them. </w:t>
      </w:r>
      <w:bookmarkStart w:id="5" w:name="_Hlk58571877"/>
      <w:r w:rsidRPr="00EE3022">
        <w:rPr>
          <w:rFonts w:ascii="Times New Roman" w:hAnsi="Times New Roman" w:cs="Times New Roman"/>
          <w:sz w:val="24"/>
          <w:szCs w:val="24"/>
          <w:lang w:val="en-US"/>
        </w:rPr>
        <w:t>The weighting will be done on a scale between 1 and 5 points.</w:t>
      </w:r>
      <w:bookmarkEnd w:id="5"/>
      <w:r w:rsidRPr="00EE3022">
        <w:rPr>
          <w:rFonts w:ascii="Times New Roman" w:hAnsi="Times New Roman" w:cs="Times New Roman"/>
          <w:sz w:val="24"/>
          <w:szCs w:val="24"/>
          <w:lang w:val="en-US"/>
        </w:rPr>
        <w:t xml:space="preserve"> It is important to note that the weight assigned to each criterion is independent of the intervention to be evaluated.</w:t>
      </w:r>
    </w:p>
    <w:p w14:paraId="5538BD03" w14:textId="0DBF48F4" w:rsidR="000128A7" w:rsidRPr="00EE3022" w:rsidRDefault="001031E1">
      <w:pPr>
        <w:spacing w:before="120"/>
        <w:rPr>
          <w:rFonts w:ascii="Times New Roman" w:hAnsi="Times New Roman" w:cs="Times New Roman"/>
          <w:b/>
          <w:sz w:val="24"/>
          <w:szCs w:val="24"/>
          <w:lang w:val="en-US"/>
        </w:rPr>
      </w:pPr>
      <w:r w:rsidRPr="00EE3022">
        <w:rPr>
          <w:rFonts w:ascii="Times New Roman" w:hAnsi="Times New Roman" w:cs="Times New Roman"/>
          <w:b/>
          <w:sz w:val="24"/>
          <w:szCs w:val="24"/>
          <w:lang w:val="en-US"/>
        </w:rPr>
        <w:t xml:space="preserve">Step 3. Search for evidence </w:t>
      </w:r>
    </w:p>
    <w:p w14:paraId="7CB801D7" w14:textId="59A113EF" w:rsidR="000128A7" w:rsidRPr="00EE3022" w:rsidRDefault="00213B2D">
      <w:pPr>
        <w:spacing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Vivactis </w:t>
      </w:r>
      <w:r w:rsidR="001031E1" w:rsidRPr="00EE3022">
        <w:rPr>
          <w:rFonts w:ascii="Times New Roman" w:hAnsi="Times New Roman" w:cs="Times New Roman"/>
          <w:sz w:val="24"/>
          <w:szCs w:val="24"/>
          <w:lang w:val="en-US"/>
        </w:rPr>
        <w:t xml:space="preserve">Weber will synthesize the published information on the disease and on Nirsevimab into an evidence </w:t>
      </w:r>
      <w:r w:rsidR="00A66498">
        <w:rPr>
          <w:rFonts w:ascii="Times New Roman" w:hAnsi="Times New Roman" w:cs="Times New Roman"/>
          <w:sz w:val="24"/>
          <w:szCs w:val="24"/>
          <w:lang w:val="en-US"/>
        </w:rPr>
        <w:t>summary</w:t>
      </w:r>
      <w:r w:rsidR="001031E1" w:rsidRPr="00EE3022">
        <w:rPr>
          <w:rFonts w:ascii="Times New Roman" w:hAnsi="Times New Roman" w:cs="Times New Roman"/>
          <w:sz w:val="24"/>
          <w:szCs w:val="24"/>
          <w:lang w:val="en-US"/>
        </w:rPr>
        <w:t>, which will be reviewed and validated by the clinicians on the project's expert committee.</w:t>
      </w:r>
    </w:p>
    <w:p w14:paraId="3A2B8892" w14:textId="4CB02E5E" w:rsidR="000128A7" w:rsidRPr="00EE3022" w:rsidRDefault="001031E1">
      <w:pPr>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Step 4: Assigning a score to Nirsevimab</w:t>
      </w:r>
    </w:p>
    <w:p w14:paraId="33231F6F" w14:textId="21A640FC" w:rsidR="000128A7" w:rsidRPr="00EE3022" w:rsidRDefault="001031E1">
      <w:pPr>
        <w:spacing w:after="120" w:line="360" w:lineRule="auto"/>
        <w:jc w:val="both"/>
        <w:rPr>
          <w:rFonts w:ascii="Times New Roman" w:hAnsi="Times New Roman" w:cs="Times New Roman"/>
          <w:sz w:val="24"/>
          <w:szCs w:val="24"/>
          <w:lang w:val="en-US"/>
        </w:rPr>
      </w:pPr>
      <w:bookmarkStart w:id="6" w:name="_Hlk58571904"/>
      <w:r w:rsidRPr="00EE3022">
        <w:rPr>
          <w:rFonts w:ascii="Times New Roman" w:hAnsi="Times New Roman" w:cs="Times New Roman"/>
          <w:sz w:val="24"/>
          <w:szCs w:val="24"/>
          <w:lang w:val="en-US"/>
        </w:rPr>
        <w:t xml:space="preserve">Based on the available evidence and their own perception, each expert will assign a score to Nirsevimab vs. </w:t>
      </w:r>
      <w:r w:rsidR="00590875">
        <w:rPr>
          <w:rFonts w:ascii="Times New Roman" w:hAnsi="Times New Roman" w:cs="Times New Roman"/>
          <w:sz w:val="24"/>
          <w:szCs w:val="24"/>
          <w:lang w:val="en-US"/>
        </w:rPr>
        <w:t>a comparator</w:t>
      </w:r>
      <w:r w:rsidRPr="00EE3022">
        <w:rPr>
          <w:rFonts w:ascii="Times New Roman" w:hAnsi="Times New Roman" w:cs="Times New Roman"/>
          <w:sz w:val="24"/>
          <w:szCs w:val="24"/>
          <w:lang w:val="en-US"/>
        </w:rPr>
        <w:t>, for each of the criteria considered</w:t>
      </w:r>
      <w:bookmarkEnd w:id="6"/>
      <w:r w:rsidRPr="00EE3022">
        <w:rPr>
          <w:rFonts w:ascii="Times New Roman" w:hAnsi="Times New Roman" w:cs="Times New Roman"/>
          <w:sz w:val="24"/>
          <w:szCs w:val="24"/>
          <w:lang w:val="en-US"/>
        </w:rPr>
        <w:t xml:space="preserve"> (decided at the 1st </w:t>
      </w:r>
      <w:r w:rsidR="008A0569">
        <w:rPr>
          <w:rFonts w:ascii="Times New Roman" w:hAnsi="Times New Roman" w:cs="Times New Roman"/>
          <w:sz w:val="24"/>
          <w:szCs w:val="24"/>
          <w:lang w:val="en-US"/>
        </w:rPr>
        <w:t>step</w:t>
      </w:r>
      <w:r w:rsidRPr="00EE3022">
        <w:rPr>
          <w:rFonts w:ascii="Times New Roman" w:hAnsi="Times New Roman" w:cs="Times New Roman"/>
          <w:sz w:val="24"/>
          <w:szCs w:val="24"/>
          <w:lang w:val="en-US"/>
        </w:rPr>
        <w:t xml:space="preserve">). The score will be based on a certain scale that will depend on whether the criterion is absolute or relative to the comparator. In the first case (if it does not compare with respect to a comparator), the score will range from 0 to 5 points, with 0 being the lowest value and 5 the highest. For relative criteria (against the comparator), the scale will range from -5 to 5 points to reflect the full range of relative improvements or deteriorations. A value of 0 allows the exclusion of a criterion if it does not provide any value. </w:t>
      </w:r>
    </w:p>
    <w:p w14:paraId="6579A95B" w14:textId="73391C67" w:rsidR="000128A7" w:rsidRPr="00EE3022" w:rsidRDefault="001031E1">
      <w:pPr>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 xml:space="preserve">Step 5: Calculation of the total estimated value of the intervention </w:t>
      </w:r>
    </w:p>
    <w:p w14:paraId="07630591" w14:textId="71038CDB" w:rsidR="000128A7" w:rsidRPr="00EE3022" w:rsidRDefault="001031E1">
      <w:pPr>
        <w:spacing w:before="120" w:line="360" w:lineRule="auto"/>
        <w:jc w:val="both"/>
        <w:rPr>
          <w:rFonts w:ascii="Times New Roman" w:hAnsi="Times New Roman" w:cs="Times New Roman"/>
          <w:sz w:val="24"/>
          <w:szCs w:val="24"/>
          <w:lang w:val="en-US"/>
        </w:rPr>
      </w:pPr>
      <w:bookmarkStart w:id="7" w:name="_Hlk58571976"/>
      <w:r w:rsidRPr="00EE3022">
        <w:rPr>
          <w:rFonts w:ascii="Times New Roman" w:hAnsi="Times New Roman" w:cs="Times New Roman"/>
          <w:sz w:val="24"/>
          <w:szCs w:val="24"/>
          <w:lang w:val="en-US"/>
        </w:rPr>
        <w:t>The total estimated value of each intervention will be obtained by linking the weighting of each criterion with the score given to each intervention in each criterion,</w:t>
      </w:r>
      <w:bookmarkEnd w:id="7"/>
      <w:r w:rsidRPr="00EE3022">
        <w:rPr>
          <w:rFonts w:ascii="Times New Roman" w:hAnsi="Times New Roman" w:cs="Times New Roman"/>
          <w:sz w:val="24"/>
          <w:szCs w:val="24"/>
          <w:lang w:val="en-US"/>
        </w:rPr>
        <w:t xml:space="preserve"> through a linear additive model</w:t>
      </w:r>
      <w:r w:rsidR="008A0569">
        <w:rPr>
          <w:rFonts w:ascii="Times New Roman" w:hAnsi="Times New Roman" w:cs="Times New Roman"/>
          <w:sz w:val="24"/>
          <w:szCs w:val="24"/>
          <w:lang w:val="en-US"/>
        </w:rPr>
        <w:t xml:space="preserve"> </w:t>
      </w:r>
      <w:r w:rsidRPr="00EE3022">
        <w:rPr>
          <w:rFonts w:ascii="Times New Roman" w:hAnsi="Times New Roman" w:cs="Times New Roman"/>
          <w:sz w:val="24"/>
          <w:szCs w:val="24"/>
          <w:lang w:val="en-US"/>
        </w:rPr>
        <w:fldChar w:fldCharType="begin"/>
      </w:r>
      <w:r w:rsidR="001D4F38" w:rsidRPr="00EE3022">
        <w:rPr>
          <w:rFonts w:ascii="Times New Roman" w:hAnsi="Times New Roman" w:cs="Times New Roman"/>
          <w:sz w:val="24"/>
          <w:szCs w:val="24"/>
          <w:lang w:val="en-US"/>
        </w:rPr>
        <w:instrText xml:space="preserve"> ADDIN ZOTERO_ITEM CSL_CITATION {"citationID":"e2dxZ1G0","properties":{"formattedCitation":"[18]","plainCitation":"[18]","noteIndex":0},"citationItems":[{"id":21956,"uris":["http://zotero.org/groups/337550/items/BBCRPB5U"],"itemData":{"id":21956,"type":"article-journal","container-title":"BMC Health Services Research","DOI":"10.1186/1472-6963-8-270","ISSN":"1472-6963","issue":"1","language":"en","source":"CrossRef","title":"Evidence and Value: Impact on DEcisionMaking – the EVIDEM framework and potential applications","title-short":"Evidence and Value","URL":"http://bmchealthservres.biomedcentral.com/articles/10.1186/1472-6963-8-270","volume":"8","author":[{"family":"Goetghebeur","given":"Mireille M"},{"family":"Wagner","given":"Monika"},{"family":"Khoury","given":"Hanane"},{"family":"Levitt","given":"Randy J"},{"family":"Erickson","given":"Lonny J"},{"family":"Rindress","given":"Donna"}],"accessed":{"date-parts":[["2017",2,14]]},"issued":{"date-parts":[["2008"]]}}}],"schema":"https://github.com/citation-style-language/schema/raw/master/csl-citation.json"} </w:instrText>
      </w:r>
      <w:r w:rsidRPr="00EE3022">
        <w:rPr>
          <w:rFonts w:ascii="Times New Roman" w:hAnsi="Times New Roman" w:cs="Times New Roman"/>
          <w:sz w:val="24"/>
          <w:szCs w:val="24"/>
          <w:lang w:val="en-US"/>
        </w:rPr>
        <w:fldChar w:fldCharType="separate"/>
      </w:r>
      <w:r w:rsidR="001D4F38" w:rsidRPr="00EE3022">
        <w:rPr>
          <w:rFonts w:ascii="Times New Roman" w:hAnsi="Times New Roman" w:cs="Times New Roman"/>
          <w:sz w:val="24"/>
          <w:lang w:val="en-US"/>
        </w:rPr>
        <w:t>[18]</w:t>
      </w:r>
      <w:r w:rsidRPr="00EE3022">
        <w:rPr>
          <w:rFonts w:ascii="Times New Roman" w:hAnsi="Times New Roman" w:cs="Times New Roman"/>
          <w:sz w:val="24"/>
          <w:szCs w:val="24"/>
          <w:lang w:val="en-US"/>
        </w:rPr>
        <w:fldChar w:fldCharType="end"/>
      </w:r>
      <w:r w:rsidRPr="00EE3022">
        <w:rPr>
          <w:rFonts w:ascii="Times New Roman" w:hAnsi="Times New Roman" w:cs="Times New Roman"/>
          <w:sz w:val="24"/>
          <w:szCs w:val="24"/>
          <w:lang w:val="en-US"/>
        </w:rPr>
        <w:t>:</w:t>
      </w:r>
    </w:p>
    <w:p w14:paraId="7CD948AA" w14:textId="77777777" w:rsidR="000128A7" w:rsidRPr="00EE3022" w:rsidRDefault="001031E1">
      <w:pPr>
        <w:spacing w:after="0" w:line="240" w:lineRule="auto"/>
        <w:jc w:val="center"/>
        <w:rPr>
          <w:rFonts w:ascii="Times New Roman" w:hAnsi="Times New Roman" w:cs="Times New Roman"/>
          <w:sz w:val="24"/>
          <w:szCs w:val="24"/>
          <w:lang w:val="en-US"/>
        </w:rPr>
      </w:pPr>
      <w:r w:rsidRPr="00EE3022">
        <w:rPr>
          <w:rFonts w:ascii="Times New Roman" w:hAnsi="Times New Roman" w:cs="Times New Roman"/>
          <w:noProof/>
          <w:sz w:val="24"/>
          <w:szCs w:val="24"/>
          <w:lang w:val="en-US" w:eastAsia="es-ES"/>
        </w:rPr>
        <w:drawing>
          <wp:anchor distT="0" distB="0" distL="114300" distR="114300" simplePos="0" relativeHeight="251659264" behindDoc="0" locked="0" layoutInCell="1" allowOverlap="1" wp14:anchorId="28FC250D" wp14:editId="0A48732F">
            <wp:simplePos x="0" y="0"/>
            <wp:positionH relativeFrom="margin">
              <wp:posOffset>-43006</wp:posOffset>
            </wp:positionH>
            <wp:positionV relativeFrom="paragraph">
              <wp:posOffset>8255</wp:posOffset>
            </wp:positionV>
            <wp:extent cx="1828800" cy="600767"/>
            <wp:effectExtent l="0" t="0" r="0" b="889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0" cy="600767"/>
                    </a:xfrm>
                    <a:prstGeom prst="rect">
                      <a:avLst/>
                    </a:prstGeom>
                    <a:noFill/>
                    <a:ln>
                      <a:noFill/>
                    </a:ln>
                  </pic:spPr>
                </pic:pic>
              </a:graphicData>
            </a:graphic>
          </wp:anchor>
        </w:drawing>
      </w:r>
    </w:p>
    <w:p w14:paraId="635E038F" w14:textId="77777777" w:rsidR="00A55675" w:rsidRPr="00EE3022" w:rsidRDefault="00A55675" w:rsidP="00A55675">
      <w:pPr>
        <w:spacing w:line="240" w:lineRule="auto"/>
        <w:rPr>
          <w:rFonts w:ascii="Times New Roman" w:hAnsi="Times New Roman" w:cs="Times New Roman"/>
          <w:sz w:val="24"/>
          <w:szCs w:val="24"/>
          <w:lang w:val="en-US"/>
        </w:rPr>
      </w:pPr>
    </w:p>
    <w:p w14:paraId="28BB7618" w14:textId="77777777" w:rsidR="00A55675" w:rsidRPr="00EE3022" w:rsidRDefault="00A55675" w:rsidP="00A55675">
      <w:pPr>
        <w:spacing w:line="240" w:lineRule="auto"/>
        <w:rPr>
          <w:rFonts w:ascii="Times New Roman" w:hAnsi="Times New Roman" w:cs="Times New Roman"/>
          <w:sz w:val="24"/>
          <w:szCs w:val="24"/>
          <w:lang w:val="en-US"/>
        </w:rPr>
      </w:pPr>
    </w:p>
    <w:p w14:paraId="36C59C6B" w14:textId="14AF9CD3" w:rsidR="000128A7" w:rsidRPr="00EE3022" w:rsidRDefault="001031E1">
      <w:pPr>
        <w:spacing w:line="240" w:lineRule="auto"/>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Notes: </w:t>
      </w:r>
      <w:r w:rsidR="00C91EC4" w:rsidRPr="00C91EC4">
        <w:rPr>
          <w:rFonts w:ascii="Times New Roman" w:hAnsi="Times New Roman" w:cs="Times New Roman"/>
          <w:sz w:val="24"/>
          <w:szCs w:val="24"/>
          <w:lang w:val="en-US"/>
        </w:rPr>
        <w:t>V is the total estimated value, Vx the value contribution of the criterion x, Wx the weighting of the criterion x, ∑Wn the sum of all weights, and Sx the normalized score for each criterion (Sx = score / 5)</w:t>
      </w:r>
      <w:r w:rsidRPr="00EE3022">
        <w:rPr>
          <w:rFonts w:ascii="Times New Roman" w:hAnsi="Times New Roman" w:cs="Times New Roman"/>
          <w:sz w:val="24"/>
          <w:szCs w:val="24"/>
          <w:lang w:val="en-US"/>
        </w:rPr>
        <w:t>.</w:t>
      </w:r>
    </w:p>
    <w:p w14:paraId="560E75AF" w14:textId="30201176" w:rsidR="000128A7" w:rsidRPr="00EE3022" w:rsidRDefault="001031E1">
      <w:pPr>
        <w:spacing w:before="480" w:after="120" w:line="360" w:lineRule="auto"/>
        <w:jc w:val="both"/>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lastRenderedPageBreak/>
        <w:t xml:space="preserve">Step 6: Qualitative discussion on the results </w:t>
      </w:r>
    </w:p>
    <w:p w14:paraId="03C598FD" w14:textId="3B5CFC5D" w:rsidR="000128A7" w:rsidRPr="00EE3022" w:rsidRDefault="001031E1">
      <w:p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In </w:t>
      </w:r>
      <w:r w:rsidR="00C91EC4">
        <w:rPr>
          <w:rFonts w:ascii="Times New Roman" w:hAnsi="Times New Roman" w:cs="Times New Roman"/>
          <w:sz w:val="24"/>
          <w:szCs w:val="24"/>
          <w:lang w:val="en-US"/>
        </w:rPr>
        <w:t>an online</w:t>
      </w:r>
      <w:r w:rsidRPr="00EE3022">
        <w:rPr>
          <w:rFonts w:ascii="Times New Roman" w:hAnsi="Times New Roman" w:cs="Times New Roman"/>
          <w:sz w:val="24"/>
          <w:szCs w:val="24"/>
          <w:lang w:val="en-US"/>
        </w:rPr>
        <w:t xml:space="preserve"> meeting, </w:t>
      </w:r>
      <w:r w:rsidR="00213B2D">
        <w:rPr>
          <w:rFonts w:ascii="Times New Roman" w:hAnsi="Times New Roman" w:cs="Times New Roman"/>
          <w:sz w:val="24"/>
          <w:szCs w:val="24"/>
          <w:lang w:val="en-US"/>
        </w:rPr>
        <w:t xml:space="preserve">Vivactis </w:t>
      </w:r>
      <w:r w:rsidRPr="00EE3022">
        <w:rPr>
          <w:rFonts w:ascii="Times New Roman" w:hAnsi="Times New Roman" w:cs="Times New Roman"/>
          <w:sz w:val="24"/>
          <w:szCs w:val="24"/>
          <w:lang w:val="en-US"/>
        </w:rPr>
        <w:t>Weber will present the results of the MCDA (weighting, scores</w:t>
      </w:r>
      <w:r w:rsidR="00BB6F4A">
        <w:rPr>
          <w:rFonts w:ascii="Times New Roman" w:hAnsi="Times New Roman" w:cs="Times New Roman"/>
          <w:sz w:val="24"/>
          <w:szCs w:val="24"/>
          <w:lang w:val="en-US"/>
        </w:rPr>
        <w:t>,</w:t>
      </w:r>
      <w:r w:rsidRPr="00EE3022">
        <w:rPr>
          <w:rFonts w:ascii="Times New Roman" w:hAnsi="Times New Roman" w:cs="Times New Roman"/>
          <w:sz w:val="24"/>
          <w:szCs w:val="24"/>
          <w:lang w:val="en-US"/>
        </w:rPr>
        <w:t xml:space="preserve"> and final values) and a discussion will take place regarding the arguments and points of view applied by the experts for the evaluation of the intervention. This qualitative information is essential for the interpretation of the results.</w:t>
      </w:r>
    </w:p>
    <w:p w14:paraId="4E8AD04A" w14:textId="635C1D34" w:rsidR="000128A7" w:rsidRPr="00EE3022" w:rsidRDefault="001031E1">
      <w:pPr>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Step 7: Sensitivity analysis</w:t>
      </w:r>
    </w:p>
    <w:p w14:paraId="3E65916E" w14:textId="58A38129" w:rsidR="000128A7" w:rsidRPr="00EE3022" w:rsidRDefault="001031E1">
      <w:pPr>
        <w:spacing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In order to assess the degree of replicability and internal validity of the analysis, one week after the </w:t>
      </w:r>
      <w:r w:rsidR="00707E70">
        <w:rPr>
          <w:rFonts w:ascii="Times New Roman" w:hAnsi="Times New Roman" w:cs="Times New Roman"/>
          <w:sz w:val="24"/>
          <w:szCs w:val="24"/>
          <w:lang w:val="en-US"/>
        </w:rPr>
        <w:t>previous</w:t>
      </w:r>
      <w:r w:rsidRPr="00EE3022">
        <w:rPr>
          <w:rFonts w:ascii="Times New Roman" w:hAnsi="Times New Roman" w:cs="Times New Roman"/>
          <w:sz w:val="24"/>
          <w:szCs w:val="24"/>
          <w:lang w:val="en-US"/>
        </w:rPr>
        <w:t xml:space="preserve"> meeting, an online re-test of the criteria weights and scores of the evaluated interventions will be conducted, asking the committee experts to re-weight and re-score. The degree of agreement or consistency between the responses made at the two points in time will be assessed. </w:t>
      </w:r>
    </w:p>
    <w:p w14:paraId="59890E0A" w14:textId="77777777" w:rsidR="000128A7" w:rsidRPr="00EE3022" w:rsidRDefault="001031E1">
      <w:pPr>
        <w:rPr>
          <w:rFonts w:ascii="Times New Roman" w:hAnsi="Times New Roman" w:cs="Times New Roman"/>
          <w:b/>
          <w:bCs/>
          <w:sz w:val="24"/>
          <w:szCs w:val="24"/>
          <w:lang w:val="en-US"/>
        </w:rPr>
      </w:pPr>
      <w:r w:rsidRPr="00EE3022">
        <w:rPr>
          <w:rFonts w:ascii="Times New Roman" w:hAnsi="Times New Roman" w:cs="Times New Roman"/>
          <w:b/>
          <w:bCs/>
          <w:sz w:val="24"/>
          <w:szCs w:val="24"/>
          <w:lang w:val="en-US"/>
        </w:rPr>
        <w:t>Step 8: Presentation of results</w:t>
      </w:r>
    </w:p>
    <w:p w14:paraId="79EC70BE" w14:textId="51695F14" w:rsidR="000128A7" w:rsidRPr="00EE3022" w:rsidRDefault="001031E1" w:rsidP="00121EA2">
      <w:pPr>
        <w:spacing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The results of the MCDA analysis, as well as the methodological and deliberative considerations of the process, will be collected in a results analysis report, which will be drafted by the </w:t>
      </w:r>
      <w:r w:rsidR="00213B2D">
        <w:rPr>
          <w:rFonts w:ascii="Times New Roman" w:hAnsi="Times New Roman" w:cs="Times New Roman"/>
          <w:sz w:val="24"/>
          <w:szCs w:val="24"/>
          <w:lang w:val="en-US"/>
        </w:rPr>
        <w:t xml:space="preserve">Vivactis </w:t>
      </w:r>
      <w:r w:rsidRPr="00EE3022">
        <w:rPr>
          <w:rFonts w:ascii="Times New Roman" w:hAnsi="Times New Roman" w:cs="Times New Roman"/>
          <w:sz w:val="24"/>
          <w:szCs w:val="24"/>
          <w:lang w:val="en-US"/>
        </w:rPr>
        <w:t>Weber team and reviewed and validated by the members of the Expert Committee.</w:t>
      </w:r>
    </w:p>
    <w:p w14:paraId="7EAE246D" w14:textId="67E8E974" w:rsidR="000128A7" w:rsidRPr="00EE3022" w:rsidRDefault="001031E1">
      <w:pPr>
        <w:pStyle w:val="Ttulo1"/>
        <w:spacing w:after="240"/>
        <w:rPr>
          <w:lang w:val="en-US"/>
        </w:rPr>
      </w:pPr>
      <w:bookmarkStart w:id="8" w:name="_Toc135393163"/>
      <w:r w:rsidRPr="00EE3022">
        <w:rPr>
          <w:lang w:val="en-US"/>
        </w:rPr>
        <w:t>3. Vaccinex frame</w:t>
      </w:r>
      <w:r w:rsidR="00121EA2">
        <w:rPr>
          <w:lang w:val="en-US"/>
        </w:rPr>
        <w:t>work</w:t>
      </w:r>
      <w:bookmarkEnd w:id="8"/>
    </w:p>
    <w:p w14:paraId="79B87017" w14:textId="77777777" w:rsidR="000128A7" w:rsidRPr="00EE3022" w:rsidRDefault="001031E1">
      <w:pPr>
        <w:spacing w:before="120" w:after="120" w:line="360" w:lineRule="auto"/>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Vaccines have some characteristics that are different from most drugs and health technologies, such as disease eradication capabilities and broader societal effects </w:t>
      </w:r>
      <w:r w:rsidRPr="00EE3022">
        <w:rPr>
          <w:rFonts w:ascii="Times New Roman" w:hAnsi="Times New Roman" w:cs="Times New Roman"/>
          <w:sz w:val="24"/>
          <w:szCs w:val="24"/>
          <w:lang w:val="en-US"/>
        </w:rPr>
        <w:fldChar w:fldCharType="begin"/>
      </w:r>
      <w:r w:rsidR="001D4F38" w:rsidRPr="00EE3022">
        <w:rPr>
          <w:rFonts w:ascii="Times New Roman" w:hAnsi="Times New Roman" w:cs="Times New Roman"/>
          <w:sz w:val="24"/>
          <w:szCs w:val="24"/>
          <w:lang w:val="en-US"/>
        </w:rPr>
        <w:instrText xml:space="preserve"> ADDIN ZOTERO_ITEM CSL_CITATION {"citationID":"sM1EtSKE","properties":{"formattedCitation":"[19,20,p.0,21\\uc0\\u8211{}24]","plainCitation":"[19,20,p.0,21–24]","noteIndex":0},"citationItems":[{"id":67175,"uris":["http://zotero.org/groups/337550/items/YXIW2Z7N"],"itemData":{"id":67175,"type":"article-journal","abstract":"BACKGROUND: The COVID-19 pandemic shows that the impact of effective vaccines can extend well beyond vaccinated individuals and healthcare systems. Yet, these broader value elements are not typically considered in Health Technology Assessment (HTA) which may underestimate vaccines' broader value.\nOBJECTIVES: This study aimed to (1) describe the gap between broader value elements identified in value frameworks for vaccines and those recognised in HTA of vaccines in nine developed markets, and (2) develop expert-informed, consensus-based recommendations on how hurdles for broader value recognition could be overcome.\nMETHODS: We used a four-step modified Delphi method consisting of literature research (phase I, pearl-growing approach using PubMed Web of Science and Google covering the years 2000-2019), two consecutive phases of expert elicitation (phase II and III, including two email surveys and one virtual round table with 10 experts from 9 countries) and synthesis of recommendations (phase IV).\nRESULTS: Results show that about half of the broader value elements relevant to vaccines are not (consistently) considered in HTA processes of multiple higher-income countries. Experts identified five priority areas for broader value recognition, including considering (1) more comprehensive cost offsets within the health care system, (2) carer quality of life, (3) transmission value, (4) prevention of antimicrobial resistance and (5) macroeconomic effects.\nCONCLUSION: To achieve a broader recognition of the value of vaccines, a three-pronged approach was recommended, focusing on (1) Evidence: proactively steering generation of high-quality evidence to quantify the broader value of vaccines to society; (2) Ability: leveraging and further developing existing methodological and analytic expertise to appropriately recognise the broad value of vaccines within HTA processes; (3) Willingness: Stimulating stakeholder engagement to change the status quo and move towards more transparent and comprehensive value assessment processes for vaccines globally.","container-title":"Applied Health Economics and Health Policy","DOI":"10.1007/s40258-021-00683-z","ISSN":"1179-1896","issue":"1","journalAbbreviation":"Appl Health Econ Health Policy","language":"eng","note":"PMID: 34553333\nPMCID: PMC8458004","page":"105-117","source":"PubMed","title":"Towards a Broader Assessment of Value in Vaccines: The BRAVE Way Forward","title-short":"Towards a Broader Assessment of Value in Vaccines","volume":"20","author":[{"family":"Bell","given":"Eleanor"},{"family":"Neri","given":"Margherita"},{"family":"Steuten","given":"Lotte"}],"issued":{"date-parts":[["2022"]]}}},{"id":25414,"uris":["http://zotero.org/groups/337550/items/TC6Y7T9X"],"itemData":{"id":25414,"type":"article-journal","abstract":"SMART Vaccines 2.0 software is being developed to support decision-making among multiple stakeholders in the process of prioritizing investments to optimize the outcomes of vaccine development and deployment. Vaccines and associated vaccination programs are one of the most successful and effective public health interventions to prevent communicable diseases and vaccine researchers are continually working towards expanding targets for communicable and non-communicable diseases through preventive and therapeutic modes. A growing body of evidence on emerging vaccine technologies, trends in disease burden, costs associated with vaccine development and deployment, and benefits derived from disease prevention through vaccination and a range of other factors can inform decision-making and investment in new and improved vaccines and targeted utilization of already existing vaccines. Recognizing that an array of inputs influences these decisions, the strategic multi-attribute ranking method for vaccines (SMART Vaccines 2.0) is in development as a web-based tool-modified from a U.S. Institute of Medicine Committee effort (IOM, 2015)-to highlight data needs and create transparency to facilitate dialogue and information-sharing among decision-makers and to optimize the investment of resources leading to improved health outcomes. Current development efforts of the SMART Vaccines 2.0 framework seek to generate a weighted recommendation on vaccine development or vaccination priorities based on population, disease, economic, and vaccine-specific data in combination with individual preference and weights of user-selected attributes incorporating valuations of health, economics, demographics, public concern, scientific and business, programmatic, and political considerations. Further development of the design and utility of the tool is being carried out by the National Vaccine Program Office of the Department of Health and Human Services and the Fogarty International Center of the National Institutes of Health. We aim to demonstrate the utility of SMART Vaccines 2.0 through the engagement of a community of relevant stakeholders and to identify a limited number of pilot projects to determine explicitly defined attribute preferences and the related data and model requirements that are responsive to user needs and able to improve the use of evidence for vaccine-related decision-making and consequential priorities of vaccination options.","container-title":"Vaccine","DOI":"10.1016/j.vaccine.2016.10.086","ISSN":"1873-2518","journalAbbreviation":"Vaccine","language":"eng","note":"PMID: 28017435","page":"A43-A45","source":"PubMed","title":"Informing vaccine decision-making: A strategic multi-attribute ranking tool for vaccines-SMART Vaccines 2.0","title-short":"Informing vaccine decision-making","volume":"35 Suppl 1","author":[{"family":"Knobler","given":"Stacey"},{"family":"Bok","given":"Karin"},{"family":"Gellin","given":"Bruce"}],"issued":{"date-parts":[["2017"]]}},"locator":"0"},{"id":67178,"uris":["http://zotero.org/groups/337550/items/SPQDKQFY"],"itemData":{"id":67178,"type":"article-journal","abstract":"In addition to more narrow criteria such as safety, effectiveness and cost-effectiveness, vaccines can also be evaluated based on broader criteria such as their economic impact, contribution to disease eradication objectives, caregiver aspects, financial protection offered, equity or social acceptability. We summarize a survey executed in a sample of the population (n = 1000) in Flanders, Belgium, in which we investigated support for using these broader criteria to evaluate vaccines for funding decisions. By means of both favourable and unfavourable framings of a hypothetical vaccine across 40 value dimensions, we find support for the view that people indeed consider a broad range of medical and socio-economic criteria relevant. Several of these are not incorporated in standard evaluation frameworks for vaccines. The different results we find for different framings highlight the importance of developing a consistent a priori value framework for vaccine evaluation, rather than evaluating vaccines on an ad hoc basis.","container-title":"Vaccines","DOI":"10.3390/vaccines8040628","ISSN":"2076-393X","issue":"4","journalAbbreviation":"Vaccines (Basel)","language":"eng","note":"PMID: 33126454\nPMCID: PMC7712404","page":"E628","source":"PubMed","title":"Value Frameworks for Vaccines: Which Dimensions Are Most Relevant?","title-short":"Value Frameworks for Vaccines","volume":"8","author":[{"family":"Luyten","given":"Jeroen"},{"family":"Kessels","given":"Roselinde"},{"family":"Vandermeulen","given":"Corinne"},{"family":"Beutels","given":"Philippe"}],"issued":{"date-parts":[["2020",10,28]]}}},{"id":67172,"uris":["http://zotero.org/groups/337550/items/LFTV7JSB"],"itemData":{"id":67172,"type":"article-journal","abstract":"In resource-constrained environments, priority setting is critical to making sustainable decisions for introducing new and underused vaccines and choosing among vaccine products. Donor organisations and national governments in low-income and middle-income countries (LMICs) recognise the need to support prioritisation of vaccine decisions driven by local health system capacity, epidemiology and financial sustainability.\nSuccessful efforts have supported the establishment of National Immunisation Technical Advisory Groups (NITAGs) to undertake evidence-informed decision making (EIDM) in LMICs. Now, attention is increasingly focused on supporting their function to leverage local expertise and priorities. EIDM and priority-setting functions are complex and dynamic processes. Here, we report a pilot of a web-based decision-support tool. Applying tenets of multicriteria decision analysis, SMART Vaccines 2.0 supported transparent, reproducible and evidence-informed priority setting with an easy-to-use interface and shareable outputs.\nThe pilot was run by the Uganda NITAG who were requested by the Ministry of Health (MOH) in 2016 to produce recommendations on the prioritised introduction of five new vaccines. The tool was acceptable to the NITAG and supported their recommendations to the MOH. The tool highlighted sensitivity in the prioritisation process to the inherent biases of different stakeholders. This feature also enabled examination of the implications of data uncertainty. Feedback from users identified areas where the tool could more explicitly support evidence-to-recommendation frameworks, ultimately informing the next generation of the platform, PriorityVax.\nCountry ownership and priority setting in vaccine decisions are central to sustainability. PriorityVax promotes auditable and rigorous deliberations; enables and captures the decision matrix of users; and generates shareable documentation of the process.","container-title":"BMJ Global Health","DOI":"10.1136/bmjgh-2020-003587","ISSN":"2059-7908","issue":"11","language":"en","license":"© Author(s) (or their employer(s)) 2020.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BMJ Specialist Journals\nsection: Practice\nPMID: 33239338","page":"e003587","source":"gh.bmj.com","title":"SMART Vaccines 2.0 decision-support platform: a tool to facilitate and promote priority setting for sustainable vaccination in resource-limited settings","title-short":"SMART Vaccines 2.0 decision-support platform","volume":"5","author":[{"family":"McCormick","given":"Benjamin J. J."},{"family":"Waiswa","given":"Peter"},{"family":"Nalwadda","given":"Celia"},{"family":"Sewankambo","given":"Nelson K."},{"family":"Knobler","given":"Stacey L."}],"issued":{"date-parts":[["2020"]]}}},{"id":57465,"uris":["http://zotero.org/groups/337550/items/WPDW4GAY"],"itemData":{"id":57465,"type":"article-journal","abstract":"Background: Decision-making processes regarding new vaccine prioritizations are complex. The objective of this study was to prioritize the introduction of new vaccines in Indonesia.Methods: A multi-criteria decision analysis (MCDA) was applied in this study. A preliminary data collection form was developed to collect country-specific data in relation to 30 pre-defined attributes. In particular, an open-ended questionnaire was conducted among targeted respondents from global level, national level and vaccine manufacturers, which were involved in the financial flows of new vaccine procurement in Indonesia. For setting new vaccines priorities, targeted respondents were asked to assign weight on 10 selected criteria.Results: Top 3 attributes with the highest weight from respondents were premature deaths averted per year, incident cases prevented per year, and cost-effectiveness. Applying criteria scores and weight assessment, the result showed that PCV, rotavirus, HPV, and JE would be on the 1st, 2nd, 3rd, and 4th rank for setting new vaccine priority in Indonesia. There was a significant difference score (p value &lt;0.05) between all these vaccines.Conclusions: PCV, rotavirus and HPV vaccines should be more prioritized than JE vaccine. This ranking is in line with the WHO's priority list, which potentially illustrates the validity and usefulness of our MCDA-approach.","container-title":"Expert Review of Vaccines","DOI":"10.1080/14760584.2021.1874926","ISSN":"1744-8395","issue":"1","journalAbbreviation":"Expert Rev Vaccines","language":"eng","note":"PMID: 33428502","page":"83-91","source":"PubMed","title":"Multi-criteria decision analysis to prioritize the introduction of new vaccines in Indonesia by using the framework of the strategic multi-attribute ranking tool for vaccines (SMART vaccines)","volume":"20","author":[{"family":"Suwantika","given":"Auliya A."},{"family":"Purwadi","given":"Febby V."},{"family":"Zakiyah","given":"Neily"},{"family":"Puspitasari","given":"Irma M."},{"family":"Abdulah","given":"Rizky"},{"family":"Diantini","given":"Ajeng"},{"family":"Boersma","given":"Cornelis"},{"family":"Postma","given":"Maarten J."}],"issued":{"date-parts":[["2021",1]]}}},{"id":67188,"uris":["http://zotero.org/groups/337550/items/TJVP4VHB"],"itemData":{"id":67188,"type":"book","language":"en","note":"DOI: 10.17226/13531","source":"www.nap.edu","title":"Ranking Vaccines: A Prioritization Software Tool: Phase II: Prototype of a Decision-Support System","URL":"https://www.nap.edu/read/13531/chapter/2","author":[{"family":"The National Academies of Engineering Medicine","given":""}],"accessed":{"date-parts":[["2022",3,24]]},"issued":{"date-parts":[["2013"]]}}}],"schema":"https://github.com/citation-style-language/schema/raw/master/csl-citation.json"} </w:instrText>
      </w:r>
      <w:r w:rsidRPr="00EE3022">
        <w:rPr>
          <w:rFonts w:ascii="Times New Roman" w:hAnsi="Times New Roman" w:cs="Times New Roman"/>
          <w:sz w:val="24"/>
          <w:szCs w:val="24"/>
          <w:lang w:val="en-US"/>
        </w:rPr>
        <w:fldChar w:fldCharType="separate"/>
      </w:r>
      <w:r w:rsidR="001D4F38" w:rsidRPr="00EE3022">
        <w:rPr>
          <w:rFonts w:ascii="Times New Roman" w:hAnsi="Times New Roman" w:cs="Times New Roman"/>
          <w:sz w:val="24"/>
          <w:szCs w:val="24"/>
          <w:lang w:val="en-US"/>
        </w:rPr>
        <w:t>[19,20]</w:t>
      </w:r>
      <w:r w:rsidRPr="00EE3022">
        <w:rPr>
          <w:rFonts w:ascii="Times New Roman" w:hAnsi="Times New Roman" w:cs="Times New Roman"/>
          <w:sz w:val="24"/>
          <w:szCs w:val="24"/>
          <w:lang w:val="en-US"/>
        </w:rPr>
        <w:fldChar w:fldCharType="end"/>
      </w:r>
      <w:r w:rsidRPr="00EE3022">
        <w:rPr>
          <w:rFonts w:ascii="Times New Roman" w:hAnsi="Times New Roman" w:cs="Times New Roman"/>
          <w:sz w:val="24"/>
          <w:szCs w:val="24"/>
          <w:lang w:val="en-US"/>
        </w:rPr>
        <w:t xml:space="preserve">. They should therefore be evaluated on the basis of broader criteria, such as their economic impact, contribution to disease eradication goals, caregiver issues, financial protection offered, equity or </w:t>
      </w:r>
      <w:r w:rsidR="000D109C" w:rsidRPr="00EE3022">
        <w:rPr>
          <w:rFonts w:ascii="Times New Roman" w:hAnsi="Times New Roman" w:cs="Times New Roman"/>
          <w:sz w:val="24"/>
          <w:szCs w:val="24"/>
          <w:lang w:val="en-US"/>
        </w:rPr>
        <w:t>social</w:t>
      </w:r>
      <w:r w:rsidRPr="00EE3022">
        <w:rPr>
          <w:rFonts w:ascii="Times New Roman" w:hAnsi="Times New Roman" w:cs="Times New Roman"/>
          <w:sz w:val="24"/>
          <w:szCs w:val="24"/>
          <w:lang w:val="en-US"/>
        </w:rPr>
        <w:t xml:space="preserve"> acceptability. </w:t>
      </w:r>
      <w:r w:rsidRPr="00EE3022">
        <w:rPr>
          <w:rFonts w:ascii="Times New Roman" w:hAnsi="Times New Roman" w:cs="Times New Roman"/>
          <w:sz w:val="24"/>
          <w:szCs w:val="24"/>
          <w:lang w:val="en-US"/>
        </w:rPr>
        <w:fldChar w:fldCharType="begin"/>
      </w:r>
      <w:r w:rsidR="001D4F38" w:rsidRPr="00EE3022">
        <w:rPr>
          <w:rFonts w:ascii="Times New Roman" w:hAnsi="Times New Roman" w:cs="Times New Roman"/>
          <w:sz w:val="24"/>
          <w:szCs w:val="24"/>
          <w:lang w:val="en-US"/>
        </w:rPr>
        <w:instrText xml:space="preserve"> ADDIN ZOTERO_ITEM CSL_CITATION {"citationID":"EuHntVfm","properties":{"formattedCitation":"[21]","plainCitation":"[21]","noteIndex":0},"citationItems":[{"id":67178,"uris":["http://zotero.org/groups/337550/items/SPQDKQFY"],"itemData":{"id":67178,"type":"article-journal","abstract":"In addition to more narrow criteria such as safety, effectiveness and cost-effectiveness, vaccines can also be evaluated based on broader criteria such as their economic impact, contribution to disease eradication objectives, caregiver aspects, financial protection offered, equity or social acceptability. We summarize a survey executed in a sample of the population (n = 1000) in Flanders, Belgium, in which we investigated support for using these broader criteria to evaluate vaccines for funding decisions. By means of both favourable and unfavourable framings of a hypothetical vaccine across 40 value dimensions, we find support for the view that people indeed consider a broad range of medical and socio-economic criteria relevant. Several of these are not incorporated in standard evaluation frameworks for vaccines. The different results we find for different framings highlight the importance of developing a consistent a priori value framework for vaccine evaluation, rather than evaluating vaccines on an ad hoc basis.","container-title":"Vaccines","DOI":"10.3390/vaccines8040628","ISSN":"2076-393X","issue":"4","journalAbbreviation":"Vaccines (Basel)","language":"eng","note":"PMID: 33126454\nPMCID: PMC7712404","page":"E628","source":"PubMed","title":"Value Frameworks for Vaccines: Which Dimensions Are Most Relevant?","title-short":"Value Frameworks for Vaccines","volume":"8","author":[{"family":"Luyten","given":"Jeroen"},{"family":"Kessels","given":"Roselinde"},{"family":"Vandermeulen","given":"Corinne"},{"family":"Beutels","given":"Philippe"}],"issued":{"date-parts":[["2020",10,28]]}}}],"schema":"https://github.com/citation-style-language/schema/raw/master/csl-citation.json"} </w:instrText>
      </w:r>
      <w:r w:rsidRPr="00EE3022">
        <w:rPr>
          <w:rFonts w:ascii="Times New Roman" w:hAnsi="Times New Roman" w:cs="Times New Roman"/>
          <w:sz w:val="24"/>
          <w:szCs w:val="24"/>
          <w:lang w:val="en-US"/>
        </w:rPr>
        <w:fldChar w:fldCharType="separate"/>
      </w:r>
      <w:r w:rsidR="001D4F38" w:rsidRPr="00EE3022">
        <w:rPr>
          <w:rFonts w:ascii="Times New Roman" w:hAnsi="Times New Roman" w:cs="Times New Roman"/>
          <w:sz w:val="24"/>
          <w:lang w:val="en-US"/>
        </w:rPr>
        <w:t>[21]</w:t>
      </w:r>
      <w:r w:rsidRPr="00EE3022">
        <w:rPr>
          <w:rFonts w:ascii="Times New Roman" w:hAnsi="Times New Roman" w:cs="Times New Roman"/>
          <w:sz w:val="24"/>
          <w:szCs w:val="24"/>
          <w:lang w:val="en-US"/>
        </w:rPr>
        <w:fldChar w:fldCharType="end"/>
      </w:r>
      <w:r w:rsidRPr="00EE3022">
        <w:rPr>
          <w:rFonts w:ascii="Times New Roman" w:hAnsi="Times New Roman" w:cs="Times New Roman"/>
          <w:sz w:val="24"/>
          <w:szCs w:val="24"/>
          <w:lang w:val="en-US"/>
        </w:rPr>
        <w:t xml:space="preserve">. </w:t>
      </w:r>
    </w:p>
    <w:p w14:paraId="33B1245B" w14:textId="52708B16" w:rsidR="000128A7" w:rsidRDefault="001031E1">
      <w:pPr>
        <w:spacing w:before="120" w:after="120" w:line="360" w:lineRule="auto"/>
        <w:jc w:val="both"/>
        <w:rPr>
          <w:rFonts w:ascii="Times New Roman" w:hAnsi="Times New Roman" w:cs="Times New Roman"/>
          <w:sz w:val="24"/>
          <w:szCs w:val="24"/>
          <w:lang w:val="en-US"/>
        </w:rPr>
      </w:pPr>
      <w:bookmarkStart w:id="9" w:name="_Toc100238234"/>
      <w:bookmarkStart w:id="10" w:name="_Toc100679568"/>
      <w:bookmarkStart w:id="11" w:name="_Toc100679994"/>
      <w:bookmarkStart w:id="12" w:name="_Toc100238235"/>
      <w:bookmarkStart w:id="13" w:name="_Toc100679569"/>
      <w:bookmarkStart w:id="14" w:name="_Toc100679995"/>
      <w:bookmarkEnd w:id="9"/>
      <w:bookmarkEnd w:id="10"/>
      <w:bookmarkEnd w:id="11"/>
      <w:bookmarkEnd w:id="12"/>
      <w:bookmarkEnd w:id="13"/>
      <w:bookmarkEnd w:id="14"/>
      <w:r w:rsidRPr="00EE3022">
        <w:rPr>
          <w:rFonts w:ascii="Times New Roman" w:hAnsi="Times New Roman" w:cs="Times New Roman"/>
          <w:sz w:val="24"/>
          <w:szCs w:val="24"/>
          <w:lang w:val="en-US"/>
        </w:rPr>
        <w:t>Therefore, this MCDA in VRS will be conducted through an ad hoc framework (set of criteria), starting from a pre-set value approach aimed at the evaluation of preventive measures. In this case, the starting framework will be that of V</w:t>
      </w:r>
      <w:r w:rsidR="0073714F">
        <w:rPr>
          <w:rFonts w:ascii="Times New Roman" w:hAnsi="Times New Roman" w:cs="Times New Roman"/>
          <w:sz w:val="24"/>
          <w:szCs w:val="24"/>
          <w:lang w:val="en-US"/>
        </w:rPr>
        <w:t>accinex</w:t>
      </w:r>
      <w:r w:rsidRPr="00EE3022">
        <w:rPr>
          <w:rFonts w:ascii="Times New Roman" w:hAnsi="Times New Roman" w:cs="Times New Roman"/>
          <w:sz w:val="24"/>
          <w:szCs w:val="24"/>
          <w:lang w:val="en-US"/>
        </w:rPr>
        <w:t>, a model that is developed through a survey of a sample population (n=1000) in Flanders, Belgium, in which support for the use of these broader criteria to evaluate vaccines in funding decisions was investigated through a hypothetical vaccine called Vaccinex. The framework consists of a set of 40 possible criteria, divided into the two domains described below.</w:t>
      </w:r>
      <w:r w:rsidRPr="00EE3022">
        <w:rPr>
          <w:rFonts w:ascii="Times New Roman" w:hAnsi="Times New Roman" w:cs="Times New Roman"/>
          <w:sz w:val="24"/>
          <w:szCs w:val="24"/>
          <w:lang w:val="en-US"/>
        </w:rPr>
        <w:fldChar w:fldCharType="begin"/>
      </w:r>
      <w:r w:rsidR="001D4F38" w:rsidRPr="00EE3022">
        <w:rPr>
          <w:rFonts w:ascii="Times New Roman" w:hAnsi="Times New Roman" w:cs="Times New Roman"/>
          <w:sz w:val="24"/>
          <w:szCs w:val="24"/>
          <w:lang w:val="en-US"/>
        </w:rPr>
        <w:instrText xml:space="preserve"> ADDIN ZOTERO_ITEM CSL_CITATION {"citationID":"X1pxncD9","properties":{"formattedCitation":"[21]","plainCitation":"[21]","noteIndex":0},"citationItems":[{"id":67178,"uris":["http://zotero.org/groups/337550/items/SPQDKQFY"],"itemData":{"id":67178,"type":"article-journal","abstract":"In addition to more narrow criteria such as safety, effectiveness and cost-effectiveness, vaccines can also be evaluated based on broader criteria such as their economic impact, contribution to disease eradication objectives, caregiver aspects, financial protection offered, equity or social acceptability. We summarize a survey executed in a sample of the population (n = 1000) in Flanders, Belgium, in which we investigated support for using these broader criteria to evaluate vaccines for funding decisions. By means of both favourable and unfavourable framings of a hypothetical vaccine across 40 value dimensions, we find support for the view that people indeed consider a broad range of medical and socio-economic criteria relevant. Several of these are not incorporated in standard evaluation frameworks for vaccines. The different results we find for different framings highlight the importance of developing a consistent a priori value framework for vaccine evaluation, rather than evaluating vaccines on an ad hoc basis.","container-title":"Vaccines","DOI":"10.3390/vaccines8040628","ISSN":"2076-393X","issue":"4","journalAbbreviation":"Vaccines (Basel)","language":"eng","note":"PMID: 33126454\nPMCID: PMC7712404","page":"E628","source":"PubMed","title":"Value Frameworks for Vaccines: Which Dimensions Are Most Relevant?","title-short":"Value Frameworks for Vaccines","volume":"8","author":[{"family":"Luyten","given":"Jeroen"},{"family":"Kessels","given":"Roselinde"},{"family":"Vandermeulen","given":"Corinne"},{"family":"Beutels","given":"Philippe"}],"issued":{"date-parts":[["2020",10,28]]}}}],"schema":"https://github.com/citation-style-language/schema/raw/master/csl-citation.json"} </w:instrText>
      </w:r>
      <w:r w:rsidRPr="00EE3022">
        <w:rPr>
          <w:rFonts w:ascii="Times New Roman" w:hAnsi="Times New Roman" w:cs="Times New Roman"/>
          <w:sz w:val="24"/>
          <w:szCs w:val="24"/>
          <w:lang w:val="en-US"/>
        </w:rPr>
        <w:fldChar w:fldCharType="separate"/>
      </w:r>
      <w:r w:rsidR="001D4F38" w:rsidRPr="00EE3022">
        <w:rPr>
          <w:rFonts w:ascii="Times New Roman" w:hAnsi="Times New Roman" w:cs="Times New Roman"/>
          <w:sz w:val="24"/>
          <w:lang w:val="en-US"/>
        </w:rPr>
        <w:t>[21]</w:t>
      </w:r>
      <w:r w:rsidRPr="00EE3022">
        <w:rPr>
          <w:rFonts w:ascii="Times New Roman" w:hAnsi="Times New Roman" w:cs="Times New Roman"/>
          <w:sz w:val="24"/>
          <w:szCs w:val="24"/>
          <w:lang w:val="en-US"/>
        </w:rPr>
        <w:fldChar w:fldCharType="end"/>
      </w:r>
      <w:r w:rsidRPr="00EE3022">
        <w:rPr>
          <w:rFonts w:ascii="Times New Roman" w:hAnsi="Times New Roman" w:cs="Times New Roman"/>
          <w:sz w:val="24"/>
          <w:szCs w:val="24"/>
          <w:lang w:val="en-US"/>
        </w:rPr>
        <w:t>:</w:t>
      </w:r>
    </w:p>
    <w:p w14:paraId="5B6A7237" w14:textId="77777777" w:rsidR="0073714F" w:rsidRPr="00EE3022" w:rsidRDefault="0073714F">
      <w:pPr>
        <w:spacing w:before="120" w:after="120" w:line="360" w:lineRule="auto"/>
        <w:jc w:val="both"/>
        <w:rPr>
          <w:rFonts w:ascii="Times New Roman" w:hAnsi="Times New Roman" w:cs="Times New Roman"/>
          <w:sz w:val="24"/>
          <w:szCs w:val="24"/>
          <w:lang w:val="en-US"/>
        </w:rPr>
      </w:pPr>
    </w:p>
    <w:p w14:paraId="2DCC9698" w14:textId="77777777" w:rsidR="000128A7" w:rsidRPr="00EE3022" w:rsidRDefault="001031E1">
      <w:pPr>
        <w:shd w:val="clear" w:color="auto" w:fill="000000" w:themeFill="text1"/>
        <w:spacing w:before="120" w:after="120" w:line="360" w:lineRule="auto"/>
        <w:jc w:val="both"/>
        <w:rPr>
          <w:rFonts w:ascii="Times New Roman" w:hAnsi="Times New Roman" w:cs="Times New Roman"/>
          <w:b/>
          <w:bCs/>
          <w:color w:val="FFFFFF" w:themeColor="background1"/>
          <w:sz w:val="24"/>
          <w:szCs w:val="24"/>
          <w:lang w:val="en-US"/>
        </w:rPr>
      </w:pPr>
      <w:r w:rsidRPr="00EE3022">
        <w:rPr>
          <w:rFonts w:ascii="Times New Roman" w:hAnsi="Times New Roman" w:cs="Times New Roman"/>
          <w:b/>
          <w:bCs/>
          <w:color w:val="FFFFFF" w:themeColor="background1"/>
          <w:sz w:val="24"/>
          <w:szCs w:val="24"/>
          <w:lang w:val="en-US"/>
        </w:rPr>
        <w:lastRenderedPageBreak/>
        <w:t>Domain 1: Clinical aspects of vaccine and disease</w:t>
      </w:r>
    </w:p>
    <w:p w14:paraId="1CBA0F66" w14:textId="6112DB88"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Mortality</w:t>
      </w:r>
      <w:r w:rsidR="0073714F">
        <w:rPr>
          <w:rFonts w:ascii="Times New Roman" w:hAnsi="Times New Roman" w:cs="Times New Roman"/>
          <w:sz w:val="24"/>
          <w:szCs w:val="24"/>
          <w:lang w:val="en-US"/>
        </w:rPr>
        <w:t xml:space="preserve"> or lethality</w:t>
      </w:r>
      <w:r w:rsidRPr="00EE3022">
        <w:rPr>
          <w:rFonts w:ascii="Times New Roman" w:hAnsi="Times New Roman" w:cs="Times New Roman"/>
          <w:sz w:val="24"/>
          <w:szCs w:val="24"/>
          <w:lang w:val="en-US"/>
        </w:rPr>
        <w:t xml:space="preserve"> risk</w:t>
      </w:r>
    </w:p>
    <w:p w14:paraId="28ED8F27"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Severity of symptoms</w:t>
      </w:r>
    </w:p>
    <w:p w14:paraId="3C998F81" w14:textId="367A0725"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Duration of symptoms</w:t>
      </w:r>
    </w:p>
    <w:p w14:paraId="6A231483" w14:textId="314DD8E8" w:rsidR="000128A7" w:rsidRPr="00EE3022" w:rsidRDefault="002F2CF3">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Pr>
          <w:rFonts w:ascii="Times New Roman" w:hAnsi="Times New Roman" w:cs="Times New Roman"/>
          <w:sz w:val="24"/>
          <w:szCs w:val="24"/>
          <w:lang w:val="en-US"/>
        </w:rPr>
        <w:t>Comorbidity risk</w:t>
      </w:r>
    </w:p>
    <w:p w14:paraId="5ED6DED2"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Transmissibility</w:t>
      </w:r>
    </w:p>
    <w:p w14:paraId="742F1A71"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Time to symptom development</w:t>
      </w:r>
    </w:p>
    <w:p w14:paraId="4E16606E"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Eradication potential</w:t>
      </w:r>
    </w:p>
    <w:p w14:paraId="4B7E2DB5"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Availability of treatment</w:t>
      </w:r>
    </w:p>
    <w:p w14:paraId="42AC591D" w14:textId="60E1B208"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Prevention </w:t>
      </w:r>
      <w:r w:rsidR="002F2CF3">
        <w:rPr>
          <w:rFonts w:ascii="Times New Roman" w:hAnsi="Times New Roman" w:cs="Times New Roman"/>
          <w:sz w:val="24"/>
          <w:szCs w:val="24"/>
          <w:lang w:val="en-US"/>
        </w:rPr>
        <w:t>a</w:t>
      </w:r>
      <w:r w:rsidRPr="00EE3022">
        <w:rPr>
          <w:rFonts w:ascii="Times New Roman" w:hAnsi="Times New Roman" w:cs="Times New Roman"/>
          <w:sz w:val="24"/>
          <w:szCs w:val="24"/>
          <w:lang w:val="en-US"/>
        </w:rPr>
        <w:t>lternatives</w:t>
      </w:r>
    </w:p>
    <w:p w14:paraId="68E377A3"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Prevalence of the disease</w:t>
      </w:r>
    </w:p>
    <w:p w14:paraId="79719AB4"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Transmission mode</w:t>
      </w:r>
    </w:p>
    <w:p w14:paraId="1648DA36"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Impact on fertility</w:t>
      </w:r>
    </w:p>
    <w:p w14:paraId="03E815F9" w14:textId="7D810693"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Vaccine </w:t>
      </w:r>
      <w:r w:rsidR="002F2CF3">
        <w:rPr>
          <w:rFonts w:ascii="Times New Roman" w:hAnsi="Times New Roman" w:cs="Times New Roman"/>
          <w:sz w:val="24"/>
          <w:szCs w:val="24"/>
          <w:lang w:val="en-US"/>
        </w:rPr>
        <w:t>efficacy or e</w:t>
      </w:r>
      <w:r w:rsidRPr="00EE3022">
        <w:rPr>
          <w:rFonts w:ascii="Times New Roman" w:hAnsi="Times New Roman" w:cs="Times New Roman"/>
          <w:sz w:val="24"/>
          <w:szCs w:val="24"/>
          <w:lang w:val="en-US"/>
        </w:rPr>
        <w:t>ffectiveness</w:t>
      </w:r>
      <w:r w:rsidR="002F2CF3">
        <w:rPr>
          <w:rFonts w:ascii="Times New Roman" w:hAnsi="Times New Roman" w:cs="Times New Roman"/>
          <w:sz w:val="24"/>
          <w:szCs w:val="24"/>
          <w:lang w:val="en-US"/>
        </w:rPr>
        <w:t xml:space="preserve"> </w:t>
      </w:r>
    </w:p>
    <w:p w14:paraId="799FA874"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Certainty about the magnitude of the vaccine's effects</w:t>
      </w:r>
    </w:p>
    <w:p w14:paraId="7D0E506A"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Mild adverse effects</w:t>
      </w:r>
    </w:p>
    <w:p w14:paraId="292FF077"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Serious adverse effects</w:t>
      </w:r>
    </w:p>
    <w:p w14:paraId="2F28C5BF" w14:textId="77777777" w:rsidR="000128A7" w:rsidRPr="00EE3022" w:rsidRDefault="001031E1">
      <w:pPr>
        <w:pStyle w:val="Prrafodelista"/>
        <w:numPr>
          <w:ilvl w:val="0"/>
          <w:numId w:val="4"/>
        </w:numPr>
        <w:spacing w:before="120" w:after="120" w:line="360" w:lineRule="auto"/>
        <w:ind w:left="709" w:hanging="425"/>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Herd immunity</w:t>
      </w:r>
    </w:p>
    <w:p w14:paraId="4A36F2EC" w14:textId="77777777" w:rsidR="000128A7" w:rsidRPr="00EE3022" w:rsidRDefault="001031E1">
      <w:pPr>
        <w:shd w:val="clear" w:color="auto" w:fill="000000" w:themeFill="text1"/>
        <w:spacing w:before="120" w:after="120" w:line="360" w:lineRule="auto"/>
        <w:jc w:val="both"/>
        <w:rPr>
          <w:rFonts w:ascii="Times New Roman" w:hAnsi="Times New Roman" w:cs="Times New Roman"/>
          <w:b/>
          <w:bCs/>
          <w:color w:val="FFFFFF" w:themeColor="background1"/>
          <w:sz w:val="24"/>
          <w:szCs w:val="24"/>
          <w:lang w:val="en-US"/>
        </w:rPr>
      </w:pPr>
      <w:r w:rsidRPr="00EE3022">
        <w:rPr>
          <w:rFonts w:ascii="Times New Roman" w:hAnsi="Times New Roman" w:cs="Times New Roman"/>
          <w:b/>
          <w:bCs/>
          <w:color w:val="FFFFFF" w:themeColor="background1"/>
          <w:sz w:val="24"/>
          <w:szCs w:val="24"/>
          <w:lang w:val="en-US"/>
        </w:rPr>
        <w:t>Domain 2: Socio-economic aspects of the vaccine and the disease</w:t>
      </w:r>
    </w:p>
    <w:p w14:paraId="39122CF7"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Cost of the vaccine</w:t>
      </w:r>
    </w:p>
    <w:p w14:paraId="0953C26C"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Cost of illness (health system)</w:t>
      </w:r>
    </w:p>
    <w:p w14:paraId="6D564FAC"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Cost of illness (patient)</w:t>
      </w:r>
    </w:p>
    <w:p w14:paraId="233B5A4B"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Costs related to the production platform</w:t>
      </w:r>
    </w:p>
    <w:p w14:paraId="3703BCCC"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Productivity costs: absenteeism</w:t>
      </w:r>
    </w:p>
    <w:p w14:paraId="256EB7E0" w14:textId="495F48A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Productivity </w:t>
      </w:r>
      <w:r w:rsidR="00C15E33">
        <w:rPr>
          <w:rFonts w:ascii="Times New Roman" w:hAnsi="Times New Roman" w:cs="Times New Roman"/>
          <w:sz w:val="24"/>
          <w:szCs w:val="24"/>
          <w:lang w:val="en-US"/>
        </w:rPr>
        <w:t>c</w:t>
      </w:r>
      <w:r w:rsidRPr="00EE3022">
        <w:rPr>
          <w:rFonts w:ascii="Times New Roman" w:hAnsi="Times New Roman" w:cs="Times New Roman"/>
          <w:sz w:val="24"/>
          <w:szCs w:val="24"/>
          <w:lang w:val="en-US"/>
        </w:rPr>
        <w:t xml:space="preserve">osts: </w:t>
      </w:r>
      <w:r w:rsidR="00C15E33">
        <w:rPr>
          <w:rFonts w:ascii="Times New Roman" w:hAnsi="Times New Roman" w:cs="Times New Roman"/>
          <w:sz w:val="24"/>
          <w:szCs w:val="24"/>
          <w:lang w:val="en-US"/>
        </w:rPr>
        <w:t>a</w:t>
      </w:r>
      <w:r w:rsidRPr="00EE3022">
        <w:rPr>
          <w:rFonts w:ascii="Times New Roman" w:hAnsi="Times New Roman" w:cs="Times New Roman"/>
          <w:sz w:val="24"/>
          <w:szCs w:val="24"/>
          <w:lang w:val="en-US"/>
        </w:rPr>
        <w:t>ttendance</w:t>
      </w:r>
    </w:p>
    <w:p w14:paraId="2390D715"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Impact on caregivers</w:t>
      </w:r>
    </w:p>
    <w:p w14:paraId="0697F7C8"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Impact on school activities</w:t>
      </w:r>
    </w:p>
    <w:p w14:paraId="0F095B26"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Generation of jobs for the country</w:t>
      </w:r>
    </w:p>
    <w:p w14:paraId="74FA69B6" w14:textId="1ED74A44"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Innovation stimulus</w:t>
      </w:r>
    </w:p>
    <w:p w14:paraId="45B67210"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Image and goodwill (intangible effects)</w:t>
      </w:r>
    </w:p>
    <w:p w14:paraId="0342AEE7"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Impact on health inequity</w:t>
      </w:r>
    </w:p>
    <w:p w14:paraId="303C744A" w14:textId="2F2B3CC0"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Public </w:t>
      </w:r>
      <w:r w:rsidR="00C15E33">
        <w:rPr>
          <w:rFonts w:ascii="Times New Roman" w:hAnsi="Times New Roman" w:cs="Times New Roman"/>
          <w:sz w:val="24"/>
          <w:szCs w:val="24"/>
          <w:lang w:val="en-US"/>
        </w:rPr>
        <w:t>h</w:t>
      </w:r>
      <w:r w:rsidRPr="00EE3022">
        <w:rPr>
          <w:rFonts w:ascii="Times New Roman" w:hAnsi="Times New Roman" w:cs="Times New Roman"/>
          <w:sz w:val="24"/>
          <w:szCs w:val="24"/>
          <w:lang w:val="en-US"/>
        </w:rPr>
        <w:t xml:space="preserve">ealth </w:t>
      </w:r>
      <w:r w:rsidR="00C15E33">
        <w:rPr>
          <w:rFonts w:ascii="Times New Roman" w:hAnsi="Times New Roman" w:cs="Times New Roman"/>
          <w:sz w:val="24"/>
          <w:szCs w:val="24"/>
          <w:lang w:val="en-US"/>
        </w:rPr>
        <w:t>a</w:t>
      </w:r>
      <w:r w:rsidRPr="00EE3022">
        <w:rPr>
          <w:rFonts w:ascii="Times New Roman" w:hAnsi="Times New Roman" w:cs="Times New Roman"/>
          <w:sz w:val="24"/>
          <w:szCs w:val="24"/>
          <w:lang w:val="en-US"/>
        </w:rPr>
        <w:t>wareness</w:t>
      </w:r>
    </w:p>
    <w:p w14:paraId="1A460059"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Perception and fear</w:t>
      </w:r>
    </w:p>
    <w:p w14:paraId="0A880910" w14:textId="77777777"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lastRenderedPageBreak/>
        <w:t>Resistance offered by anti-vaccination groups</w:t>
      </w:r>
    </w:p>
    <w:p w14:paraId="1FD05D2B" w14:textId="5B7CBB2B" w:rsidR="000128A7" w:rsidRPr="00EE3022" w:rsidRDefault="001031E1">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sidRPr="00EE3022">
        <w:rPr>
          <w:rFonts w:ascii="Times New Roman" w:hAnsi="Times New Roman" w:cs="Times New Roman"/>
          <w:sz w:val="24"/>
          <w:szCs w:val="24"/>
          <w:lang w:val="en-US"/>
        </w:rPr>
        <w:t xml:space="preserve">Legal </w:t>
      </w:r>
      <w:r w:rsidR="00C15E33">
        <w:rPr>
          <w:rFonts w:ascii="Times New Roman" w:hAnsi="Times New Roman" w:cs="Times New Roman"/>
          <w:sz w:val="24"/>
          <w:szCs w:val="24"/>
          <w:lang w:val="en-US"/>
        </w:rPr>
        <w:t>l</w:t>
      </w:r>
      <w:r w:rsidRPr="00EE3022">
        <w:rPr>
          <w:rFonts w:ascii="Times New Roman" w:hAnsi="Times New Roman" w:cs="Times New Roman"/>
          <w:sz w:val="24"/>
          <w:szCs w:val="24"/>
          <w:lang w:val="en-US"/>
        </w:rPr>
        <w:t>iability</w:t>
      </w:r>
    </w:p>
    <w:p w14:paraId="1792F07F" w14:textId="4FFEC6E8"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socio-economically disadvantaged populations</w:t>
      </w:r>
    </w:p>
    <w:p w14:paraId="7B21029D" w14:textId="152B7AFC"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the migrant population</w:t>
      </w:r>
    </w:p>
    <w:p w14:paraId="3C6E3001" w14:textId="604AD436"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the population of children</w:t>
      </w:r>
    </w:p>
    <w:p w14:paraId="6A3470A6" w14:textId="7D4E5F65"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the elderly population</w:t>
      </w:r>
    </w:p>
    <w:p w14:paraId="78D28BC9" w14:textId="6077311B"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the LGBT population</w:t>
      </w:r>
    </w:p>
    <w:p w14:paraId="4049850C" w14:textId="2CC6EC47"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w:t>
      </w:r>
      <w:r w:rsidR="001031E1" w:rsidRPr="00EE30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on </w:t>
      </w:r>
      <w:r w:rsidR="001031E1" w:rsidRPr="00EE3022">
        <w:rPr>
          <w:rFonts w:ascii="Times New Roman" w:hAnsi="Times New Roman" w:cs="Times New Roman"/>
          <w:sz w:val="24"/>
          <w:szCs w:val="24"/>
          <w:lang w:val="en-US"/>
        </w:rPr>
        <w:t>the population of women</w:t>
      </w:r>
    </w:p>
    <w:p w14:paraId="5F81EDE8" w14:textId="48888D21" w:rsidR="000128A7" w:rsidRPr="00EE3022" w:rsidRDefault="00C15E33">
      <w:pPr>
        <w:pStyle w:val="Prrafodelista"/>
        <w:numPr>
          <w:ilvl w:val="0"/>
          <w:numId w:val="4"/>
        </w:numPr>
        <w:spacing w:before="120" w:after="120" w:line="360" w:lineRule="auto"/>
        <w:ind w:hanging="76"/>
        <w:jc w:val="both"/>
        <w:rPr>
          <w:rFonts w:ascii="Times New Roman" w:hAnsi="Times New Roman" w:cs="Times New Roman"/>
          <w:sz w:val="24"/>
          <w:szCs w:val="24"/>
          <w:lang w:val="en-US"/>
        </w:rPr>
      </w:pPr>
      <w:r>
        <w:rPr>
          <w:rFonts w:ascii="Times New Roman" w:hAnsi="Times New Roman" w:cs="Times New Roman"/>
          <w:sz w:val="24"/>
          <w:szCs w:val="24"/>
          <w:lang w:val="en-US"/>
        </w:rPr>
        <w:t>Impact on</w:t>
      </w:r>
      <w:r w:rsidR="001031E1" w:rsidRPr="00EE3022">
        <w:rPr>
          <w:rFonts w:ascii="Times New Roman" w:hAnsi="Times New Roman" w:cs="Times New Roman"/>
          <w:sz w:val="24"/>
          <w:szCs w:val="24"/>
          <w:lang w:val="en-US"/>
        </w:rPr>
        <w:t xml:space="preserve"> the population of pregnant women</w:t>
      </w:r>
    </w:p>
    <w:p w14:paraId="3F376749" w14:textId="77777777" w:rsidR="00BC7E34" w:rsidRPr="00EE3022" w:rsidRDefault="00BC7E34" w:rsidP="002A7A69">
      <w:pPr>
        <w:spacing w:line="360" w:lineRule="auto"/>
        <w:rPr>
          <w:rFonts w:cstheme="minorHAnsi"/>
          <w:color w:val="000000"/>
          <w:lang w:val="en-US"/>
        </w:rPr>
      </w:pPr>
    </w:p>
    <w:p w14:paraId="76EFA04B" w14:textId="77777777" w:rsidR="00207E6F" w:rsidRPr="00EE3022" w:rsidRDefault="00207E6F" w:rsidP="002A7A69">
      <w:pPr>
        <w:spacing w:line="360" w:lineRule="auto"/>
        <w:rPr>
          <w:rFonts w:cstheme="minorHAnsi"/>
          <w:color w:val="000000"/>
          <w:lang w:val="en-US"/>
        </w:rPr>
      </w:pPr>
    </w:p>
    <w:p w14:paraId="67085A78" w14:textId="77777777" w:rsidR="00207E6F" w:rsidRDefault="00207E6F" w:rsidP="002A7A69">
      <w:pPr>
        <w:spacing w:line="360" w:lineRule="auto"/>
        <w:rPr>
          <w:rFonts w:cstheme="minorHAnsi"/>
          <w:color w:val="000000"/>
          <w:lang w:val="en-US"/>
        </w:rPr>
      </w:pPr>
    </w:p>
    <w:p w14:paraId="0C99193B" w14:textId="77777777" w:rsidR="00C15E33" w:rsidRDefault="00C15E33" w:rsidP="002A7A69">
      <w:pPr>
        <w:spacing w:line="360" w:lineRule="auto"/>
        <w:rPr>
          <w:rFonts w:cstheme="minorHAnsi"/>
          <w:color w:val="000000"/>
          <w:lang w:val="en-US"/>
        </w:rPr>
      </w:pPr>
    </w:p>
    <w:p w14:paraId="39F43F1D" w14:textId="77777777" w:rsidR="00C15E33" w:rsidRDefault="00C15E33" w:rsidP="002A7A69">
      <w:pPr>
        <w:spacing w:line="360" w:lineRule="auto"/>
        <w:rPr>
          <w:rFonts w:cstheme="minorHAnsi"/>
          <w:color w:val="000000"/>
          <w:lang w:val="en-US"/>
        </w:rPr>
      </w:pPr>
    </w:p>
    <w:p w14:paraId="537065A4" w14:textId="77777777" w:rsidR="00C15E33" w:rsidRDefault="00C15E33" w:rsidP="002A7A69">
      <w:pPr>
        <w:spacing w:line="360" w:lineRule="auto"/>
        <w:rPr>
          <w:rFonts w:cstheme="minorHAnsi"/>
          <w:color w:val="000000"/>
          <w:lang w:val="en-US"/>
        </w:rPr>
      </w:pPr>
    </w:p>
    <w:p w14:paraId="5D692F6A" w14:textId="77777777" w:rsidR="00C15E33" w:rsidRDefault="00C15E33" w:rsidP="002A7A69">
      <w:pPr>
        <w:spacing w:line="360" w:lineRule="auto"/>
        <w:rPr>
          <w:rFonts w:cstheme="minorHAnsi"/>
          <w:color w:val="000000"/>
          <w:lang w:val="en-US"/>
        </w:rPr>
      </w:pPr>
    </w:p>
    <w:p w14:paraId="4AB2645F" w14:textId="77777777" w:rsidR="00C15E33" w:rsidRDefault="00C15E33" w:rsidP="002A7A69">
      <w:pPr>
        <w:spacing w:line="360" w:lineRule="auto"/>
        <w:rPr>
          <w:rFonts w:cstheme="minorHAnsi"/>
          <w:color w:val="000000"/>
          <w:lang w:val="en-US"/>
        </w:rPr>
      </w:pPr>
    </w:p>
    <w:p w14:paraId="7030A3D2" w14:textId="77777777" w:rsidR="00C15E33" w:rsidRDefault="00C15E33" w:rsidP="002A7A69">
      <w:pPr>
        <w:spacing w:line="360" w:lineRule="auto"/>
        <w:rPr>
          <w:rFonts w:cstheme="minorHAnsi"/>
          <w:color w:val="000000"/>
          <w:lang w:val="en-US"/>
        </w:rPr>
      </w:pPr>
    </w:p>
    <w:p w14:paraId="2D23032D" w14:textId="77777777" w:rsidR="00C15E33" w:rsidRDefault="00C15E33" w:rsidP="002A7A69">
      <w:pPr>
        <w:spacing w:line="360" w:lineRule="auto"/>
        <w:rPr>
          <w:rFonts w:cstheme="minorHAnsi"/>
          <w:color w:val="000000"/>
          <w:lang w:val="en-US"/>
        </w:rPr>
      </w:pPr>
    </w:p>
    <w:p w14:paraId="60FDB008" w14:textId="77777777" w:rsidR="00C15E33" w:rsidRDefault="00C15E33" w:rsidP="002A7A69">
      <w:pPr>
        <w:spacing w:line="360" w:lineRule="auto"/>
        <w:rPr>
          <w:rFonts w:cstheme="minorHAnsi"/>
          <w:color w:val="000000"/>
          <w:lang w:val="en-US"/>
        </w:rPr>
      </w:pPr>
    </w:p>
    <w:p w14:paraId="46D1E111" w14:textId="77777777" w:rsidR="00C15E33" w:rsidRDefault="00C15E33" w:rsidP="002A7A69">
      <w:pPr>
        <w:spacing w:line="360" w:lineRule="auto"/>
        <w:rPr>
          <w:rFonts w:cstheme="minorHAnsi"/>
          <w:color w:val="000000"/>
          <w:lang w:val="en-US"/>
        </w:rPr>
      </w:pPr>
    </w:p>
    <w:p w14:paraId="27878CEB" w14:textId="77777777" w:rsidR="00C15E33" w:rsidRDefault="00C15E33" w:rsidP="002A7A69">
      <w:pPr>
        <w:spacing w:line="360" w:lineRule="auto"/>
        <w:rPr>
          <w:rFonts w:cstheme="minorHAnsi"/>
          <w:color w:val="000000"/>
          <w:lang w:val="en-US"/>
        </w:rPr>
      </w:pPr>
    </w:p>
    <w:p w14:paraId="2A422BAD" w14:textId="77777777" w:rsidR="00C15E33" w:rsidRDefault="00C15E33" w:rsidP="002A7A69">
      <w:pPr>
        <w:spacing w:line="360" w:lineRule="auto"/>
        <w:rPr>
          <w:rFonts w:cstheme="minorHAnsi"/>
          <w:color w:val="000000"/>
          <w:lang w:val="en-US"/>
        </w:rPr>
      </w:pPr>
    </w:p>
    <w:p w14:paraId="52AACCC5" w14:textId="77777777" w:rsidR="00C15E33" w:rsidRPr="00EE3022" w:rsidRDefault="00C15E33" w:rsidP="002A7A69">
      <w:pPr>
        <w:spacing w:line="360" w:lineRule="auto"/>
        <w:rPr>
          <w:rFonts w:cstheme="minorHAnsi"/>
          <w:color w:val="000000"/>
          <w:lang w:val="en-US"/>
        </w:rPr>
      </w:pPr>
    </w:p>
    <w:p w14:paraId="5C1C814D" w14:textId="77777777" w:rsidR="00207E6F" w:rsidRPr="00EE3022" w:rsidRDefault="00207E6F" w:rsidP="002A7A69">
      <w:pPr>
        <w:spacing w:line="360" w:lineRule="auto"/>
        <w:rPr>
          <w:rFonts w:cstheme="minorHAnsi"/>
          <w:color w:val="000000"/>
          <w:lang w:val="en-US"/>
        </w:rPr>
      </w:pPr>
    </w:p>
    <w:p w14:paraId="1690C13D" w14:textId="5050F7BB" w:rsidR="000128A7" w:rsidRPr="00EE3022" w:rsidRDefault="001031E1">
      <w:pPr>
        <w:pStyle w:val="Ttulo1"/>
        <w:spacing w:after="240"/>
        <w:rPr>
          <w:lang w:val="en-US"/>
        </w:rPr>
      </w:pPr>
      <w:bookmarkStart w:id="15" w:name="_Toc135393164"/>
      <w:r w:rsidRPr="00EE3022">
        <w:rPr>
          <w:lang w:val="en-US"/>
        </w:rPr>
        <w:lastRenderedPageBreak/>
        <w:t>References</w:t>
      </w:r>
      <w:bookmarkEnd w:id="15"/>
    </w:p>
    <w:p w14:paraId="4A520079" w14:textId="77777777" w:rsidR="000128A7" w:rsidRPr="007C4332" w:rsidRDefault="00BC7E34">
      <w:pPr>
        <w:pStyle w:val="Bibliografa"/>
        <w:rPr>
          <w:rFonts w:ascii="Times New Roman" w:hAnsi="Times New Roman" w:cs="Times New Roman"/>
          <w:sz w:val="24"/>
        </w:rPr>
      </w:pPr>
      <w:r w:rsidRPr="00EE3022">
        <w:rPr>
          <w:lang w:val="en-US"/>
        </w:rPr>
        <w:fldChar w:fldCharType="begin"/>
      </w:r>
      <w:r w:rsidR="001D4F38" w:rsidRPr="00EE3022">
        <w:rPr>
          <w:lang w:val="en-US"/>
        </w:rPr>
        <w:instrText xml:space="preserve"> ADDIN ZOTERO_BIBL {"uncited":[],"omitted":[],"custom":[]} CSL_BIBLIOGRAPHY </w:instrText>
      </w:r>
      <w:r w:rsidRPr="00EE3022">
        <w:rPr>
          <w:lang w:val="en-US"/>
        </w:rPr>
        <w:fldChar w:fldCharType="separate"/>
      </w:r>
      <w:r w:rsidR="001D4F38" w:rsidRPr="00EE3022">
        <w:rPr>
          <w:rFonts w:ascii="Times New Roman" w:hAnsi="Times New Roman" w:cs="Times New Roman"/>
          <w:sz w:val="24"/>
          <w:lang w:val="en-US"/>
        </w:rPr>
        <w:t xml:space="preserve">[1] </w:t>
      </w:r>
      <w:r w:rsidR="001D4F38" w:rsidRPr="00EE3022">
        <w:rPr>
          <w:rFonts w:ascii="Times New Roman" w:hAnsi="Times New Roman" w:cs="Times New Roman"/>
          <w:sz w:val="24"/>
          <w:lang w:val="en-US"/>
        </w:rPr>
        <w:tab/>
        <w:t xml:space="preserve">Rima B, Collins P, Easton A, et al. </w:t>
      </w:r>
      <w:r w:rsidR="001D4F38" w:rsidRPr="007C4332">
        <w:rPr>
          <w:rFonts w:ascii="Times New Roman" w:hAnsi="Times New Roman" w:cs="Times New Roman"/>
          <w:sz w:val="24"/>
        </w:rPr>
        <w:t>ICTV Virus Taxonomy Profile: Pneumoviridae. J Gen Virol. 2017;98:2912-2913.</w:t>
      </w:r>
    </w:p>
    <w:p w14:paraId="46E90E74" w14:textId="77777777" w:rsidR="000128A7" w:rsidRPr="00EE3022" w:rsidRDefault="001031E1">
      <w:pPr>
        <w:pStyle w:val="Bibliografa"/>
        <w:rPr>
          <w:rFonts w:ascii="Times New Roman" w:hAnsi="Times New Roman" w:cs="Times New Roman"/>
          <w:sz w:val="24"/>
          <w:lang w:val="en-US"/>
        </w:rPr>
      </w:pPr>
      <w:r w:rsidRPr="007C4332">
        <w:rPr>
          <w:rFonts w:ascii="Times New Roman" w:hAnsi="Times New Roman" w:cs="Times New Roman"/>
          <w:sz w:val="24"/>
        </w:rPr>
        <w:t xml:space="preserve">[2] </w:t>
      </w:r>
      <w:r w:rsidRPr="007C4332">
        <w:rPr>
          <w:rFonts w:ascii="Times New Roman" w:hAnsi="Times New Roman" w:cs="Times New Roman"/>
          <w:sz w:val="24"/>
        </w:rPr>
        <w:tab/>
        <w:t xml:space="preserve">Mejias A, Rodríguez-Fernández R, Oliva S, et al. </w:t>
      </w:r>
      <w:r w:rsidRPr="00EE3022">
        <w:rPr>
          <w:rFonts w:ascii="Times New Roman" w:hAnsi="Times New Roman" w:cs="Times New Roman"/>
          <w:sz w:val="24"/>
          <w:lang w:val="en-US"/>
        </w:rPr>
        <w:t>The journey to a respiratory syncytial virus vaccine. Ann Allergy Asthma Immunol Off Publ Am Coll Allergy Asthma Immunol. 2020;125:36-46.</w:t>
      </w:r>
    </w:p>
    <w:p w14:paraId="75DC5293"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[3] </w:t>
      </w:r>
      <w:r w:rsidRPr="00EE3022">
        <w:rPr>
          <w:rFonts w:ascii="Times New Roman" w:hAnsi="Times New Roman" w:cs="Times New Roman"/>
          <w:sz w:val="24"/>
          <w:lang w:val="en-US"/>
        </w:rPr>
        <w:tab/>
        <w:t>Bloom-Feshbach K, Alonso WJ, Charu V, et al. Latitudinal variations in seasonal activity of influenza and respiratory syncytial virus (RSV): a global comparative review. PloS One. 2013;8:e54445.</w:t>
      </w:r>
    </w:p>
    <w:p w14:paraId="2058DAD3"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[4] </w:t>
      </w:r>
      <w:r w:rsidRPr="00EE3022">
        <w:rPr>
          <w:rFonts w:ascii="Times New Roman" w:hAnsi="Times New Roman" w:cs="Times New Roman"/>
          <w:sz w:val="24"/>
          <w:lang w:val="en-US"/>
        </w:rPr>
        <w:tab/>
        <w:t>National Center for Epidemiology. Public Health Surveillance. Carlos III Health Institute. Ministry of Science and Innovation. Influenza, COVID-19 and other respiratory viruses [Internet]. 2021 [cited 2021 Apr 24]. Available from: https://www.isciii.es/QueHacemos/Servicios/VigilanciaSaludPublicaRENAVE/EnfermedadesTransmisibles/Paginas/Gripe.aspx.</w:t>
      </w:r>
    </w:p>
    <w:p w14:paraId="0BCF893A"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[5] </w:t>
      </w:r>
      <w:r w:rsidRPr="00EE3022">
        <w:rPr>
          <w:rFonts w:ascii="Times New Roman" w:hAnsi="Times New Roman" w:cs="Times New Roman"/>
          <w:sz w:val="24"/>
          <w:lang w:val="en-US"/>
        </w:rPr>
        <w:tab/>
        <w:t>AEP. Respiratory syncytial virus (RSV) [Internet]. [cited 2021 Apr 19]. Available from: https://www.aeped.es/sites/default/files/documentos/vrs.pdf.</w:t>
      </w:r>
    </w:p>
    <w:p w14:paraId="33D02EDE" w14:textId="77777777" w:rsidR="000128A7" w:rsidRPr="007C4332" w:rsidRDefault="001031E1">
      <w:pPr>
        <w:pStyle w:val="Bibliografa"/>
        <w:rPr>
          <w:rFonts w:ascii="Times New Roman" w:hAnsi="Times New Roman" w:cs="Times New Roman"/>
          <w:sz w:val="24"/>
        </w:rPr>
      </w:pPr>
      <w:r w:rsidRPr="00EE3022">
        <w:rPr>
          <w:rFonts w:ascii="Times New Roman" w:hAnsi="Times New Roman" w:cs="Times New Roman"/>
          <w:sz w:val="24"/>
          <w:lang w:val="en-US"/>
        </w:rPr>
        <w:t xml:space="preserve">[6] </w:t>
      </w:r>
      <w:r w:rsidRPr="00EE3022">
        <w:rPr>
          <w:rFonts w:ascii="Times New Roman" w:hAnsi="Times New Roman" w:cs="Times New Roman"/>
          <w:sz w:val="24"/>
          <w:lang w:val="en-US"/>
        </w:rPr>
        <w:tab/>
        <w:t xml:space="preserve">Hall CB, Douglas RG. Modes of transmission of respiratory syncytial virus. </w:t>
      </w:r>
      <w:r w:rsidRPr="007C4332">
        <w:rPr>
          <w:rFonts w:ascii="Times New Roman" w:hAnsi="Times New Roman" w:cs="Times New Roman"/>
          <w:sz w:val="24"/>
        </w:rPr>
        <w:t>J Pediatr. 1981;99:100-103.</w:t>
      </w:r>
    </w:p>
    <w:p w14:paraId="54A2C859" w14:textId="77777777" w:rsidR="000128A7" w:rsidRPr="00EE3022" w:rsidRDefault="001031E1">
      <w:pPr>
        <w:pStyle w:val="Bibliografa"/>
        <w:rPr>
          <w:rFonts w:ascii="Times New Roman" w:hAnsi="Times New Roman" w:cs="Times New Roman"/>
          <w:sz w:val="24"/>
          <w:lang w:val="en-US"/>
        </w:rPr>
      </w:pPr>
      <w:r w:rsidRPr="007C4332">
        <w:rPr>
          <w:rFonts w:ascii="Times New Roman" w:hAnsi="Times New Roman" w:cs="Times New Roman"/>
          <w:sz w:val="24"/>
        </w:rPr>
        <w:t xml:space="preserve">[7] </w:t>
      </w:r>
      <w:r w:rsidRPr="007C4332">
        <w:rPr>
          <w:rFonts w:ascii="Times New Roman" w:hAnsi="Times New Roman" w:cs="Times New Roman"/>
          <w:sz w:val="24"/>
        </w:rPr>
        <w:tab/>
        <w:t xml:space="preserve">Carvajal JJ, Avellaneda AM, Salazar-Ardiles C, et al. </w:t>
      </w:r>
      <w:r w:rsidRPr="00EE3022">
        <w:rPr>
          <w:rFonts w:ascii="Times New Roman" w:hAnsi="Times New Roman" w:cs="Times New Roman"/>
          <w:sz w:val="24"/>
          <w:lang w:val="en-US"/>
        </w:rPr>
        <w:t>Host Components Contributing to Respiratory Syncytial Virus Pathogenesis. Front Immunol. 2019;10:2152.</w:t>
      </w:r>
    </w:p>
    <w:p w14:paraId="03ECE609"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[8] </w:t>
      </w:r>
      <w:r w:rsidRPr="00EE3022">
        <w:rPr>
          <w:rFonts w:ascii="Times New Roman" w:hAnsi="Times New Roman" w:cs="Times New Roman"/>
          <w:sz w:val="24"/>
          <w:lang w:val="en-US"/>
        </w:rPr>
        <w:tab/>
        <w:t>Broberg EK, Waris M, Johansen K, et al. Seasonality and geographical spread of respiratory syncytial virus epidemics in 15 European countries, 2010 to 2016. Eurosurveillance. 2018;23:17-00284.</w:t>
      </w:r>
    </w:p>
    <w:p w14:paraId="3241A9BB"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[9] </w:t>
      </w:r>
      <w:r w:rsidRPr="00EE3022">
        <w:rPr>
          <w:rFonts w:ascii="Times New Roman" w:hAnsi="Times New Roman" w:cs="Times New Roman"/>
          <w:sz w:val="24"/>
          <w:lang w:val="en-US"/>
        </w:rPr>
        <w:tab/>
        <w:t>Glezen WP, Taber LH, Frank AL, et al. Risk of primary infection and reinfection with respiratory syncytial virus. Am J Dis Child 1960. 1986;140:543-546.</w:t>
      </w:r>
    </w:p>
    <w:p w14:paraId="1C194932"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[10] </w:t>
      </w:r>
      <w:r w:rsidRPr="00EE3022">
        <w:rPr>
          <w:rFonts w:ascii="Times New Roman" w:hAnsi="Times New Roman" w:cs="Times New Roman"/>
          <w:sz w:val="24"/>
          <w:lang w:val="en-US"/>
        </w:rPr>
        <w:tab/>
        <w:t>Ralston SL, Lieberthal AS, Meissner HC, et al. Clinical practice guideline: the diagnosis, management, and prevention of bronchiolitis. Pediatrics. 2014;134:e1474-1502.</w:t>
      </w:r>
    </w:p>
    <w:p w14:paraId="1119C9F9"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[11] </w:t>
      </w:r>
      <w:r w:rsidRPr="00EE3022">
        <w:rPr>
          <w:rFonts w:ascii="Times New Roman" w:hAnsi="Times New Roman" w:cs="Times New Roman"/>
          <w:sz w:val="24"/>
          <w:lang w:val="en-US"/>
        </w:rPr>
        <w:tab/>
        <w:t>Openshaw PJM, Chiu C, Culley FJ, et al. Protective and Harmful Immunity to RSV Infection. Annu Rev Immunol. 2017;35:501-532.</w:t>
      </w:r>
    </w:p>
    <w:p w14:paraId="256621E3" w14:textId="77777777" w:rsidR="000128A7" w:rsidRPr="007C4332" w:rsidRDefault="001031E1">
      <w:pPr>
        <w:pStyle w:val="Bibliografa"/>
        <w:rPr>
          <w:rFonts w:ascii="Times New Roman" w:hAnsi="Times New Roman" w:cs="Times New Roman"/>
          <w:sz w:val="24"/>
        </w:rPr>
      </w:pPr>
      <w:r w:rsidRPr="00EE3022">
        <w:rPr>
          <w:rFonts w:ascii="Times New Roman" w:hAnsi="Times New Roman" w:cs="Times New Roman"/>
          <w:sz w:val="24"/>
          <w:lang w:val="en-US"/>
        </w:rPr>
        <w:t xml:space="preserve">[12] </w:t>
      </w:r>
      <w:r w:rsidRPr="00EE3022">
        <w:rPr>
          <w:rFonts w:ascii="Times New Roman" w:hAnsi="Times New Roman" w:cs="Times New Roman"/>
          <w:sz w:val="24"/>
          <w:lang w:val="en-US"/>
        </w:rPr>
        <w:tab/>
        <w:t xml:space="preserve">Piedimonte G, Perez MK. Respiratory Syncytial Virus Infection and Bronchiolitis. </w:t>
      </w:r>
      <w:r w:rsidRPr="007C4332">
        <w:rPr>
          <w:rFonts w:ascii="Times New Roman" w:hAnsi="Times New Roman" w:cs="Times New Roman"/>
          <w:sz w:val="24"/>
        </w:rPr>
        <w:t>Pediatr Rev. 2014;35:519-530.</w:t>
      </w:r>
    </w:p>
    <w:p w14:paraId="5A2EBF6E" w14:textId="77777777" w:rsidR="000128A7" w:rsidRPr="00EE3022" w:rsidRDefault="001031E1">
      <w:pPr>
        <w:pStyle w:val="Bibliografa"/>
        <w:rPr>
          <w:rFonts w:ascii="Times New Roman" w:hAnsi="Times New Roman" w:cs="Times New Roman"/>
          <w:sz w:val="24"/>
          <w:lang w:val="en-US"/>
        </w:rPr>
      </w:pPr>
      <w:r w:rsidRPr="007C4332">
        <w:rPr>
          <w:rFonts w:ascii="Times New Roman" w:hAnsi="Times New Roman" w:cs="Times New Roman"/>
          <w:sz w:val="24"/>
        </w:rPr>
        <w:t xml:space="preserve">[13] </w:t>
      </w:r>
      <w:r w:rsidRPr="007C4332">
        <w:rPr>
          <w:rFonts w:ascii="Times New Roman" w:hAnsi="Times New Roman" w:cs="Times New Roman"/>
          <w:sz w:val="24"/>
        </w:rPr>
        <w:tab/>
        <w:t xml:space="preserve">Shi T, McAllister DA, O'Brien KL, et al. </w:t>
      </w:r>
      <w:r w:rsidRPr="00EE3022">
        <w:rPr>
          <w:rFonts w:ascii="Times New Roman" w:hAnsi="Times New Roman" w:cs="Times New Roman"/>
          <w:sz w:val="24"/>
          <w:lang w:val="en-US"/>
        </w:rPr>
        <w:t>Global, regional, and national disease burden estimates of acute lower respiratory infections due to respiratory syncytial virus in young children in 2015: a systematic review and modelling study. The Lancet. 2017;390:946-958.</w:t>
      </w:r>
    </w:p>
    <w:p w14:paraId="4E72C11E"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lastRenderedPageBreak/>
        <w:t xml:space="preserve">[14] </w:t>
      </w:r>
      <w:r w:rsidRPr="00EE3022">
        <w:rPr>
          <w:rFonts w:ascii="Times New Roman" w:hAnsi="Times New Roman" w:cs="Times New Roman"/>
          <w:sz w:val="24"/>
          <w:lang w:val="en-US"/>
        </w:rPr>
        <w:tab/>
        <w:t>Fauroux B, Simões EAF, Checchia PA, et al. The Burden and Long-term Respiratory Morbidity Associated with Respiratory Syncytial Virus Infection in Early Childhood. Infect Dis Ther. 2017;6:173-197.</w:t>
      </w:r>
    </w:p>
    <w:p w14:paraId="236773CB"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[15] </w:t>
      </w:r>
      <w:r w:rsidRPr="00EE3022">
        <w:rPr>
          <w:rFonts w:ascii="Times New Roman" w:hAnsi="Times New Roman" w:cs="Times New Roman"/>
          <w:sz w:val="24"/>
          <w:lang w:val="en-US"/>
        </w:rPr>
        <w:tab/>
        <w:t>Ledbetter J, Brannman L, Wade SW, et al. Healthcare resource utilization and costs in the 12 months following hospitalization for respiratory syncytial virus or unspecified bronchiolitis among infants. J Med Econ. 2020;23:139-147.</w:t>
      </w:r>
    </w:p>
    <w:p w14:paraId="52D1E8B2"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[16] </w:t>
      </w:r>
      <w:r w:rsidRPr="00EE3022">
        <w:rPr>
          <w:rFonts w:ascii="Times New Roman" w:hAnsi="Times New Roman" w:cs="Times New Roman"/>
          <w:sz w:val="24"/>
          <w:lang w:val="en-US"/>
        </w:rPr>
        <w:tab/>
        <w:t>Palmer L, Hall CB, Katkin JP, et al. Healthcare costs within a year of respiratory syncytial virus among Medicaid infants. Pediatr Pulmonol. 2010;45:772-781.</w:t>
      </w:r>
    </w:p>
    <w:p w14:paraId="59D8C61C"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[17] </w:t>
      </w:r>
      <w:r w:rsidRPr="00EE3022">
        <w:rPr>
          <w:rFonts w:ascii="Times New Roman" w:hAnsi="Times New Roman" w:cs="Times New Roman"/>
          <w:sz w:val="24"/>
          <w:lang w:val="en-US"/>
        </w:rPr>
        <w:tab/>
        <w:t>Thokala P, Devlin N, Marsh K, et al. Multiple Criteria Decision Analysis for Health Care Decision Making-An Introduction: Report 1 of the ISPOR MCDA Emerging Good Practices Task Force. Value Health. 2016;19:1-13.</w:t>
      </w:r>
    </w:p>
    <w:p w14:paraId="6C350B04"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[18] </w:t>
      </w:r>
      <w:r w:rsidRPr="00EE3022">
        <w:rPr>
          <w:rFonts w:ascii="Times New Roman" w:hAnsi="Times New Roman" w:cs="Times New Roman"/>
          <w:sz w:val="24"/>
          <w:lang w:val="en-US"/>
        </w:rPr>
        <w:tab/>
        <w:t>Goetghebeur MM, Wagner M, Khoury H, et al. Evidence and Value: Impact on DEcisionMaking - the EVIDEM framework and potential applications. BMC Health Serv Res [Internet]. 2008 [cited 2017 Feb 14];8. Available from: http://bmchealthservres.biomedcentral.com/articles/10.1186/1472-6963-8-270.</w:t>
      </w:r>
    </w:p>
    <w:p w14:paraId="49F49968"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[19] </w:t>
      </w:r>
      <w:r w:rsidRPr="00EE3022">
        <w:rPr>
          <w:rFonts w:ascii="Times New Roman" w:hAnsi="Times New Roman" w:cs="Times New Roman"/>
          <w:sz w:val="24"/>
          <w:lang w:val="en-US"/>
        </w:rPr>
        <w:tab/>
        <w:t>Bell E, Neri M, Steuten L. Towards a Broader Assessment of Value in Vaccines: The BRAVE Way Forward. Appl Health Econ Health Policy. 2022;20:105-117.</w:t>
      </w:r>
    </w:p>
    <w:p w14:paraId="47ADF57C"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[20] </w:t>
      </w:r>
      <w:r w:rsidRPr="00EE3022">
        <w:rPr>
          <w:rFonts w:ascii="Times New Roman" w:hAnsi="Times New Roman" w:cs="Times New Roman"/>
          <w:sz w:val="24"/>
          <w:lang w:val="en-US"/>
        </w:rPr>
        <w:tab/>
        <w:t>Knobler S, Bok K, Gellin B. Informing vaccine decision-making: A strategic multi-attribute ranking tool for vaccines-SMART Vaccines 2.0. Vaccine. 2017;35 Suppl 1:A43-A45.</w:t>
      </w:r>
    </w:p>
    <w:p w14:paraId="77AF738E"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[21] </w:t>
      </w:r>
      <w:r w:rsidRPr="00EE3022">
        <w:rPr>
          <w:rFonts w:ascii="Times New Roman" w:hAnsi="Times New Roman" w:cs="Times New Roman"/>
          <w:sz w:val="24"/>
          <w:lang w:val="en-US"/>
        </w:rPr>
        <w:tab/>
        <w:t>Luyten J, Kessels R, Vandermeulen C, et al. Value Frameworks for Vaccines: Which Dimensions Are Most Relevant? Vaccines. 2020;8:E628.</w:t>
      </w:r>
    </w:p>
    <w:p w14:paraId="20F102CD"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[22] </w:t>
      </w:r>
      <w:r w:rsidRPr="00EE3022">
        <w:rPr>
          <w:rFonts w:ascii="Times New Roman" w:hAnsi="Times New Roman" w:cs="Times New Roman"/>
          <w:sz w:val="24"/>
          <w:lang w:val="en-US"/>
        </w:rPr>
        <w:tab/>
        <w:t>McCormick BJJ, Waiswa P, Nalwadda C, et al. SMART Vaccines 2.0 decision-support platform: a tool to facilitate and promote priority setting for sustainable vaccination in resource-limited settings. BMJ Glob Health. 2020;5:e003587.</w:t>
      </w:r>
    </w:p>
    <w:p w14:paraId="590541D2"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[23] </w:t>
      </w:r>
      <w:r w:rsidRPr="00EE3022">
        <w:rPr>
          <w:rFonts w:ascii="Times New Roman" w:hAnsi="Times New Roman" w:cs="Times New Roman"/>
          <w:sz w:val="24"/>
          <w:lang w:val="en-US"/>
        </w:rPr>
        <w:tab/>
        <w:t>Suwantika AA, Purwadi FV, Zakiyah N, et al. Multi-criteria decision analysis to prioritize the introduction of new vaccines in Indonesia by using the framework of the strategic multi-attribute ranking tool for vaccines (SMART vaccines). Expert Rev Vaccines. 2021;20:83-91.</w:t>
      </w:r>
    </w:p>
    <w:p w14:paraId="39BAFCD7" w14:textId="77777777" w:rsidR="000128A7" w:rsidRPr="00EE3022" w:rsidRDefault="001031E1">
      <w:pPr>
        <w:pStyle w:val="Bibliografa"/>
        <w:rPr>
          <w:rFonts w:ascii="Times New Roman" w:hAnsi="Times New Roman" w:cs="Times New Roman"/>
          <w:sz w:val="24"/>
          <w:lang w:val="en-US"/>
        </w:rPr>
      </w:pPr>
      <w:r w:rsidRPr="00EE3022">
        <w:rPr>
          <w:rFonts w:ascii="Times New Roman" w:hAnsi="Times New Roman" w:cs="Times New Roman"/>
          <w:sz w:val="24"/>
          <w:lang w:val="en-US"/>
        </w:rPr>
        <w:t xml:space="preserve">[24] </w:t>
      </w:r>
      <w:r w:rsidRPr="00EE3022">
        <w:rPr>
          <w:rFonts w:ascii="Times New Roman" w:hAnsi="Times New Roman" w:cs="Times New Roman"/>
          <w:sz w:val="24"/>
          <w:lang w:val="en-US"/>
        </w:rPr>
        <w:tab/>
        <w:t>The National Academies of Engineering Medicine. Ranking Vaccines: A Prioritization Software Tool: Phase II: Prototype of a Decision-Support System [Internet]. 2013 [cited 2022 Mar 24]. Available from: https://www.nap.edu/read/13531/chapter/2.</w:t>
      </w:r>
    </w:p>
    <w:p w14:paraId="70FDC651" w14:textId="6821B0C0" w:rsidR="00BC7E34" w:rsidRPr="00EE3022" w:rsidRDefault="00BC7E34" w:rsidP="002A7A69">
      <w:pPr>
        <w:spacing w:line="360" w:lineRule="auto"/>
        <w:rPr>
          <w:rFonts w:ascii="Times New Roman" w:hAnsi="Times New Roman" w:cs="Times New Roman"/>
          <w:sz w:val="24"/>
          <w:szCs w:val="24"/>
          <w:lang w:val="en-US"/>
        </w:rPr>
      </w:pPr>
      <w:r w:rsidRPr="00EE3022">
        <w:rPr>
          <w:rFonts w:ascii="Times New Roman" w:hAnsi="Times New Roman" w:cs="Times New Roman"/>
          <w:sz w:val="24"/>
          <w:szCs w:val="24"/>
          <w:lang w:val="en-US"/>
        </w:rPr>
        <w:fldChar w:fldCharType="end"/>
      </w:r>
    </w:p>
    <w:sectPr w:rsidR="00BC7E34" w:rsidRPr="00EE3022">
      <w:footnotePr>
        <w:numFmt w:val="lowerLetter"/>
      </w:footnotePr>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85141" w14:textId="77777777" w:rsidR="00C36DCA" w:rsidRDefault="00C36DCA" w:rsidP="009616DD">
      <w:pPr>
        <w:spacing w:after="0" w:line="240" w:lineRule="auto"/>
      </w:pPr>
      <w:r>
        <w:separator/>
      </w:r>
    </w:p>
  </w:endnote>
  <w:endnote w:type="continuationSeparator" w:id="0">
    <w:p w14:paraId="750A5E20" w14:textId="77777777" w:rsidR="00C36DCA" w:rsidRDefault="00C36DCA" w:rsidP="00961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6656A" w14:textId="77777777" w:rsidR="00C36DCA" w:rsidRDefault="00C36DCA" w:rsidP="009616DD">
      <w:pPr>
        <w:spacing w:after="0" w:line="240" w:lineRule="auto"/>
      </w:pPr>
      <w:r>
        <w:separator/>
      </w:r>
    </w:p>
  </w:footnote>
  <w:footnote w:type="continuationSeparator" w:id="0">
    <w:p w14:paraId="39FDCE74" w14:textId="77777777" w:rsidR="00C36DCA" w:rsidRDefault="00C36DCA" w:rsidP="009616DD">
      <w:pPr>
        <w:spacing w:after="0" w:line="240" w:lineRule="auto"/>
      </w:pPr>
      <w:r>
        <w:continuationSeparator/>
      </w:r>
    </w:p>
  </w:footnote>
  <w:footnote w:id="1">
    <w:p w14:paraId="7BE28156" w14:textId="77777777" w:rsidR="000128A7" w:rsidRPr="007B19A7" w:rsidRDefault="001031E1">
      <w:pPr>
        <w:pStyle w:val="Textonotapie"/>
      </w:pPr>
      <w:r w:rsidRPr="007B19A7">
        <w:rPr>
          <w:rStyle w:val="Refdenotaalpie"/>
        </w:rPr>
        <w:footnoteRef/>
      </w:r>
      <w:r w:rsidRPr="007B19A7">
        <w:rPr>
          <w:rFonts w:cstheme="minorHAnsi"/>
          <w:color w:val="000000"/>
        </w:rPr>
        <w:t xml:space="preserve"> In the last two years, marked by the COVID-19 pandemic, there have been more RSV cases outside the historically contemplated seasons (November-April), although it is not known whether this pattern will continue in the medium/long term.</w:t>
      </w:r>
    </w:p>
  </w:footnote>
  <w:footnote w:id="2">
    <w:p w14:paraId="3B88ABEA" w14:textId="77777777" w:rsidR="000128A7" w:rsidRPr="007B19A7" w:rsidRDefault="001031E1">
      <w:pPr>
        <w:pStyle w:val="Textonotapie"/>
      </w:pPr>
      <w:r w:rsidRPr="007B19A7">
        <w:rPr>
          <w:rStyle w:val="Refdenotaalpie"/>
        </w:rPr>
        <w:footnoteRef/>
      </w:r>
      <w:r w:rsidRPr="007B19A7">
        <w:rPr>
          <w:rFonts w:cstheme="minorHAnsi"/>
          <w:color w:val="000000"/>
        </w:rPr>
        <w:t xml:space="preserve"> in which the patient himself recovers after a few days.</w:t>
      </w:r>
    </w:p>
  </w:footnote>
  <w:footnote w:id="3">
    <w:p w14:paraId="05380A9A" w14:textId="77777777" w:rsidR="000128A7" w:rsidRPr="007B19A7" w:rsidRDefault="001031E1">
      <w:pPr>
        <w:pStyle w:val="Textonotapie"/>
      </w:pPr>
      <w:r w:rsidRPr="007B19A7">
        <w:rPr>
          <w:rStyle w:val="Refdenotaalpie"/>
        </w:rPr>
        <w:footnoteRef/>
      </w:r>
      <w:r w:rsidRPr="007B19A7">
        <w:rPr>
          <w:rFonts w:cstheme="minorHAnsi"/>
          <w:color w:val="000000"/>
        </w:rPr>
        <w:t xml:space="preserve"> inflammation of the alveoli</w:t>
      </w:r>
    </w:p>
  </w:footnote>
  <w:footnote w:id="4">
    <w:p w14:paraId="51FB5A36" w14:textId="77777777" w:rsidR="000128A7" w:rsidRPr="007B19A7" w:rsidRDefault="001031E1">
      <w:pPr>
        <w:pStyle w:val="Textonotapie"/>
      </w:pPr>
      <w:r w:rsidRPr="007B19A7">
        <w:rPr>
          <w:rStyle w:val="Refdenotaalpie"/>
        </w:rPr>
        <w:footnoteRef/>
      </w:r>
      <w:r w:rsidRPr="007B19A7">
        <w:rPr>
          <w:rFonts w:cstheme="minorHAnsi"/>
          <w:color w:val="000000"/>
        </w:rPr>
        <w:t xml:space="preserve"> occlusion of the smallest airways</w:t>
      </w:r>
    </w:p>
  </w:footnote>
  <w:footnote w:id="5">
    <w:p w14:paraId="32C0A029" w14:textId="77777777" w:rsidR="000128A7" w:rsidRDefault="001031E1">
      <w:pPr>
        <w:pStyle w:val="Textonotapie"/>
        <w:rPr>
          <w:lang w:val="es-ES_tradnl"/>
        </w:rPr>
      </w:pPr>
      <w:r w:rsidRPr="007B19A7">
        <w:rPr>
          <w:rStyle w:val="Refdenotaalpie"/>
        </w:rPr>
        <w:footnoteRef/>
      </w:r>
      <w:r w:rsidRPr="007B19A7">
        <w:rPr>
          <w:rFonts w:cstheme="minorHAnsi"/>
          <w:color w:val="000000"/>
        </w:rPr>
        <w:t xml:space="preserve"> ≤35 weeks gestational age (WGA)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534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84162EE"/>
    <w:multiLevelType w:val="hybridMultilevel"/>
    <w:tmpl w:val="051E994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1355A62"/>
    <w:multiLevelType w:val="hybridMultilevel"/>
    <w:tmpl w:val="14C6660A"/>
    <w:lvl w:ilvl="0" w:tplc="60AAB088">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6FD53B4"/>
    <w:multiLevelType w:val="hybridMultilevel"/>
    <w:tmpl w:val="EFECD25A"/>
    <w:lvl w:ilvl="0" w:tplc="60AAB088">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683365524">
    <w:abstractNumId w:val="3"/>
  </w:num>
  <w:num w:numId="2" w16cid:durableId="2029208687">
    <w:abstractNumId w:val="2"/>
  </w:num>
  <w:num w:numId="3" w16cid:durableId="601841815">
    <w:abstractNumId w:val="1"/>
  </w:num>
  <w:num w:numId="4" w16cid:durableId="915087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numFmt w:val="lowerLette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D10"/>
    <w:rsid w:val="000128A7"/>
    <w:rsid w:val="0003747C"/>
    <w:rsid w:val="00065E1F"/>
    <w:rsid w:val="0008102C"/>
    <w:rsid w:val="00083276"/>
    <w:rsid w:val="000917D6"/>
    <w:rsid w:val="000B2988"/>
    <w:rsid w:val="000D109C"/>
    <w:rsid w:val="000D2F71"/>
    <w:rsid w:val="001031E1"/>
    <w:rsid w:val="00116216"/>
    <w:rsid w:val="00121EA2"/>
    <w:rsid w:val="0012462B"/>
    <w:rsid w:val="00145982"/>
    <w:rsid w:val="001511ED"/>
    <w:rsid w:val="001512F1"/>
    <w:rsid w:val="001C32FD"/>
    <w:rsid w:val="001D4F38"/>
    <w:rsid w:val="001D751F"/>
    <w:rsid w:val="00207E6F"/>
    <w:rsid w:val="00213B2D"/>
    <w:rsid w:val="00221144"/>
    <w:rsid w:val="00221D9B"/>
    <w:rsid w:val="00235E4B"/>
    <w:rsid w:val="002A7A69"/>
    <w:rsid w:val="002C1D6B"/>
    <w:rsid w:val="002F2CF3"/>
    <w:rsid w:val="00324745"/>
    <w:rsid w:val="003703C4"/>
    <w:rsid w:val="00386456"/>
    <w:rsid w:val="004245F5"/>
    <w:rsid w:val="004327A5"/>
    <w:rsid w:val="004426F4"/>
    <w:rsid w:val="005812DD"/>
    <w:rsid w:val="00590875"/>
    <w:rsid w:val="00625457"/>
    <w:rsid w:val="00634DB0"/>
    <w:rsid w:val="0064423C"/>
    <w:rsid w:val="006469C2"/>
    <w:rsid w:val="00650796"/>
    <w:rsid w:val="00682654"/>
    <w:rsid w:val="006A3D55"/>
    <w:rsid w:val="006B7D0F"/>
    <w:rsid w:val="00707E70"/>
    <w:rsid w:val="00731911"/>
    <w:rsid w:val="0073714F"/>
    <w:rsid w:val="00760DA9"/>
    <w:rsid w:val="00772449"/>
    <w:rsid w:val="007B19A7"/>
    <w:rsid w:val="007C4332"/>
    <w:rsid w:val="007E04EF"/>
    <w:rsid w:val="007F2010"/>
    <w:rsid w:val="00806784"/>
    <w:rsid w:val="00832CF2"/>
    <w:rsid w:val="00861898"/>
    <w:rsid w:val="008A0569"/>
    <w:rsid w:val="008C4D92"/>
    <w:rsid w:val="008D5EC5"/>
    <w:rsid w:val="008D7286"/>
    <w:rsid w:val="009206FD"/>
    <w:rsid w:val="009369C0"/>
    <w:rsid w:val="009616DD"/>
    <w:rsid w:val="00971571"/>
    <w:rsid w:val="0098384D"/>
    <w:rsid w:val="009B329D"/>
    <w:rsid w:val="009B7F3C"/>
    <w:rsid w:val="009C0853"/>
    <w:rsid w:val="00A460BD"/>
    <w:rsid w:val="00A53A8E"/>
    <w:rsid w:val="00A55675"/>
    <w:rsid w:val="00A654C5"/>
    <w:rsid w:val="00A66498"/>
    <w:rsid w:val="00A66D10"/>
    <w:rsid w:val="00A70BA4"/>
    <w:rsid w:val="00A71D4E"/>
    <w:rsid w:val="00AC191D"/>
    <w:rsid w:val="00AE30C5"/>
    <w:rsid w:val="00B64001"/>
    <w:rsid w:val="00BA403C"/>
    <w:rsid w:val="00BB6F4A"/>
    <w:rsid w:val="00BC7E34"/>
    <w:rsid w:val="00C14EF4"/>
    <w:rsid w:val="00C15BE6"/>
    <w:rsid w:val="00C15E33"/>
    <w:rsid w:val="00C36DCA"/>
    <w:rsid w:val="00C52E49"/>
    <w:rsid w:val="00C91EC4"/>
    <w:rsid w:val="00CA089A"/>
    <w:rsid w:val="00CC30F2"/>
    <w:rsid w:val="00CF6763"/>
    <w:rsid w:val="00D101FC"/>
    <w:rsid w:val="00D1582B"/>
    <w:rsid w:val="00D67017"/>
    <w:rsid w:val="00DD222E"/>
    <w:rsid w:val="00E32167"/>
    <w:rsid w:val="00E55FD2"/>
    <w:rsid w:val="00E66703"/>
    <w:rsid w:val="00E66CD9"/>
    <w:rsid w:val="00EA3985"/>
    <w:rsid w:val="00ED7E58"/>
    <w:rsid w:val="00EE3022"/>
    <w:rsid w:val="00F03DFD"/>
    <w:rsid w:val="00F136E2"/>
    <w:rsid w:val="00F70303"/>
    <w:rsid w:val="00F8554E"/>
    <w:rsid w:val="00FB6BDF"/>
    <w:rsid w:val="00FC7D5B"/>
    <w:rsid w:val="00FE7977"/>
    <w:rsid w:val="00FF78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18BC1"/>
  <w15:chartTrackingRefBased/>
  <w15:docId w15:val="{7A0E14D9-0C14-443E-810F-236CB8E89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D10"/>
  </w:style>
  <w:style w:type="paragraph" w:styleId="Ttulo1">
    <w:name w:val="heading 1"/>
    <w:basedOn w:val="Normal"/>
    <w:next w:val="Normal"/>
    <w:link w:val="Ttulo1Car"/>
    <w:uiPriority w:val="9"/>
    <w:qFormat/>
    <w:rsid w:val="000D109C"/>
    <w:pPr>
      <w:keepNext/>
      <w:keepLines/>
      <w:spacing w:before="240" w:after="0"/>
      <w:outlineLvl w:val="0"/>
    </w:pPr>
    <w:rPr>
      <w:rFonts w:ascii="Times New Roman" w:eastAsiaTheme="majorEastAsia" w:hAnsi="Times New Roman" w:cstheme="majorBidi"/>
      <w:b/>
      <w:sz w:val="28"/>
      <w:szCs w:val="32"/>
    </w:rPr>
  </w:style>
  <w:style w:type="paragraph" w:styleId="Ttulo2">
    <w:name w:val="heading 2"/>
    <w:basedOn w:val="Normal"/>
    <w:next w:val="Normal"/>
    <w:link w:val="Ttulo2Car"/>
    <w:uiPriority w:val="9"/>
    <w:unhideWhenUsed/>
    <w:qFormat/>
    <w:rsid w:val="0003747C"/>
    <w:pPr>
      <w:keepNext/>
      <w:keepLines/>
      <w:spacing w:before="40" w:after="0"/>
      <w:outlineLvl w:val="1"/>
    </w:pPr>
    <w:rPr>
      <w:rFonts w:ascii="Times New Roman" w:eastAsiaTheme="majorEastAsia" w:hAnsi="Times New Roman" w:cstheme="majorBidi"/>
      <w:b/>
      <w:i/>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Bibliografa">
    <w:name w:val="Bibliography"/>
    <w:basedOn w:val="Normal"/>
    <w:next w:val="Normal"/>
    <w:uiPriority w:val="37"/>
    <w:unhideWhenUsed/>
    <w:rsid w:val="00BC7E34"/>
    <w:pPr>
      <w:tabs>
        <w:tab w:val="left" w:pos="624"/>
      </w:tabs>
      <w:spacing w:after="240" w:line="240" w:lineRule="auto"/>
      <w:ind w:left="624" w:hanging="624"/>
    </w:pPr>
  </w:style>
  <w:style w:type="paragraph" w:styleId="Prrafodelista">
    <w:name w:val="List Paragraph"/>
    <w:basedOn w:val="Normal"/>
    <w:uiPriority w:val="34"/>
    <w:qFormat/>
    <w:rsid w:val="00634DB0"/>
    <w:pPr>
      <w:ind w:left="720"/>
      <w:contextualSpacing/>
    </w:pPr>
  </w:style>
  <w:style w:type="table" w:styleId="Tablaconcuadrcula">
    <w:name w:val="Table Grid"/>
    <w:basedOn w:val="Tablanormal"/>
    <w:uiPriority w:val="39"/>
    <w:rsid w:val="009C0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TABLASYFIGURAS">
    <w:name w:val="TITULO TABLAS Y FIGURAS"/>
    <w:basedOn w:val="Normal"/>
    <w:qFormat/>
    <w:rsid w:val="009C0853"/>
    <w:pPr>
      <w:pBdr>
        <w:bottom w:val="single" w:sz="4" w:space="1" w:color="auto"/>
      </w:pBdr>
      <w:spacing w:before="240" w:after="120" w:line="240" w:lineRule="auto"/>
      <w:jc w:val="both"/>
    </w:pPr>
    <w:rPr>
      <w:rFonts w:ascii="Arial Narrow" w:eastAsiaTheme="majorEastAsia" w:hAnsi="Arial Narrow" w:cstheme="majorBidi"/>
      <w:smallCaps/>
      <w:color w:val="4A4F96"/>
      <w:spacing w:val="5"/>
      <w:sz w:val="24"/>
      <w:szCs w:val="60"/>
      <w:lang w:val="es-ES_tradnl"/>
    </w:rPr>
  </w:style>
  <w:style w:type="character" w:styleId="Refdecomentario">
    <w:name w:val="annotation reference"/>
    <w:basedOn w:val="Fuentedeprrafopredeter"/>
    <w:uiPriority w:val="99"/>
    <w:semiHidden/>
    <w:unhideWhenUsed/>
    <w:rsid w:val="009616DD"/>
    <w:rPr>
      <w:sz w:val="16"/>
      <w:szCs w:val="16"/>
    </w:rPr>
  </w:style>
  <w:style w:type="paragraph" w:styleId="Textocomentario">
    <w:name w:val="annotation text"/>
    <w:basedOn w:val="Normal"/>
    <w:link w:val="TextocomentarioCar"/>
    <w:uiPriority w:val="99"/>
    <w:unhideWhenUsed/>
    <w:rsid w:val="009616DD"/>
    <w:pPr>
      <w:spacing w:line="240" w:lineRule="auto"/>
    </w:pPr>
    <w:rPr>
      <w:sz w:val="20"/>
      <w:szCs w:val="20"/>
    </w:rPr>
  </w:style>
  <w:style w:type="character" w:customStyle="1" w:styleId="TextocomentarioCar">
    <w:name w:val="Texto comentario Car"/>
    <w:basedOn w:val="Fuentedeprrafopredeter"/>
    <w:link w:val="Textocomentario"/>
    <w:uiPriority w:val="99"/>
    <w:rsid w:val="009616DD"/>
    <w:rPr>
      <w:sz w:val="20"/>
      <w:szCs w:val="20"/>
    </w:rPr>
  </w:style>
  <w:style w:type="paragraph" w:styleId="Textonotapie">
    <w:name w:val="footnote text"/>
    <w:basedOn w:val="Normal"/>
    <w:link w:val="TextonotapieCar"/>
    <w:uiPriority w:val="99"/>
    <w:semiHidden/>
    <w:unhideWhenUsed/>
    <w:rsid w:val="009616DD"/>
    <w:pPr>
      <w:widowControl w:val="0"/>
      <w:spacing w:after="0" w:line="240" w:lineRule="auto"/>
    </w:pPr>
    <w:rPr>
      <w:sz w:val="20"/>
      <w:szCs w:val="20"/>
      <w:lang w:val="en-US"/>
    </w:rPr>
  </w:style>
  <w:style w:type="character" w:customStyle="1" w:styleId="TextonotapieCar">
    <w:name w:val="Texto nota pie Car"/>
    <w:basedOn w:val="Fuentedeprrafopredeter"/>
    <w:link w:val="Textonotapie"/>
    <w:uiPriority w:val="99"/>
    <w:semiHidden/>
    <w:rsid w:val="009616DD"/>
    <w:rPr>
      <w:sz w:val="20"/>
      <w:szCs w:val="20"/>
      <w:lang w:val="en-US"/>
    </w:rPr>
  </w:style>
  <w:style w:type="character" w:styleId="Refdenotaalpie">
    <w:name w:val="footnote reference"/>
    <w:basedOn w:val="Fuentedeprrafopredeter"/>
    <w:uiPriority w:val="99"/>
    <w:semiHidden/>
    <w:unhideWhenUsed/>
    <w:rsid w:val="009616DD"/>
    <w:rPr>
      <w:vertAlign w:val="superscript"/>
    </w:rPr>
  </w:style>
  <w:style w:type="table" w:styleId="Tabladelista3">
    <w:name w:val="List Table 3"/>
    <w:basedOn w:val="Tablanormal"/>
    <w:uiPriority w:val="48"/>
    <w:rsid w:val="001511ED"/>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Ttulo1Car">
    <w:name w:val="Título 1 Car"/>
    <w:basedOn w:val="Fuentedeprrafopredeter"/>
    <w:link w:val="Ttulo1"/>
    <w:uiPriority w:val="9"/>
    <w:rsid w:val="000D109C"/>
    <w:rPr>
      <w:rFonts w:ascii="Times New Roman" w:eastAsiaTheme="majorEastAsia" w:hAnsi="Times New Roman" w:cstheme="majorBidi"/>
      <w:b/>
      <w:sz w:val="28"/>
      <w:szCs w:val="32"/>
    </w:rPr>
  </w:style>
  <w:style w:type="character" w:customStyle="1" w:styleId="Ttulo2Car">
    <w:name w:val="Título 2 Car"/>
    <w:basedOn w:val="Fuentedeprrafopredeter"/>
    <w:link w:val="Ttulo2"/>
    <w:uiPriority w:val="9"/>
    <w:rsid w:val="0003747C"/>
    <w:rPr>
      <w:rFonts w:ascii="Times New Roman" w:eastAsiaTheme="majorEastAsia" w:hAnsi="Times New Roman" w:cstheme="majorBidi"/>
      <w:b/>
      <w:i/>
      <w:sz w:val="24"/>
      <w:szCs w:val="26"/>
    </w:rPr>
  </w:style>
  <w:style w:type="paragraph" w:styleId="TtuloTDC">
    <w:name w:val="TOC Heading"/>
    <w:basedOn w:val="Ttulo1"/>
    <w:next w:val="Normal"/>
    <w:uiPriority w:val="39"/>
    <w:unhideWhenUsed/>
    <w:qFormat/>
    <w:rsid w:val="0012462B"/>
    <w:pPr>
      <w:outlineLvl w:val="9"/>
    </w:pPr>
    <w:rPr>
      <w:rFonts w:asciiTheme="majorHAnsi" w:hAnsiTheme="majorHAnsi"/>
      <w:b w:val="0"/>
      <w:color w:val="2F5496" w:themeColor="accent1" w:themeShade="BF"/>
      <w:sz w:val="32"/>
      <w:lang w:eastAsia="es-ES"/>
    </w:rPr>
  </w:style>
  <w:style w:type="paragraph" w:styleId="TDC1">
    <w:name w:val="toc 1"/>
    <w:basedOn w:val="Normal"/>
    <w:next w:val="Normal"/>
    <w:autoRedefine/>
    <w:uiPriority w:val="39"/>
    <w:unhideWhenUsed/>
    <w:rsid w:val="0012462B"/>
    <w:pPr>
      <w:spacing w:after="100"/>
    </w:pPr>
  </w:style>
  <w:style w:type="paragraph" w:styleId="TDC2">
    <w:name w:val="toc 2"/>
    <w:basedOn w:val="Normal"/>
    <w:next w:val="Normal"/>
    <w:autoRedefine/>
    <w:uiPriority w:val="39"/>
    <w:unhideWhenUsed/>
    <w:rsid w:val="0012462B"/>
    <w:pPr>
      <w:spacing w:after="100"/>
      <w:ind w:left="220"/>
    </w:pPr>
  </w:style>
  <w:style w:type="character" w:styleId="Hipervnculo">
    <w:name w:val="Hyperlink"/>
    <w:basedOn w:val="Fuentedeprrafopredeter"/>
    <w:uiPriority w:val="99"/>
    <w:unhideWhenUsed/>
    <w:rsid w:val="0012462B"/>
    <w:rPr>
      <w:color w:val="0563C1" w:themeColor="hyperlink"/>
      <w:u w:val="single"/>
    </w:rPr>
  </w:style>
  <w:style w:type="paragraph" w:styleId="Revisin">
    <w:name w:val="Revision"/>
    <w:hidden/>
    <w:uiPriority w:val="99"/>
    <w:semiHidden/>
    <w:rsid w:val="00AC19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2298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7C98BE-E571-4A24-995A-79CDA06F7C7F}">
  <ds:schemaRefs>
    <ds:schemaRef ds:uri="http://schemas.microsoft.com/office/2006/metadata/properties"/>
    <ds:schemaRef ds:uri="http://schemas.microsoft.com/office/infopath/2007/PartnerControls"/>
    <ds:schemaRef ds:uri="21c21789-2aa1-47eb-9c4d-00dc9f0105b8"/>
    <ds:schemaRef ds:uri="2464e5df-6132-42f1-8bd1-5be3ff54df1c"/>
  </ds:schemaRefs>
</ds:datastoreItem>
</file>

<file path=customXml/itemProps2.xml><?xml version="1.0" encoding="utf-8"?>
<ds:datastoreItem xmlns:ds="http://schemas.openxmlformats.org/officeDocument/2006/customXml" ds:itemID="{2BA7CC90-ACA3-49E4-9A5C-754323FD2633}"/>
</file>

<file path=customXml/itemProps3.xml><?xml version="1.0" encoding="utf-8"?>
<ds:datastoreItem xmlns:ds="http://schemas.openxmlformats.org/officeDocument/2006/customXml" ds:itemID="{D5E965BB-DCAC-46A2-84E1-3AFF6E98E837}">
  <ds:schemaRefs>
    <ds:schemaRef ds:uri="http://schemas.openxmlformats.org/officeDocument/2006/bibliography"/>
  </ds:schemaRefs>
</ds:datastoreItem>
</file>

<file path=customXml/itemProps4.xml><?xml version="1.0" encoding="utf-8"?>
<ds:datastoreItem xmlns:ds="http://schemas.openxmlformats.org/officeDocument/2006/customXml" ds:itemID="{96CD3E05-BF6C-4380-ADD5-AF3FDFE619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13</Pages>
  <Words>12807</Words>
  <Characters>70440</Characters>
  <Application>Microsoft Office Word</Application>
  <DocSecurity>0</DocSecurity>
  <Lines>587</Lines>
  <Paragraphs>166</Paragraphs>
  <ScaleCrop>false</ScaleCrop>
  <Company/>
  <LinksUpToDate>false</LinksUpToDate>
  <CharactersWithSpaces>83081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docId:E751A46773A06BC0A81DE09139AEF83B</cp:keywords>
  <dc:description/>
  <cp:lastModifiedBy>Fernando Abdalla</cp:lastModifiedBy>
  <cp:revision>101</cp:revision>
  <dcterms:created xsi:type="dcterms:W3CDTF">2022-10-10T07:46:00Z</dcterms:created>
  <dcterms:modified xsi:type="dcterms:W3CDTF">2023-07-19T08:13:00Z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id="3wKIw2bd"/&gt;&lt;style id="http://www.zotero.org/styles/taylor-and-francis-national-library-of-medicine"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y fmtid="{D5CDD505-2E9C-101B-9397-08002B2CF9AE}" pid="4" name="ContentTypeId">
    <vt:lpwstr>0x010100626F03E8FB312D47BEBB09767D8C1FF2</vt:lpwstr>
  </property>
  <property fmtid="{D5CDD505-2E9C-101B-9397-08002B2CF9AE}" pid="5" name="MediaServiceImageTags">
    <vt:lpwstr/>
  </property>
</Properties>
</file>