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0A21B" w14:textId="60249EBE" w:rsidR="00881FCB" w:rsidRPr="00ED40F9" w:rsidRDefault="00881FCB" w:rsidP="00881FCB">
      <w:pPr>
        <w:spacing w:after="120" w:line="500" w:lineRule="exact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6641C">
        <w:rPr>
          <w:rFonts w:ascii="Times New Roman" w:hAnsi="Times New Roman" w:cs="Times New Roman"/>
          <w:b/>
          <w:bCs/>
          <w:sz w:val="24"/>
          <w:szCs w:val="24"/>
          <w:lang w:val="en-US"/>
        </w:rPr>
        <w:t>Evaluation of Antibody-based Preventive Alternatives for Respiratory Syncytial Virus: A Novel Multi-Criteria Decision Analysis Framework and Assessment of Nirsevimab</w:t>
      </w:r>
      <w:r w:rsidR="00992E9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in Spain</w:t>
      </w:r>
    </w:p>
    <w:p w14:paraId="17E7905F" w14:textId="77777777" w:rsidR="00881FCB" w:rsidRPr="00EB29B2" w:rsidRDefault="00881FCB" w:rsidP="00881FCB">
      <w:pPr>
        <w:spacing w:after="120" w:line="5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B29B2">
        <w:rPr>
          <w:rFonts w:ascii="Times New Roman" w:hAnsi="Times New Roman" w:cs="Times New Roman"/>
          <w:b/>
          <w:bCs/>
          <w:sz w:val="24"/>
          <w:szCs w:val="24"/>
        </w:rPr>
        <w:t>Authors</w:t>
      </w:r>
      <w:r w:rsidRPr="00EB29B2">
        <w:rPr>
          <w:rFonts w:ascii="Times New Roman" w:hAnsi="Times New Roman" w:cs="Times New Roman"/>
          <w:sz w:val="24"/>
          <w:szCs w:val="24"/>
        </w:rPr>
        <w:t xml:space="preserve">: </w:t>
      </w:r>
      <w:r w:rsidRPr="00C42B71">
        <w:rPr>
          <w:rFonts w:ascii="Times New Roman" w:hAnsi="Times New Roman" w:cs="Times New Roman"/>
          <w:sz w:val="24"/>
          <w:szCs w:val="24"/>
        </w:rPr>
        <w:t>Jorge Mestre-Ferrándiz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42B71">
        <w:rPr>
          <w:rFonts w:ascii="Times New Roman" w:hAnsi="Times New Roman" w:cs="Times New Roman"/>
          <w:sz w:val="24"/>
          <w:szCs w:val="24"/>
        </w:rPr>
        <w:t>, Agustín Rivero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42B71">
        <w:rPr>
          <w:rFonts w:ascii="Times New Roman" w:hAnsi="Times New Roman" w:cs="Times New Roman"/>
          <w:sz w:val="24"/>
          <w:szCs w:val="24"/>
        </w:rPr>
        <w:t>, Alejandro Orrico-Sánchez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3,4,5</w:t>
      </w:r>
      <w:r w:rsidRPr="00C42B71">
        <w:rPr>
          <w:rFonts w:ascii="Times New Roman" w:hAnsi="Times New Roman" w:cs="Times New Roman"/>
          <w:sz w:val="24"/>
          <w:szCs w:val="24"/>
        </w:rPr>
        <w:t>, Álvaro Hidalgo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6,7</w:t>
      </w:r>
      <w:r w:rsidRPr="00C42B71">
        <w:rPr>
          <w:rFonts w:ascii="Times New Roman" w:hAnsi="Times New Roman" w:cs="Times New Roman"/>
          <w:sz w:val="24"/>
          <w:szCs w:val="24"/>
        </w:rPr>
        <w:t>, Fernando Abdalla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C42B71">
        <w:rPr>
          <w:rFonts w:ascii="Times New Roman" w:hAnsi="Times New Roman" w:cs="Times New Roman"/>
          <w:sz w:val="24"/>
          <w:szCs w:val="24"/>
        </w:rPr>
        <w:t>, Isabel Martín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C42B71">
        <w:rPr>
          <w:rFonts w:ascii="Times New Roman" w:hAnsi="Times New Roman" w:cs="Times New Roman"/>
          <w:sz w:val="24"/>
          <w:szCs w:val="24"/>
        </w:rPr>
        <w:t>, Javier Álvarez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10</w:t>
      </w:r>
      <w:r w:rsidRPr="00C42B71">
        <w:rPr>
          <w:rFonts w:ascii="Times New Roman" w:hAnsi="Times New Roman" w:cs="Times New Roman"/>
          <w:sz w:val="24"/>
          <w:szCs w:val="24"/>
        </w:rPr>
        <w:t>, Manuel García-Cenoz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C42B71">
        <w:rPr>
          <w:rFonts w:ascii="Times New Roman" w:hAnsi="Times New Roman" w:cs="Times New Roman"/>
          <w:sz w:val="24"/>
          <w:szCs w:val="24"/>
        </w:rPr>
        <w:t>, Maria del Carmen Pacheco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12</w:t>
      </w:r>
      <w:r w:rsidRPr="00C42B71">
        <w:rPr>
          <w:rFonts w:ascii="Times New Roman" w:hAnsi="Times New Roman" w:cs="Times New Roman"/>
          <w:sz w:val="24"/>
          <w:szCs w:val="24"/>
        </w:rPr>
        <w:t>, María Garcés-Sánchez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C42B71">
        <w:rPr>
          <w:rFonts w:ascii="Times New Roman" w:hAnsi="Times New Roman" w:cs="Times New Roman"/>
          <w:sz w:val="24"/>
          <w:szCs w:val="24"/>
        </w:rPr>
        <w:t>, Néboa Zozaya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8,14</w:t>
      </w:r>
      <w:r w:rsidRPr="00C42B71">
        <w:rPr>
          <w:rFonts w:ascii="Times New Roman" w:hAnsi="Times New Roman" w:cs="Times New Roman"/>
          <w:sz w:val="24"/>
          <w:szCs w:val="24"/>
        </w:rPr>
        <w:t>, Raúl Ortiz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C42B71">
        <w:rPr>
          <w:rFonts w:ascii="Times New Roman" w:hAnsi="Times New Roman" w:cs="Times New Roman"/>
          <w:sz w:val="24"/>
          <w:szCs w:val="24"/>
        </w:rPr>
        <w:t>de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C42B71">
        <w:rPr>
          <w:rFonts w:ascii="Times New Roman" w:hAnsi="Times New Roman" w:cs="Times New Roman"/>
          <w:sz w:val="24"/>
          <w:szCs w:val="24"/>
        </w:rPr>
        <w:t>Lejarazu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15</w:t>
      </w:r>
    </w:p>
    <w:p w14:paraId="201E07FC" w14:textId="20D0FD69" w:rsidR="008028D3" w:rsidRDefault="00881FCB" w:rsidP="008A4CF2">
      <w:pPr>
        <w:spacing w:line="500" w:lineRule="exac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F0FC3">
        <w:rPr>
          <w:rFonts w:ascii="Times New Roman" w:hAnsi="Times New Roman" w:cs="Times New Roman"/>
          <w:b/>
          <w:bCs/>
          <w:sz w:val="24"/>
          <w:szCs w:val="24"/>
          <w:lang w:val="en-US"/>
        </w:rPr>
        <w:t>Affiliations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Economics, University Carlos III, Madrid,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Management, Bioregión de Salud y Bienestar (BioMad), Madrid,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Vaccines Research, Fundación Para el Fomento de la Investigación Sanitaria y Biomédica de la Comunitat Valenciana (Fisabio), Valencia,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Catholic University of Valencia,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5</w:t>
      </w:r>
      <w:r w:rsidRPr="00641CF1">
        <w:rPr>
          <w:rFonts w:ascii="Times New Roman" w:hAnsi="Times New Roman" w:cs="Times New Roman"/>
          <w:sz w:val="24"/>
          <w:szCs w:val="24"/>
          <w:lang w:val="en-US"/>
        </w:rPr>
        <w:t>Centro de Investigación Biomédica en Red de Epidemiología y Salud Pública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(C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>IBERESP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6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Weber Foundation, Madrid,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7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Economic Analysis and Finances, University of Castilla-La Mancha. Toledo,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8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Health Affairs and Policy Research, Vivactis Weber, Madrid,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9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Primary Care, Rochapea Healthcare Center, Navarra,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10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Pediatrics, Hospital Costa del Sol, Málaga,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11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Public Health Institute of Navarra, Navarra,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12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Epidemiology, General Directorate of Public Health, Castilla y León,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Pediatrics, Nazaret Healthcare Center, Valencia,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14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Quantitative Methods in Economics and Management, University Las Palmas de Gran Canaria. Las Palmas,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15</w:t>
      </w:r>
      <w:r w:rsidRPr="00D032B6">
        <w:rPr>
          <w:rFonts w:ascii="Times New Roman" w:hAnsi="Times New Roman" w:cs="Times New Roman"/>
          <w:sz w:val="24"/>
          <w:szCs w:val="24"/>
          <w:lang w:val="en-US"/>
        </w:rPr>
        <w:t>National Influenza Centre, Scientific Advisor and Emeritus Director, School of Medicine, University of Valladolid, Castilla y León, Spain</w:t>
      </w:r>
      <w:r w:rsidR="00417F07" w:rsidRPr="007121F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D7A02CF" w14:textId="77777777" w:rsidR="00DF311E" w:rsidRDefault="00DF311E" w:rsidP="00DF311E">
      <w:pPr>
        <w:spacing w:line="500" w:lineRule="exact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1838AD5" w14:textId="2E71CA39" w:rsidR="00A73549" w:rsidRDefault="00A73549" w:rsidP="00A73549">
      <w:pPr>
        <w:spacing w:line="5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14:paraId="5E67B310" w14:textId="1688218D" w:rsidR="00A73549" w:rsidRPr="00A73549" w:rsidRDefault="00A73549" w:rsidP="00A73549">
      <w:pPr>
        <w:spacing w:line="500" w:lineRule="exact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A73549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SUPPLEMENTARY FILE </w:t>
      </w:r>
      <w:r w:rsidR="00A361AA">
        <w:rPr>
          <w:rFonts w:ascii="Times New Roman" w:hAnsi="Times New Roman" w:cs="Times New Roman"/>
          <w:b/>
          <w:bCs/>
          <w:sz w:val="32"/>
          <w:szCs w:val="32"/>
          <w:lang w:val="en-US"/>
        </w:rPr>
        <w:t>5</w:t>
      </w:r>
      <w:r w:rsidRPr="00A73549">
        <w:rPr>
          <w:rFonts w:ascii="Times New Roman" w:hAnsi="Times New Roman" w:cs="Times New Roman"/>
          <w:b/>
          <w:bCs/>
          <w:sz w:val="32"/>
          <w:szCs w:val="32"/>
          <w:lang w:val="en-US"/>
        </w:rPr>
        <w:t>: FRAMEWORK</w:t>
      </w:r>
    </w:p>
    <w:p w14:paraId="2DCAD9E5" w14:textId="77777777" w:rsidR="00A361AA" w:rsidRDefault="00A361AA" w:rsidP="00A73549">
      <w:pPr>
        <w:spacing w:line="5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14:paraId="3FDA2416" w14:textId="5166D685" w:rsidR="00A73549" w:rsidRPr="00EF525C" w:rsidRDefault="00A73549" w:rsidP="00A73549">
      <w:pPr>
        <w:spacing w:line="500" w:lineRule="exac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F525C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Table (S5).1. Details on the MCDA framework in VRS</w:t>
      </w:r>
    </w:p>
    <w:tbl>
      <w:tblPr>
        <w:tblStyle w:val="Tablaconcuadrcula"/>
        <w:tblW w:w="10915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425"/>
        <w:gridCol w:w="2269"/>
        <w:gridCol w:w="283"/>
        <w:gridCol w:w="4111"/>
        <w:gridCol w:w="3827"/>
      </w:tblGrid>
      <w:tr w:rsidR="00EF525C" w:rsidRPr="003F5FD6" w14:paraId="0E89C8F5" w14:textId="77777777" w:rsidTr="006B250E">
        <w:tc>
          <w:tcPr>
            <w:tcW w:w="425" w:type="dxa"/>
            <w:shd w:val="clear" w:color="auto" w:fill="000000" w:themeFill="text1"/>
            <w:tcMar>
              <w:top w:w="85" w:type="dxa"/>
              <w:bottom w:w="85" w:type="dxa"/>
            </w:tcMar>
            <w:vAlign w:val="center"/>
          </w:tcPr>
          <w:p w14:paraId="7E0AEC2F" w14:textId="77777777" w:rsidR="00EF525C" w:rsidRPr="003F5FD6" w:rsidRDefault="00EF525C" w:rsidP="00444D24">
            <w:pPr>
              <w:jc w:val="both"/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  <w:t>#</w:t>
            </w:r>
          </w:p>
        </w:tc>
        <w:tc>
          <w:tcPr>
            <w:tcW w:w="2269" w:type="dxa"/>
            <w:shd w:val="clear" w:color="auto" w:fill="000000" w:themeFill="text1"/>
            <w:tcMar>
              <w:top w:w="85" w:type="dxa"/>
              <w:bottom w:w="85" w:type="dxa"/>
            </w:tcMar>
            <w:vAlign w:val="center"/>
          </w:tcPr>
          <w:p w14:paraId="0413B154" w14:textId="29AE7615" w:rsidR="00EF525C" w:rsidRPr="003F5FD6" w:rsidRDefault="00B873D9" w:rsidP="00444D24">
            <w:pPr>
              <w:jc w:val="both"/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  <w:t>Criteria</w:t>
            </w:r>
          </w:p>
        </w:tc>
        <w:tc>
          <w:tcPr>
            <w:tcW w:w="283" w:type="dxa"/>
            <w:shd w:val="clear" w:color="auto" w:fill="000000" w:themeFill="text1"/>
            <w:tcMar>
              <w:top w:w="85" w:type="dxa"/>
              <w:bottom w:w="85" w:type="dxa"/>
            </w:tcMar>
            <w:vAlign w:val="center"/>
          </w:tcPr>
          <w:p w14:paraId="02868683" w14:textId="77777777" w:rsidR="00EF525C" w:rsidRPr="003F5FD6" w:rsidRDefault="00EF525C" w:rsidP="00444D24">
            <w:pPr>
              <w:jc w:val="both"/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</w:pPr>
          </w:p>
        </w:tc>
        <w:tc>
          <w:tcPr>
            <w:tcW w:w="4111" w:type="dxa"/>
            <w:shd w:val="clear" w:color="auto" w:fill="000000" w:themeFill="text1"/>
            <w:tcMar>
              <w:top w:w="85" w:type="dxa"/>
              <w:bottom w:w="85" w:type="dxa"/>
            </w:tcMar>
            <w:vAlign w:val="center"/>
          </w:tcPr>
          <w:p w14:paraId="7DE2FC65" w14:textId="014C09DD" w:rsidR="00EF525C" w:rsidRPr="003F5FD6" w:rsidRDefault="00B873D9" w:rsidP="00444D24">
            <w:pPr>
              <w:jc w:val="both"/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  <w:t>Definition</w:t>
            </w:r>
          </w:p>
        </w:tc>
        <w:tc>
          <w:tcPr>
            <w:tcW w:w="3827" w:type="dxa"/>
            <w:shd w:val="clear" w:color="auto" w:fill="000000" w:themeFill="text1"/>
            <w:tcMar>
              <w:top w:w="85" w:type="dxa"/>
              <w:bottom w:w="85" w:type="dxa"/>
            </w:tcMar>
            <w:vAlign w:val="center"/>
          </w:tcPr>
          <w:p w14:paraId="07F9A05D" w14:textId="40A13E45" w:rsidR="00EF525C" w:rsidRPr="003F5FD6" w:rsidRDefault="0090650A" w:rsidP="00444D24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  <w:t>Scoring scale</w:t>
            </w:r>
          </w:p>
        </w:tc>
      </w:tr>
      <w:tr w:rsidR="00EF525C" w:rsidRPr="003F5FD6" w14:paraId="300BC32C" w14:textId="77777777" w:rsidTr="006B250E">
        <w:tc>
          <w:tcPr>
            <w:tcW w:w="10915" w:type="dxa"/>
            <w:gridSpan w:val="5"/>
            <w:shd w:val="clear" w:color="auto" w:fill="7F7F7F" w:themeFill="text1" w:themeFillTint="80"/>
            <w:tcMar>
              <w:top w:w="85" w:type="dxa"/>
              <w:bottom w:w="85" w:type="dxa"/>
            </w:tcMar>
            <w:vAlign w:val="center"/>
          </w:tcPr>
          <w:p w14:paraId="56EF292F" w14:textId="28EC8576" w:rsidR="00EF525C" w:rsidRPr="003F5FD6" w:rsidRDefault="003F5FD6" w:rsidP="00444D24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  <w:t xml:space="preserve">Domain 1: </w:t>
            </w:r>
            <w:r w:rsidR="00036A7D"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  <w:t>everity of</w:t>
            </w:r>
            <w:r w:rsidR="00036A7D"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  <w:t xml:space="preserve"> disease</w:t>
            </w:r>
          </w:p>
        </w:tc>
      </w:tr>
      <w:tr w:rsidR="00EF525C" w:rsidRPr="003F5FD6" w14:paraId="0A4E5233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4E4B3352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35FC9D71" w14:textId="678F98BF" w:rsidR="00EF525C" w:rsidRPr="003F5FD6" w:rsidRDefault="00390393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9039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Severity of symptoms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3730CAEC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65E59586" w14:textId="64FF90AD" w:rsidR="00EF525C" w:rsidRPr="003F5FD6" w:rsidRDefault="008A5F9E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A5F9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Severity of symptoms in RSV-infected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people</w:t>
            </w:r>
            <w:r w:rsidRPr="008A5F9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</w:p>
        </w:tc>
        <w:tc>
          <w:tcPr>
            <w:tcW w:w="3827" w:type="dxa"/>
            <w:tcMar>
              <w:top w:w="85" w:type="dxa"/>
              <w:bottom w:w="85" w:type="dxa"/>
            </w:tcMar>
            <w:vAlign w:val="center"/>
          </w:tcPr>
          <w:p w14:paraId="33A6350F" w14:textId="760001C7" w:rsidR="00EF525C" w:rsidRPr="003F5FD6" w:rsidRDefault="009E71A8" w:rsidP="00444D2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E71A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5: very severe symptoms / 0: not at all severe symptoms</w:t>
            </w:r>
          </w:p>
        </w:tc>
      </w:tr>
      <w:tr w:rsidR="00EF525C" w:rsidRPr="003F5FD6" w14:paraId="4DD338FE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79B42885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0F8366C9" w14:textId="4434FE87" w:rsidR="00EF525C" w:rsidRPr="003F5FD6" w:rsidRDefault="007659E6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659E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Lethality risk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3F0AF939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2307CF22" w14:textId="1042D0C5" w:rsidR="00EF525C" w:rsidRPr="003F5FD6" w:rsidRDefault="009E71A8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E71A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Rate of deaths per number of RSV infection cases</w:t>
            </w:r>
          </w:p>
        </w:tc>
        <w:tc>
          <w:tcPr>
            <w:tcW w:w="3827" w:type="dxa"/>
            <w:tcMar>
              <w:top w:w="85" w:type="dxa"/>
              <w:bottom w:w="85" w:type="dxa"/>
            </w:tcMar>
            <w:vAlign w:val="center"/>
          </w:tcPr>
          <w:p w14:paraId="7DA21381" w14:textId="3C0E8555" w:rsidR="00EF525C" w:rsidRPr="003F5FD6" w:rsidRDefault="009E71A8" w:rsidP="00444D2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E71A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5: Very lethal / 0: not lethal at all</w:t>
            </w:r>
          </w:p>
        </w:tc>
      </w:tr>
      <w:tr w:rsidR="00EF525C" w:rsidRPr="003F5FD6" w14:paraId="01907564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3B3E4F4D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60750D72" w14:textId="0FEAD857" w:rsidR="00EF525C" w:rsidRPr="003F5FD6" w:rsidRDefault="005858CD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5858C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Comorbidity risk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0591AB67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406951DB" w14:textId="752E7A40" w:rsidR="00EF525C" w:rsidRPr="003F5FD6" w:rsidRDefault="00F273AE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273A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Likelihood that RSV-infected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people</w:t>
            </w:r>
            <w:r w:rsidRPr="00F273A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will develop other associated diseases in the short, </w:t>
            </w:r>
            <w:proofErr w:type="gramStart"/>
            <w:r w:rsidRPr="00F273A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medium</w:t>
            </w:r>
            <w:proofErr w:type="gramEnd"/>
            <w:r w:rsidRPr="00F273A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or long term.</w:t>
            </w:r>
          </w:p>
        </w:tc>
        <w:tc>
          <w:tcPr>
            <w:tcW w:w="3827" w:type="dxa"/>
            <w:tcMar>
              <w:top w:w="85" w:type="dxa"/>
              <w:bottom w:w="85" w:type="dxa"/>
            </w:tcMar>
            <w:vAlign w:val="center"/>
          </w:tcPr>
          <w:p w14:paraId="23760452" w14:textId="0A4CA6B7" w:rsidR="00EF525C" w:rsidRPr="003F5FD6" w:rsidRDefault="00F273AE" w:rsidP="00444D2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273A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5: very high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comorbidity risk</w:t>
            </w:r>
            <w:r w:rsidRPr="00F273A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/ 0: no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comorbidity risk</w:t>
            </w:r>
          </w:p>
        </w:tc>
      </w:tr>
      <w:tr w:rsidR="00EF525C" w:rsidRPr="003F5FD6" w14:paraId="3AB96F41" w14:textId="77777777" w:rsidTr="006B250E">
        <w:tc>
          <w:tcPr>
            <w:tcW w:w="10915" w:type="dxa"/>
            <w:gridSpan w:val="5"/>
            <w:shd w:val="clear" w:color="auto" w:fill="7F7F7F" w:themeFill="text1" w:themeFillTint="80"/>
            <w:tcMar>
              <w:top w:w="85" w:type="dxa"/>
              <w:bottom w:w="85" w:type="dxa"/>
            </w:tcMar>
            <w:vAlign w:val="center"/>
          </w:tcPr>
          <w:p w14:paraId="1DF42844" w14:textId="524FECF6" w:rsidR="00EF525C" w:rsidRPr="003F5FD6" w:rsidRDefault="00D0640C" w:rsidP="00444D24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</w:pPr>
            <w:r w:rsidRPr="00D0640C"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  <w:t>Domain 2: Burden of disease</w:t>
            </w:r>
          </w:p>
        </w:tc>
      </w:tr>
      <w:tr w:rsidR="00EF525C" w:rsidRPr="003F5FD6" w14:paraId="1546E94D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76EDD894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4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1D9AA4B2" w14:textId="6640E353" w:rsidR="00EF525C" w:rsidRPr="003F5FD6" w:rsidRDefault="00FF2C2B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FF2C2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Incidence of RSV cases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50AD0F1D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1A29AC32" w14:textId="52E01E79" w:rsidR="00EF525C" w:rsidRPr="003F5FD6" w:rsidRDefault="0040756E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0756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Proportion of the population infected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by</w:t>
            </w:r>
            <w:r w:rsidRPr="0040756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RSV</w:t>
            </w:r>
          </w:p>
        </w:tc>
        <w:tc>
          <w:tcPr>
            <w:tcW w:w="3827" w:type="dxa"/>
            <w:vMerge w:val="restart"/>
            <w:tcMar>
              <w:top w:w="85" w:type="dxa"/>
              <w:bottom w:w="85" w:type="dxa"/>
            </w:tcMar>
            <w:vAlign w:val="center"/>
          </w:tcPr>
          <w:p w14:paraId="4BBFB9C7" w14:textId="34BDF939" w:rsidR="00EF525C" w:rsidRPr="003F5FD6" w:rsidRDefault="00AB29BB" w:rsidP="00444D2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B29B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5: very high incidence / 0: no incidence</w:t>
            </w:r>
          </w:p>
        </w:tc>
      </w:tr>
      <w:tr w:rsidR="00EF525C" w:rsidRPr="003F5FD6" w14:paraId="3B70DF4B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5C70F8ED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5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750A80A6" w14:textId="3E079B2C" w:rsidR="00EF525C" w:rsidRPr="003F5FD6" w:rsidRDefault="00E8268C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E826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Incidence on the outpatient setting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2EF6575E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3B827CC0" w14:textId="1E85F7E0" w:rsidR="00EF525C" w:rsidRPr="003F5FD6" w:rsidRDefault="005043C2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043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Incidence rates for RSV infection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</w:t>
            </w:r>
            <w:r w:rsidRPr="005043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 the outpatient setting (primary and specialty care visits).</w:t>
            </w:r>
          </w:p>
        </w:tc>
        <w:tc>
          <w:tcPr>
            <w:tcW w:w="3827" w:type="dxa"/>
            <w:vMerge/>
            <w:tcMar>
              <w:top w:w="85" w:type="dxa"/>
              <w:bottom w:w="85" w:type="dxa"/>
            </w:tcMar>
            <w:vAlign w:val="center"/>
          </w:tcPr>
          <w:p w14:paraId="17F8B628" w14:textId="77777777" w:rsidR="00EF525C" w:rsidRPr="003F5FD6" w:rsidRDefault="00EF525C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F525C" w:rsidRPr="003F5FD6" w14:paraId="63B86827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74331403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6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6693BA23" w14:textId="5E9C7A80" w:rsidR="00EF525C" w:rsidRPr="003F5FD6" w:rsidRDefault="00620AA6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20AA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Incidence on the inpatient setting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4C58C514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048D6D7B" w14:textId="358AE479" w:rsidR="00EF525C" w:rsidRPr="003F5FD6" w:rsidRDefault="005043C2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043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Incidence rates for RSV infection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</w:t>
            </w:r>
            <w:r w:rsidRPr="005043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n the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inpatient</w:t>
            </w:r>
            <w:r w:rsidRPr="005043C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setting (emergency room visits and hospitalizations).</w:t>
            </w:r>
          </w:p>
        </w:tc>
        <w:tc>
          <w:tcPr>
            <w:tcW w:w="3827" w:type="dxa"/>
            <w:vMerge/>
            <w:tcMar>
              <w:top w:w="85" w:type="dxa"/>
              <w:bottom w:w="85" w:type="dxa"/>
            </w:tcMar>
            <w:vAlign w:val="center"/>
          </w:tcPr>
          <w:p w14:paraId="40ADB9A9" w14:textId="77777777" w:rsidR="00EF525C" w:rsidRPr="003F5FD6" w:rsidRDefault="00EF525C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F525C" w:rsidRPr="003F5FD6" w14:paraId="0D38AC4F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34807F41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7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409EA759" w14:textId="280024A4" w:rsidR="00EF525C" w:rsidRPr="003F5FD6" w:rsidRDefault="007E37B1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E37B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Time of duration of acute symptoms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2186C6CB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4A851BD5" w14:textId="59817CFC" w:rsidR="00EF525C" w:rsidRPr="003F5FD6" w:rsidRDefault="00433205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Time of d</w:t>
            </w:r>
            <w:r w:rsidRPr="0043320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uration of acute symptoms in RSV-infected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people</w:t>
            </w:r>
            <w:r w:rsidRPr="0043320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</w:p>
        </w:tc>
        <w:tc>
          <w:tcPr>
            <w:tcW w:w="3827" w:type="dxa"/>
            <w:tcMar>
              <w:top w:w="85" w:type="dxa"/>
              <w:bottom w:w="85" w:type="dxa"/>
            </w:tcMar>
            <w:vAlign w:val="center"/>
          </w:tcPr>
          <w:p w14:paraId="6F899C28" w14:textId="141AD36E" w:rsidR="00EF525C" w:rsidRPr="003F5FD6" w:rsidRDefault="00927BED" w:rsidP="00444D2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27BE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5: acute symptoms last for a long time / 0: acute symptoms last for a very short time</w:t>
            </w:r>
          </w:p>
        </w:tc>
      </w:tr>
      <w:tr w:rsidR="00EF525C" w:rsidRPr="003F5FD6" w14:paraId="276A1630" w14:textId="77777777" w:rsidTr="006B250E">
        <w:tc>
          <w:tcPr>
            <w:tcW w:w="10915" w:type="dxa"/>
            <w:gridSpan w:val="5"/>
            <w:shd w:val="clear" w:color="auto" w:fill="7F7F7F" w:themeFill="text1" w:themeFillTint="80"/>
            <w:tcMar>
              <w:top w:w="85" w:type="dxa"/>
              <w:bottom w:w="85" w:type="dxa"/>
            </w:tcMar>
            <w:vAlign w:val="center"/>
          </w:tcPr>
          <w:p w14:paraId="52371D41" w14:textId="00A2AE73" w:rsidR="00EF525C" w:rsidRPr="003F5FD6" w:rsidRDefault="00FB3145" w:rsidP="00444D24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</w:pPr>
            <w:r w:rsidRPr="00FB3145"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  <w:t>Domain 3: Prevention or Treatment Alternatives</w:t>
            </w:r>
          </w:p>
        </w:tc>
      </w:tr>
      <w:tr w:rsidR="00EF525C" w:rsidRPr="003F5FD6" w14:paraId="2DBD5E28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2BE20588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8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18FB00EF" w14:textId="6D905D29" w:rsidR="00EF525C" w:rsidRPr="003F5FD6" w:rsidRDefault="00D76071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7607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Prevention alternatives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705F9216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1D7437DA" w14:textId="4A5DA010" w:rsidR="00EF525C" w:rsidRPr="003F5FD6" w:rsidRDefault="00927BED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27BE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Existence, availability, </w:t>
            </w:r>
            <w:r w:rsidR="00696312" w:rsidRPr="00927BE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effectiveness,</w:t>
            </w:r>
            <w:r w:rsidRPr="00927BE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and safety of RSV prevention alternatives.</w:t>
            </w:r>
          </w:p>
        </w:tc>
        <w:tc>
          <w:tcPr>
            <w:tcW w:w="3827" w:type="dxa"/>
            <w:tcMar>
              <w:top w:w="85" w:type="dxa"/>
              <w:bottom w:w="85" w:type="dxa"/>
            </w:tcMar>
            <w:vAlign w:val="center"/>
          </w:tcPr>
          <w:p w14:paraId="0E8F625E" w14:textId="435415F5" w:rsidR="00EF525C" w:rsidRPr="003F5FD6" w:rsidRDefault="00927BED" w:rsidP="00444D2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27BE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5: No effective prevention alternative / 0: There are many effective prevention alternatives.</w:t>
            </w:r>
          </w:p>
        </w:tc>
      </w:tr>
      <w:tr w:rsidR="00EF525C" w:rsidRPr="003F5FD6" w14:paraId="2D78F799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54D1EC3D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9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1460B37C" w14:textId="211D6D6E" w:rsidR="00EF525C" w:rsidRPr="003F5FD6" w:rsidRDefault="0033799D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379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Availability of treatment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5CD24EEC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0B2A9A64" w14:textId="13793478" w:rsidR="00EF525C" w:rsidRPr="003F5FD6" w:rsidRDefault="00696312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63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Existence, availability, effectiveness, and safety of treatment alternatives for RSV-infected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people</w:t>
            </w:r>
            <w:r w:rsidRPr="006963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</w:p>
        </w:tc>
        <w:tc>
          <w:tcPr>
            <w:tcW w:w="3827" w:type="dxa"/>
            <w:tcMar>
              <w:top w:w="85" w:type="dxa"/>
              <w:bottom w:w="85" w:type="dxa"/>
            </w:tcMar>
            <w:vAlign w:val="center"/>
          </w:tcPr>
          <w:p w14:paraId="7C719BF5" w14:textId="638CD335" w:rsidR="00EF525C" w:rsidRPr="003F5FD6" w:rsidRDefault="00696312" w:rsidP="00444D2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63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5: </w:t>
            </w:r>
            <w:r w:rsidR="00BD272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There are n</w:t>
            </w:r>
            <w:r w:rsidRPr="006963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 effective treatment alternative</w:t>
            </w:r>
            <w:r w:rsidR="00BD272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</w:t>
            </w:r>
            <w:r w:rsidRPr="006963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/ 0: </w:t>
            </w:r>
            <w:r w:rsidR="00BD272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There are m</w:t>
            </w:r>
            <w:r w:rsidRPr="006963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any effective treatment alternatives</w:t>
            </w:r>
          </w:p>
        </w:tc>
      </w:tr>
      <w:tr w:rsidR="00EF525C" w:rsidRPr="003F5FD6" w14:paraId="0E57E4D0" w14:textId="77777777" w:rsidTr="006B250E">
        <w:tc>
          <w:tcPr>
            <w:tcW w:w="10915" w:type="dxa"/>
            <w:gridSpan w:val="5"/>
            <w:shd w:val="clear" w:color="auto" w:fill="7F7F7F" w:themeFill="text1" w:themeFillTint="80"/>
            <w:tcMar>
              <w:top w:w="85" w:type="dxa"/>
              <w:bottom w:w="85" w:type="dxa"/>
            </w:tcMar>
            <w:vAlign w:val="center"/>
          </w:tcPr>
          <w:p w14:paraId="14BF6A26" w14:textId="413B18AD" w:rsidR="00EF525C" w:rsidRPr="003F5FD6" w:rsidRDefault="000223E2" w:rsidP="00444D24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</w:pPr>
            <w:r w:rsidRPr="000223E2"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  <w:t>Domain 4: Size of population</w:t>
            </w:r>
          </w:p>
        </w:tc>
      </w:tr>
      <w:tr w:rsidR="00EF525C" w:rsidRPr="003F5FD6" w14:paraId="290E592E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5CF1AB18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10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3E3DA603" w14:textId="07F28E99" w:rsidR="00EF525C" w:rsidRPr="003F5FD6" w:rsidRDefault="000F07EC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F07E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Population in which the prevention strategy would be indicated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5E16A950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266A554E" w14:textId="6585415B" w:rsidR="00EF525C" w:rsidRPr="003F5FD6" w:rsidRDefault="00F53719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5371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Proportion of the population in which the prevention strategy would be indicated.</w:t>
            </w:r>
          </w:p>
        </w:tc>
        <w:tc>
          <w:tcPr>
            <w:tcW w:w="3827" w:type="dxa"/>
            <w:tcMar>
              <w:top w:w="85" w:type="dxa"/>
              <w:bottom w:w="85" w:type="dxa"/>
            </w:tcMar>
            <w:vAlign w:val="center"/>
          </w:tcPr>
          <w:p w14:paraId="585752BF" w14:textId="20CA4D76" w:rsidR="00EF525C" w:rsidRPr="003F5FD6" w:rsidRDefault="00A721FD" w:rsidP="00444D2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721F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5: Nirsevimab would be indicated to a much broader population than the comparator / 0: Nirsevimab and the comparator would be indicated to the same amount of population / -5: The comparator would be indicated to a much broader population than nirsevimab</w:t>
            </w:r>
          </w:p>
        </w:tc>
      </w:tr>
      <w:tr w:rsidR="00EF525C" w:rsidRPr="003F5FD6" w14:paraId="1A865961" w14:textId="77777777" w:rsidTr="006B250E">
        <w:tc>
          <w:tcPr>
            <w:tcW w:w="10915" w:type="dxa"/>
            <w:gridSpan w:val="5"/>
            <w:shd w:val="clear" w:color="auto" w:fill="7F7F7F" w:themeFill="text1" w:themeFillTint="80"/>
            <w:tcMar>
              <w:top w:w="85" w:type="dxa"/>
              <w:bottom w:w="85" w:type="dxa"/>
            </w:tcMar>
            <w:vAlign w:val="center"/>
          </w:tcPr>
          <w:p w14:paraId="268013DA" w14:textId="285BF9DC" w:rsidR="00EF525C" w:rsidRPr="003F5FD6" w:rsidRDefault="006876B4" w:rsidP="00444D24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</w:pPr>
            <w:r w:rsidRPr="006876B4"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  <w:t>Domain 5: Efficacy</w:t>
            </w:r>
          </w:p>
        </w:tc>
      </w:tr>
      <w:tr w:rsidR="00EF525C" w:rsidRPr="003F5FD6" w14:paraId="7E7F688D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2F1FA725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11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6C5C062A" w14:textId="253FDA6D" w:rsidR="00EF525C" w:rsidRPr="003F5FD6" w:rsidRDefault="00A507D2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A507D2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Efficacy of the preventive measure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21655D4A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48B8A63E" w14:textId="7C115EBF" w:rsidR="00EF525C" w:rsidRPr="003F5FD6" w:rsidRDefault="00AA721E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A721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Level of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efficacy</w:t>
            </w:r>
            <w:r w:rsidRPr="00AA721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of RSV preventive measure</w:t>
            </w:r>
          </w:p>
        </w:tc>
        <w:tc>
          <w:tcPr>
            <w:tcW w:w="3827" w:type="dxa"/>
            <w:tcMar>
              <w:top w:w="85" w:type="dxa"/>
              <w:bottom w:w="85" w:type="dxa"/>
            </w:tcMar>
            <w:vAlign w:val="center"/>
          </w:tcPr>
          <w:p w14:paraId="6ECE6180" w14:textId="51B69128" w:rsidR="00EF525C" w:rsidRPr="003F5FD6" w:rsidRDefault="00CB4C02" w:rsidP="00444D2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C0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5: Nirsevimab is much more effective than the comparator / 0: no difference / -5: Comparator is much more effective than nirse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vimab</w:t>
            </w:r>
          </w:p>
        </w:tc>
      </w:tr>
      <w:tr w:rsidR="00EF525C" w:rsidRPr="003F5FD6" w14:paraId="022581BE" w14:textId="77777777" w:rsidTr="006B250E">
        <w:tc>
          <w:tcPr>
            <w:tcW w:w="10915" w:type="dxa"/>
            <w:gridSpan w:val="5"/>
            <w:shd w:val="clear" w:color="auto" w:fill="7F7F7F" w:themeFill="text1" w:themeFillTint="80"/>
            <w:tcMar>
              <w:top w:w="85" w:type="dxa"/>
              <w:bottom w:w="85" w:type="dxa"/>
            </w:tcMar>
            <w:vAlign w:val="center"/>
          </w:tcPr>
          <w:p w14:paraId="78DAEF91" w14:textId="692E9FDE" w:rsidR="00EF525C" w:rsidRPr="003F5FD6" w:rsidRDefault="00704360" w:rsidP="00444D24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</w:pPr>
            <w:r w:rsidRPr="00704360"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  <w:t>Domain 6: Population protection</w:t>
            </w:r>
          </w:p>
        </w:tc>
      </w:tr>
      <w:tr w:rsidR="00EF525C" w:rsidRPr="003F5FD6" w14:paraId="43BEDB8E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73EF176F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color w:val="DE4374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12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3662ED1F" w14:textId="261731B6" w:rsidR="00EF525C" w:rsidRPr="003F5FD6" w:rsidRDefault="000D4071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D407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Group immunity (collective protection)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0C2F891E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16AC08FC" w14:textId="59662889" w:rsidR="00EF525C" w:rsidRPr="003F5FD6" w:rsidRDefault="00CB4C02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C0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The application of the preventive measure in the majority of the population </w:t>
            </w:r>
            <w:r w:rsidR="002246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would also </w:t>
            </w:r>
            <w:r w:rsidRPr="00CB4C0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indirectly protect those who do not receive the preventive measure (since the risk of infection decreases).</w:t>
            </w:r>
          </w:p>
        </w:tc>
        <w:tc>
          <w:tcPr>
            <w:tcW w:w="3827" w:type="dxa"/>
            <w:tcMar>
              <w:top w:w="85" w:type="dxa"/>
              <w:bottom w:w="85" w:type="dxa"/>
            </w:tcMar>
            <w:vAlign w:val="center"/>
          </w:tcPr>
          <w:p w14:paraId="60E17127" w14:textId="012869BE" w:rsidR="00EF525C" w:rsidRPr="003F5FD6" w:rsidRDefault="0022463A" w:rsidP="00444D2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2463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5: By applying the preventive measure to a relatively small number of people, collective protection is achieved / 0: Collective protection is only achieved if the preventive measure is applied to 100% of the population.</w:t>
            </w:r>
          </w:p>
        </w:tc>
      </w:tr>
      <w:tr w:rsidR="00EF525C" w:rsidRPr="003F5FD6" w14:paraId="46914A4A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0BF9B021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color w:val="DE4374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13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04E697CA" w14:textId="36F75167" w:rsidR="00EF525C" w:rsidRPr="003F5FD6" w:rsidRDefault="00B15159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B1515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Transmissibility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1D59E3E5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1C8894EC" w14:textId="449A4C32" w:rsidR="00EF525C" w:rsidRPr="003F5FD6" w:rsidRDefault="00D55603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556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Number of cases of infection occurring from a primary RSV-infected case, expressed through the basic reproductive number.</w:t>
            </w:r>
          </w:p>
        </w:tc>
        <w:tc>
          <w:tcPr>
            <w:tcW w:w="3827" w:type="dxa"/>
            <w:tcMar>
              <w:top w:w="85" w:type="dxa"/>
              <w:bottom w:w="85" w:type="dxa"/>
            </w:tcMar>
            <w:vAlign w:val="center"/>
          </w:tcPr>
          <w:p w14:paraId="3EC5D536" w14:textId="60CEF1A1" w:rsidR="00EF525C" w:rsidRPr="003F5FD6" w:rsidRDefault="00D55603" w:rsidP="00444D2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556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5: Highly contagious / 0: not contagious at all</w:t>
            </w:r>
          </w:p>
        </w:tc>
      </w:tr>
      <w:tr w:rsidR="00EF525C" w:rsidRPr="003F5FD6" w14:paraId="621E95A7" w14:textId="77777777" w:rsidTr="006B250E">
        <w:tc>
          <w:tcPr>
            <w:tcW w:w="10915" w:type="dxa"/>
            <w:gridSpan w:val="5"/>
            <w:shd w:val="clear" w:color="auto" w:fill="7F7F7F" w:themeFill="text1" w:themeFillTint="80"/>
            <w:tcMar>
              <w:top w:w="85" w:type="dxa"/>
              <w:bottom w:w="85" w:type="dxa"/>
            </w:tcMar>
            <w:vAlign w:val="center"/>
          </w:tcPr>
          <w:p w14:paraId="4EDBD246" w14:textId="2EA40F55" w:rsidR="00EF525C" w:rsidRPr="003F5FD6" w:rsidRDefault="001B14D1" w:rsidP="00444D24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</w:pPr>
            <w:r w:rsidRPr="001B14D1"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  <w:t>Domain 7: Safety</w:t>
            </w:r>
          </w:p>
        </w:tc>
      </w:tr>
      <w:tr w:rsidR="00EF525C" w:rsidRPr="003F5FD6" w14:paraId="6321800B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4A6019C9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14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63C9FFFF" w14:textId="2E5FD8C2" w:rsidR="00EF525C" w:rsidRPr="003F5FD6" w:rsidRDefault="002233B9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2233B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Serious adverse events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576EBA85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4DF654D6" w14:textId="4BE91DC2" w:rsidR="00EF525C" w:rsidRPr="003F5FD6" w:rsidRDefault="00010F2A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10F2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Serious adverse events occurring in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people</w:t>
            </w:r>
            <w:r w:rsidRPr="00010F2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receiving the preventive measure</w:t>
            </w:r>
          </w:p>
        </w:tc>
        <w:tc>
          <w:tcPr>
            <w:tcW w:w="3827" w:type="dxa"/>
            <w:tcMar>
              <w:top w:w="85" w:type="dxa"/>
              <w:bottom w:w="85" w:type="dxa"/>
            </w:tcMar>
            <w:vAlign w:val="center"/>
          </w:tcPr>
          <w:p w14:paraId="3F16EF16" w14:textId="77777777" w:rsidR="00573795" w:rsidRDefault="00573795" w:rsidP="00444D2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4430C3E4" w14:textId="1BA25EAE" w:rsidR="00EF525C" w:rsidRDefault="00010F2A" w:rsidP="00444D2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10F2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5: Nirsevimab produces far fewer serious adverse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events</w:t>
            </w:r>
            <w:r w:rsidRPr="00010F2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than the comparator / 0: no difference / -5: Nirsevimab produces far more serious adverse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events</w:t>
            </w:r>
            <w:r w:rsidRPr="00010F2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than the comparator</w:t>
            </w:r>
          </w:p>
          <w:p w14:paraId="7E216B62" w14:textId="035A8F1B" w:rsidR="00573795" w:rsidRPr="003F5FD6" w:rsidRDefault="00573795" w:rsidP="00444D2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F525C" w:rsidRPr="003F5FD6" w14:paraId="6EDBE4E9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173A0023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15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272405E6" w14:textId="03A92F30" w:rsidR="00EF525C" w:rsidRPr="003F5FD6" w:rsidRDefault="00161F94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61F94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Mild adverse events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2C031176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0CC1AB98" w14:textId="5E8A9D05" w:rsidR="00EF525C" w:rsidRPr="003F5FD6" w:rsidRDefault="00573795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7379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Mild adverse events occurring in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people</w:t>
            </w:r>
            <w:r w:rsidRPr="0057379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receiving the preventive measure</w:t>
            </w:r>
          </w:p>
        </w:tc>
        <w:tc>
          <w:tcPr>
            <w:tcW w:w="3827" w:type="dxa"/>
            <w:tcMar>
              <w:top w:w="85" w:type="dxa"/>
              <w:bottom w:w="85" w:type="dxa"/>
            </w:tcMar>
            <w:vAlign w:val="center"/>
          </w:tcPr>
          <w:p w14:paraId="1BAF8F91" w14:textId="77777777" w:rsidR="00573795" w:rsidRDefault="00573795" w:rsidP="00444D2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7FCAA17E" w14:textId="6DDEE978" w:rsidR="00573795" w:rsidRDefault="00573795" w:rsidP="00444D2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7379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5: Nirsevimab produces far fewer mild adverse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events</w:t>
            </w:r>
            <w:r w:rsidRPr="0057379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than the comparator / 0: no difference / -5: Nirsevimab produces far more mild adverse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events</w:t>
            </w:r>
            <w:r w:rsidRPr="0057379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than the comparator</w:t>
            </w:r>
          </w:p>
          <w:p w14:paraId="50FC01BF" w14:textId="1DD7EDCD" w:rsidR="00573795" w:rsidRPr="003F5FD6" w:rsidRDefault="00573795" w:rsidP="00444D2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F525C" w:rsidRPr="003F5FD6" w14:paraId="12C7A523" w14:textId="77777777" w:rsidTr="006B250E">
        <w:tc>
          <w:tcPr>
            <w:tcW w:w="10915" w:type="dxa"/>
            <w:gridSpan w:val="5"/>
            <w:shd w:val="clear" w:color="auto" w:fill="7F7F7F" w:themeFill="text1" w:themeFillTint="80"/>
            <w:tcMar>
              <w:top w:w="85" w:type="dxa"/>
              <w:bottom w:w="85" w:type="dxa"/>
            </w:tcMar>
            <w:vAlign w:val="center"/>
          </w:tcPr>
          <w:p w14:paraId="04E9A766" w14:textId="5A683BB7" w:rsidR="00EF525C" w:rsidRPr="003F5FD6" w:rsidRDefault="00DD3CF6" w:rsidP="00444D24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</w:pPr>
            <w:r w:rsidRPr="00DD3CF6"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  <w:lastRenderedPageBreak/>
              <w:t>Domain 8: Quality of evidence</w:t>
            </w:r>
          </w:p>
        </w:tc>
      </w:tr>
      <w:tr w:rsidR="00EF525C" w:rsidRPr="003F5FD6" w14:paraId="0A7252DF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1016E238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16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58F14227" w14:textId="24CC7F94" w:rsidR="00EF525C" w:rsidRPr="003F5FD6" w:rsidRDefault="00D94E4C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94E4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Certainty about the efficacy of the preventive measure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3A83BAC5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6AA0E0EB" w14:textId="387E296B" w:rsidR="00EF525C" w:rsidRPr="003F5FD6" w:rsidRDefault="00EC1638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C163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Level of certainty about the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efficacy</w:t>
            </w:r>
            <w:r w:rsidRPr="00EC163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of the preventive measure</w:t>
            </w:r>
          </w:p>
        </w:tc>
        <w:tc>
          <w:tcPr>
            <w:tcW w:w="3827" w:type="dxa"/>
            <w:tcMar>
              <w:top w:w="85" w:type="dxa"/>
              <w:bottom w:w="85" w:type="dxa"/>
            </w:tcMar>
            <w:vAlign w:val="center"/>
          </w:tcPr>
          <w:p w14:paraId="5DA1276C" w14:textId="2E697596" w:rsidR="00EF525C" w:rsidRPr="003F5FD6" w:rsidRDefault="007C6A38" w:rsidP="00EC163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6A3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5: Highly relevant and valid evidence, with high certainty / 0: Non-relevant and invalid evidence, with low certainty</w:t>
            </w:r>
          </w:p>
        </w:tc>
      </w:tr>
      <w:tr w:rsidR="00EF525C" w:rsidRPr="003F5FD6" w14:paraId="1E2A77DB" w14:textId="77777777" w:rsidTr="006B250E">
        <w:tc>
          <w:tcPr>
            <w:tcW w:w="10915" w:type="dxa"/>
            <w:gridSpan w:val="5"/>
            <w:shd w:val="clear" w:color="auto" w:fill="7F7F7F" w:themeFill="text1" w:themeFillTint="80"/>
            <w:tcMar>
              <w:top w:w="85" w:type="dxa"/>
              <w:bottom w:w="85" w:type="dxa"/>
            </w:tcMar>
            <w:vAlign w:val="center"/>
          </w:tcPr>
          <w:p w14:paraId="5EE1F96B" w14:textId="18CC5DB3" w:rsidR="00EF525C" w:rsidRPr="003F5FD6" w:rsidRDefault="003C5B88" w:rsidP="00444D24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</w:pPr>
            <w:r w:rsidRPr="003C5B88"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  <w:t>Domain 9: Impact on quality of life</w:t>
            </w:r>
          </w:p>
        </w:tc>
      </w:tr>
      <w:tr w:rsidR="00EF525C" w:rsidRPr="003F5FD6" w14:paraId="608D7B48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5E44DB4F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17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129E3BDF" w14:textId="0A3F2E65" w:rsidR="00EF525C" w:rsidRPr="003F5FD6" w:rsidRDefault="00D07F69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07F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Impact on the population of children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5B6B8924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47790D95" w14:textId="7AF4EA52" w:rsidR="00EF525C" w:rsidRPr="003F5FD6" w:rsidRDefault="007C6A38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6A3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Level of impairment (stress, quality of life) produced in RSV-infected children.</w:t>
            </w:r>
          </w:p>
        </w:tc>
        <w:tc>
          <w:tcPr>
            <w:tcW w:w="3827" w:type="dxa"/>
            <w:vMerge w:val="restart"/>
            <w:tcMar>
              <w:top w:w="85" w:type="dxa"/>
              <w:bottom w:w="85" w:type="dxa"/>
            </w:tcMar>
            <w:vAlign w:val="center"/>
          </w:tcPr>
          <w:p w14:paraId="0A0AEF5D" w14:textId="71A4D882" w:rsidR="00EF525C" w:rsidRPr="003F5FD6" w:rsidRDefault="007C6A38" w:rsidP="00444D2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6A3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5: Very high impact (stress and quality of life) / 0: no impact (stress and quality of life)</w:t>
            </w:r>
          </w:p>
        </w:tc>
      </w:tr>
      <w:tr w:rsidR="00EF525C" w:rsidRPr="003F5FD6" w14:paraId="033DB908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2EBF5159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18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7CA09526" w14:textId="6E61CD69" w:rsidR="00EF525C" w:rsidRPr="003F5FD6" w:rsidRDefault="00713E2C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13E2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Impact on the population over 65 years of age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3786E07F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4C5F2E32" w14:textId="188ACE83" w:rsidR="00EF525C" w:rsidRPr="003F5FD6" w:rsidRDefault="00CA697E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A697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Level of impairment (stress, quality of life) in RSV-infected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people</w:t>
            </w:r>
            <w:r w:rsidRPr="00CA697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over 65 years of age.</w:t>
            </w:r>
          </w:p>
        </w:tc>
        <w:tc>
          <w:tcPr>
            <w:tcW w:w="3827" w:type="dxa"/>
            <w:vMerge/>
            <w:tcMar>
              <w:top w:w="85" w:type="dxa"/>
              <w:bottom w:w="85" w:type="dxa"/>
            </w:tcMar>
            <w:vAlign w:val="center"/>
          </w:tcPr>
          <w:p w14:paraId="7A7C07A2" w14:textId="77777777" w:rsidR="00EF525C" w:rsidRPr="003F5FD6" w:rsidRDefault="00EF525C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F525C" w:rsidRPr="003F5FD6" w14:paraId="2BF1F962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71F02006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19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24098842" w14:textId="5DC3DBD3" w:rsidR="00EF525C" w:rsidRPr="003F5FD6" w:rsidRDefault="00113818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1381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Impact on caregivers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1CBD231F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1EF91941" w14:textId="1791AA35" w:rsidR="00EF525C" w:rsidRPr="003F5FD6" w:rsidRDefault="00CA697E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A697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Number of hours dedicated by caregivers to RSV-infected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people</w:t>
            </w:r>
            <w:r w:rsidRPr="00CA697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, and level of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impairment</w:t>
            </w:r>
            <w:r w:rsidRPr="00CA697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(stress, quality of life) produced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</w:t>
            </w:r>
            <w:r w:rsidRPr="00CA697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 these caregivers.</w:t>
            </w:r>
          </w:p>
        </w:tc>
        <w:tc>
          <w:tcPr>
            <w:tcW w:w="3827" w:type="dxa"/>
            <w:tcMar>
              <w:top w:w="85" w:type="dxa"/>
              <w:bottom w:w="85" w:type="dxa"/>
            </w:tcMar>
            <w:vAlign w:val="center"/>
          </w:tcPr>
          <w:p w14:paraId="554AA6E8" w14:textId="0371A61A" w:rsidR="00EF525C" w:rsidRPr="003F5FD6" w:rsidRDefault="00114D98" w:rsidP="00444D2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14D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5: Very high impact (stress and quality of life) and many hours of dedication / 0: no impact (stress and quality of life) and no necessary dedication</w:t>
            </w:r>
          </w:p>
        </w:tc>
      </w:tr>
      <w:tr w:rsidR="00EF525C" w:rsidRPr="003F5FD6" w14:paraId="76EA0ADC" w14:textId="77777777" w:rsidTr="006B250E">
        <w:tc>
          <w:tcPr>
            <w:tcW w:w="10915" w:type="dxa"/>
            <w:gridSpan w:val="5"/>
            <w:shd w:val="clear" w:color="auto" w:fill="7F7F7F" w:themeFill="text1" w:themeFillTint="80"/>
            <w:tcMar>
              <w:top w:w="85" w:type="dxa"/>
              <w:bottom w:w="85" w:type="dxa"/>
            </w:tcMar>
            <w:vAlign w:val="center"/>
          </w:tcPr>
          <w:p w14:paraId="7CF8FC0A" w14:textId="53462EAE" w:rsidR="00EF525C" w:rsidRPr="003F5FD6" w:rsidRDefault="00F85FF3" w:rsidP="00444D24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</w:pPr>
            <w:r w:rsidRPr="00F85FF3"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  <w:t>Domain 10: Acquisition cost</w:t>
            </w:r>
          </w:p>
        </w:tc>
      </w:tr>
      <w:tr w:rsidR="00EF525C" w:rsidRPr="003F5FD6" w14:paraId="77DC8B43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0BAF8440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20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67713522" w14:textId="0106AE92" w:rsidR="00EF525C" w:rsidRPr="003F5FD6" w:rsidRDefault="008D2520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8D2520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Monetary cost of the preventive measure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7D1047CB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749F2CE8" w14:textId="7290FDDC" w:rsidR="00EF525C" w:rsidRPr="003F5FD6" w:rsidRDefault="00114D98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14D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Cost of acquisition of the preventive measure</w:t>
            </w:r>
          </w:p>
        </w:tc>
        <w:tc>
          <w:tcPr>
            <w:tcW w:w="3827" w:type="dxa"/>
            <w:tcMar>
              <w:top w:w="85" w:type="dxa"/>
              <w:bottom w:w="85" w:type="dxa"/>
            </w:tcMar>
            <w:vAlign w:val="center"/>
          </w:tcPr>
          <w:p w14:paraId="198AAB5B" w14:textId="57E2A609" w:rsidR="00EF525C" w:rsidRPr="003F5FD6" w:rsidRDefault="00114D98" w:rsidP="00444D2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14D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5: Nirsevimab generates substantial savings in acquisition costs vs. comparator / 0: no difference / -5: Nirsevimab generates substantial additional expenditures in acquisition costs vs. comparator</w:t>
            </w:r>
          </w:p>
        </w:tc>
      </w:tr>
      <w:tr w:rsidR="00EF525C" w:rsidRPr="003F5FD6" w14:paraId="7EADEEBB" w14:textId="77777777" w:rsidTr="006B250E">
        <w:tc>
          <w:tcPr>
            <w:tcW w:w="10915" w:type="dxa"/>
            <w:gridSpan w:val="5"/>
            <w:shd w:val="clear" w:color="auto" w:fill="7F7F7F" w:themeFill="text1" w:themeFillTint="80"/>
            <w:tcMar>
              <w:top w:w="85" w:type="dxa"/>
              <w:bottom w:w="85" w:type="dxa"/>
            </w:tcMar>
            <w:vAlign w:val="center"/>
          </w:tcPr>
          <w:p w14:paraId="62D774EF" w14:textId="4FFE71E1" w:rsidR="00EF525C" w:rsidRPr="003F5FD6" w:rsidRDefault="0005206C" w:rsidP="00444D24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</w:pPr>
            <w:r w:rsidRPr="0005206C"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  <w:t>Domain 11: Impact on other costs</w:t>
            </w:r>
          </w:p>
        </w:tc>
      </w:tr>
      <w:tr w:rsidR="00EF525C" w:rsidRPr="003F5FD6" w14:paraId="5E8E01C9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71AC6A13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21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7E6E5BB3" w14:textId="2DD022A0" w:rsidR="00EF525C" w:rsidRPr="003F5FD6" w:rsidRDefault="00702EA1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02EA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Cost of the disease on the health system (excludes acquisition cost)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6AC0EB85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06183326" w14:textId="1F3D21F1" w:rsidR="00EF525C" w:rsidRPr="003F5FD6" w:rsidRDefault="0047346D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7346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Costs avoided by the use of the preventive measure, in relation to the use of health resources (primary care, specialized care, emergency and hospitalization) of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people</w:t>
            </w:r>
            <w:r w:rsidRPr="0047346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infected by RSV, excluding the cost of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acquisition of </w:t>
            </w:r>
            <w:r w:rsidRPr="0047346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the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preventive </w:t>
            </w:r>
            <w:r w:rsidRPr="0047346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measure.</w:t>
            </w:r>
          </w:p>
        </w:tc>
        <w:tc>
          <w:tcPr>
            <w:tcW w:w="3827" w:type="dxa"/>
            <w:vMerge w:val="restart"/>
            <w:tcMar>
              <w:top w:w="85" w:type="dxa"/>
              <w:bottom w:w="85" w:type="dxa"/>
            </w:tcMar>
            <w:vAlign w:val="center"/>
          </w:tcPr>
          <w:p w14:paraId="696EE682" w14:textId="08925625" w:rsidR="00EF525C" w:rsidRPr="003F5FD6" w:rsidRDefault="0026004C" w:rsidP="00444D2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004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5: Nirsevimab generates substantial savings vs. comparator / 0: no difference / -5: Nirsevimab generates substantial additional costs vs. comparator</w:t>
            </w:r>
          </w:p>
        </w:tc>
      </w:tr>
      <w:tr w:rsidR="00EF525C" w:rsidRPr="003F5FD6" w14:paraId="533CC43B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08E75FD4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22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2F53F965" w14:textId="6EB2A90C" w:rsidR="00EF525C" w:rsidRPr="003F5FD6" w:rsidRDefault="00E469CE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E469C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Productivity cost: absenteeism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43936611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08BF73DE" w14:textId="0FEE33E5" w:rsidR="00EF525C" w:rsidRPr="003F5FD6" w:rsidRDefault="00FD048C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D048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Indirect costs avoided for society due to absenteeism of caregivers, as a consequence of the use of the preventive measure.</w:t>
            </w:r>
          </w:p>
        </w:tc>
        <w:tc>
          <w:tcPr>
            <w:tcW w:w="3827" w:type="dxa"/>
            <w:vMerge/>
            <w:tcMar>
              <w:top w:w="85" w:type="dxa"/>
              <w:bottom w:w="85" w:type="dxa"/>
            </w:tcMar>
            <w:vAlign w:val="center"/>
          </w:tcPr>
          <w:p w14:paraId="33CCCF62" w14:textId="77777777" w:rsidR="00EF525C" w:rsidRPr="003F5FD6" w:rsidRDefault="00EF525C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F525C" w:rsidRPr="003F5FD6" w14:paraId="19004F59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5D40FF45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23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218DF33A" w14:textId="4461CC54" w:rsidR="00EF525C" w:rsidRPr="003F5FD6" w:rsidRDefault="00870DBF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870DB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Cost of the disease on the patient (out-of-pocket expenses)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5DB8C6E5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14B31C55" w14:textId="252D5CCE" w:rsidR="00EF525C" w:rsidRPr="003F5FD6" w:rsidRDefault="00FD048C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D048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Avoided out-of-pocket expenses (need for treatment or use of healthcare resources) through the implementation of the preventive measure, to RSV-infected individuals or their caregivers.</w:t>
            </w:r>
          </w:p>
        </w:tc>
        <w:tc>
          <w:tcPr>
            <w:tcW w:w="3827" w:type="dxa"/>
            <w:vMerge/>
            <w:tcMar>
              <w:top w:w="85" w:type="dxa"/>
              <w:bottom w:w="85" w:type="dxa"/>
            </w:tcMar>
            <w:vAlign w:val="center"/>
          </w:tcPr>
          <w:p w14:paraId="365293E3" w14:textId="77777777" w:rsidR="00EF525C" w:rsidRPr="003F5FD6" w:rsidRDefault="00EF525C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F525C" w:rsidRPr="003F5FD6" w14:paraId="1E42FA78" w14:textId="77777777" w:rsidTr="006B250E">
        <w:tc>
          <w:tcPr>
            <w:tcW w:w="10915" w:type="dxa"/>
            <w:gridSpan w:val="5"/>
            <w:shd w:val="clear" w:color="auto" w:fill="7F7F7F" w:themeFill="text1" w:themeFillTint="80"/>
            <w:tcMar>
              <w:top w:w="85" w:type="dxa"/>
              <w:bottom w:w="85" w:type="dxa"/>
            </w:tcMar>
            <w:vAlign w:val="center"/>
          </w:tcPr>
          <w:p w14:paraId="3BF0C1AE" w14:textId="674EB554" w:rsidR="00EF525C" w:rsidRPr="003F5FD6" w:rsidRDefault="009436D4" w:rsidP="00444D24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</w:pPr>
            <w:r w:rsidRPr="009436D4">
              <w:rPr>
                <w:rFonts w:ascii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US"/>
              </w:rPr>
              <w:t>Domain 12: Social benefits</w:t>
            </w:r>
          </w:p>
        </w:tc>
      </w:tr>
      <w:tr w:rsidR="00EF525C" w:rsidRPr="003F5FD6" w14:paraId="2C6E738A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0A8F814C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24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3E6000D3" w14:textId="36F1009F" w:rsidR="00EF525C" w:rsidRPr="003F5FD6" w:rsidRDefault="0038596D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8596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Impact on health inequity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040C6BAF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6B8BC18F" w14:textId="142A2C36" w:rsidR="00EF525C" w:rsidRPr="003F5FD6" w:rsidRDefault="00EA7E75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A7E7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Extent to which the application of the preventive measure helps to reduce health inequities among individuals in terms of unnecessary, </w:t>
            </w:r>
            <w:r w:rsidR="00E63EBD" w:rsidRPr="00EA7E7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avoidable,</w:t>
            </w:r>
            <w:r w:rsidRPr="00EA7E7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and unfair differences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</w:t>
            </w:r>
            <w:r w:rsidRPr="00EA7E7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 the level of access and health of the population.</w:t>
            </w:r>
          </w:p>
        </w:tc>
        <w:tc>
          <w:tcPr>
            <w:tcW w:w="3827" w:type="dxa"/>
            <w:tcMar>
              <w:top w:w="85" w:type="dxa"/>
              <w:bottom w:w="85" w:type="dxa"/>
            </w:tcMar>
            <w:vAlign w:val="center"/>
          </w:tcPr>
          <w:p w14:paraId="6B8D727F" w14:textId="7B93B95B" w:rsidR="00EF525C" w:rsidRPr="003F5FD6" w:rsidRDefault="00EA7E75" w:rsidP="00444D2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A7E7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5: Nirsevimab substantially reduces health inequity vs. comparator / 0: no difference / -5: Nirsevimab substantially increases health inequity vs. comparator</w:t>
            </w:r>
          </w:p>
        </w:tc>
      </w:tr>
      <w:tr w:rsidR="00EF525C" w:rsidRPr="003F5FD6" w14:paraId="7468281E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24534349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25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29490C4E" w14:textId="5D217B34" w:rsidR="00EF525C" w:rsidRPr="003F5FD6" w:rsidRDefault="00705A23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05A2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Public health awareness (including antibiotic resistance)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7269DC6E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623A6ED5" w14:textId="54418AEA" w:rsidR="00EF525C" w:rsidRPr="003F5FD6" w:rsidRDefault="003A0F75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F7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Extent to which the use of the preventive measure helps to improve social awareness of public health, RSV and the efforts needed to raise public awareness, </w:t>
            </w:r>
            <w:r w:rsidR="00E63EBD" w:rsidRPr="003A0F7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considering</w:t>
            </w:r>
            <w:r w:rsidRPr="003A0F7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the problems it can generate, including antibiotic resistance.</w:t>
            </w:r>
          </w:p>
        </w:tc>
        <w:tc>
          <w:tcPr>
            <w:tcW w:w="3827" w:type="dxa"/>
            <w:tcMar>
              <w:top w:w="85" w:type="dxa"/>
              <w:bottom w:w="85" w:type="dxa"/>
            </w:tcMar>
            <w:vAlign w:val="center"/>
          </w:tcPr>
          <w:p w14:paraId="76BAB96B" w14:textId="51F3588E" w:rsidR="00EF525C" w:rsidRPr="003F5FD6" w:rsidRDefault="00E63EBD" w:rsidP="00444D2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63EB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5: Nirsevimab substantially increases public health awareness vs. comparator / 0: no difference / -5: Nirsevimab substantially decreases public health awareness vs. comparator</w:t>
            </w:r>
          </w:p>
        </w:tc>
      </w:tr>
      <w:tr w:rsidR="00EF525C" w:rsidRPr="003F5FD6" w14:paraId="58FCF807" w14:textId="77777777" w:rsidTr="006B250E">
        <w:tc>
          <w:tcPr>
            <w:tcW w:w="425" w:type="dxa"/>
            <w:tcMar>
              <w:top w:w="85" w:type="dxa"/>
              <w:bottom w:w="85" w:type="dxa"/>
            </w:tcMar>
            <w:vAlign w:val="center"/>
          </w:tcPr>
          <w:p w14:paraId="5AD7F69D" w14:textId="77777777" w:rsidR="00EF525C" w:rsidRPr="003F5FD6" w:rsidRDefault="00EF525C" w:rsidP="00444D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F5FD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26</w:t>
            </w:r>
          </w:p>
        </w:tc>
        <w:tc>
          <w:tcPr>
            <w:tcW w:w="2269" w:type="dxa"/>
            <w:tcMar>
              <w:top w:w="85" w:type="dxa"/>
              <w:bottom w:w="85" w:type="dxa"/>
            </w:tcMar>
            <w:vAlign w:val="center"/>
          </w:tcPr>
          <w:p w14:paraId="2A1CDEA5" w14:textId="23F6B2C6" w:rsidR="00EF525C" w:rsidRPr="003F5FD6" w:rsidRDefault="008A5F9E" w:rsidP="00444D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8A5F9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Innovation stimulus</w:t>
            </w:r>
          </w:p>
        </w:tc>
        <w:tc>
          <w:tcPr>
            <w:tcW w:w="283" w:type="dxa"/>
            <w:tcMar>
              <w:top w:w="85" w:type="dxa"/>
              <w:bottom w:w="85" w:type="dxa"/>
            </w:tcMar>
            <w:vAlign w:val="center"/>
          </w:tcPr>
          <w:p w14:paraId="30963237" w14:textId="14E289D6" w:rsidR="00EF525C" w:rsidRPr="003F5FD6" w:rsidRDefault="001F263D" w:rsidP="00444D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</w:p>
        </w:tc>
        <w:tc>
          <w:tcPr>
            <w:tcW w:w="4111" w:type="dxa"/>
            <w:tcMar>
              <w:top w:w="85" w:type="dxa"/>
              <w:bottom w:w="85" w:type="dxa"/>
            </w:tcMar>
            <w:vAlign w:val="center"/>
          </w:tcPr>
          <w:p w14:paraId="0D112C65" w14:textId="5E084068" w:rsidR="00EF525C" w:rsidRPr="003F5FD6" w:rsidRDefault="008D316D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D316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Level of stimulus generated after funding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is granted to </w:t>
            </w:r>
            <w:r w:rsidRPr="008D316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the preventive measure, so that more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pharmaceutical companies</w:t>
            </w:r>
            <w:r w:rsidRPr="008D316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continue to produce innovations that improve the health of the population and meet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the </w:t>
            </w:r>
            <w:r w:rsidRPr="008D316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unmet needs for RSV prevention or treatment.</w:t>
            </w:r>
          </w:p>
        </w:tc>
        <w:tc>
          <w:tcPr>
            <w:tcW w:w="3827" w:type="dxa"/>
            <w:tcMar>
              <w:top w:w="85" w:type="dxa"/>
              <w:bottom w:w="85" w:type="dxa"/>
            </w:tcMar>
            <w:vAlign w:val="center"/>
          </w:tcPr>
          <w:p w14:paraId="66E0CBF2" w14:textId="35268E99" w:rsidR="00EF525C" w:rsidRPr="003F5FD6" w:rsidRDefault="00966F40" w:rsidP="00444D2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66F4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5: Funding for nirse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vimab</w:t>
            </w:r>
            <w:r w:rsidRPr="00966F4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will result in many more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pharmaceutical companies</w:t>
            </w:r>
            <w:r w:rsidRPr="00966F4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continuing to produce innovations that improve population health / 0: Funding for nirse will result in no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pharmaceutical companies</w:t>
            </w:r>
            <w:r w:rsidRPr="00966F4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continuing to produce innovations that improve population health.</w:t>
            </w:r>
          </w:p>
        </w:tc>
      </w:tr>
    </w:tbl>
    <w:p w14:paraId="71407FB5" w14:textId="24774E9E" w:rsidR="00A73549" w:rsidRPr="00A73549" w:rsidRDefault="000260BE" w:rsidP="00A73549">
      <w:pPr>
        <w:spacing w:line="500" w:lineRule="exact"/>
        <w:rPr>
          <w:rFonts w:ascii="Times New Roman" w:hAnsi="Times New Roman" w:cs="Times New Roman"/>
        </w:rPr>
      </w:pPr>
      <w:r w:rsidRPr="003F5FD6">
        <w:rPr>
          <w:rFonts w:ascii="Times New Roman" w:hAnsi="Times New Roman" w:cs="Times New Roman"/>
          <w:lang w:val="en-US"/>
        </w:rPr>
        <w:t>A: absolute. R: relative</w:t>
      </w:r>
      <w:r w:rsidR="0040756E">
        <w:rPr>
          <w:rFonts w:ascii="Times New Roman" w:hAnsi="Times New Roman" w:cs="Times New Roman"/>
          <w:lang w:val="en-US"/>
        </w:rPr>
        <w:t>. RSV: respiratory syncytial virus</w:t>
      </w:r>
    </w:p>
    <w:sectPr w:rsidR="00A73549" w:rsidRPr="00A73549" w:rsidSect="006B250E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549"/>
    <w:rsid w:val="00010F2A"/>
    <w:rsid w:val="000223E2"/>
    <w:rsid w:val="000260BE"/>
    <w:rsid w:val="00036A7D"/>
    <w:rsid w:val="0005206C"/>
    <w:rsid w:val="000D4071"/>
    <w:rsid w:val="000F07EC"/>
    <w:rsid w:val="00113818"/>
    <w:rsid w:val="00114D98"/>
    <w:rsid w:val="00161F94"/>
    <w:rsid w:val="001B14D1"/>
    <w:rsid w:val="001F263D"/>
    <w:rsid w:val="002233B9"/>
    <w:rsid w:val="0022463A"/>
    <w:rsid w:val="0026004C"/>
    <w:rsid w:val="0033799D"/>
    <w:rsid w:val="0038596D"/>
    <w:rsid w:val="00390393"/>
    <w:rsid w:val="00391544"/>
    <w:rsid w:val="003A0F75"/>
    <w:rsid w:val="003C5B88"/>
    <w:rsid w:val="003F5FD6"/>
    <w:rsid w:val="0040756E"/>
    <w:rsid w:val="00417F07"/>
    <w:rsid w:val="00433205"/>
    <w:rsid w:val="0047346D"/>
    <w:rsid w:val="004E4261"/>
    <w:rsid w:val="005043C2"/>
    <w:rsid w:val="00573795"/>
    <w:rsid w:val="005858CD"/>
    <w:rsid w:val="00620AA6"/>
    <w:rsid w:val="006876B4"/>
    <w:rsid w:val="00696312"/>
    <w:rsid w:val="006B250E"/>
    <w:rsid w:val="006B7D0F"/>
    <w:rsid w:val="00702EA1"/>
    <w:rsid w:val="00704360"/>
    <w:rsid w:val="00705A23"/>
    <w:rsid w:val="00713E2C"/>
    <w:rsid w:val="007659E6"/>
    <w:rsid w:val="007A0260"/>
    <w:rsid w:val="007C6A38"/>
    <w:rsid w:val="007E37B1"/>
    <w:rsid w:val="008028D3"/>
    <w:rsid w:val="00870DBF"/>
    <w:rsid w:val="00881FCB"/>
    <w:rsid w:val="008A4CF2"/>
    <w:rsid w:val="008A5F9E"/>
    <w:rsid w:val="008D2520"/>
    <w:rsid w:val="008D316D"/>
    <w:rsid w:val="0090650A"/>
    <w:rsid w:val="00927BED"/>
    <w:rsid w:val="009436D4"/>
    <w:rsid w:val="00966F40"/>
    <w:rsid w:val="00992E96"/>
    <w:rsid w:val="009B329D"/>
    <w:rsid w:val="009E71A8"/>
    <w:rsid w:val="00A275A7"/>
    <w:rsid w:val="00A361AA"/>
    <w:rsid w:val="00A507D2"/>
    <w:rsid w:val="00A721FD"/>
    <w:rsid w:val="00A73549"/>
    <w:rsid w:val="00AA1A34"/>
    <w:rsid w:val="00AA721E"/>
    <w:rsid w:val="00AB29BB"/>
    <w:rsid w:val="00B15159"/>
    <w:rsid w:val="00B17640"/>
    <w:rsid w:val="00B873D9"/>
    <w:rsid w:val="00BD2724"/>
    <w:rsid w:val="00C52E49"/>
    <w:rsid w:val="00CA697E"/>
    <w:rsid w:val="00CB4C02"/>
    <w:rsid w:val="00CD1357"/>
    <w:rsid w:val="00D0640C"/>
    <w:rsid w:val="00D07F69"/>
    <w:rsid w:val="00D3107E"/>
    <w:rsid w:val="00D55603"/>
    <w:rsid w:val="00D76071"/>
    <w:rsid w:val="00D94E4C"/>
    <w:rsid w:val="00DB40AE"/>
    <w:rsid w:val="00DD3CF6"/>
    <w:rsid w:val="00DF311E"/>
    <w:rsid w:val="00E469CE"/>
    <w:rsid w:val="00E63EBD"/>
    <w:rsid w:val="00E66CD9"/>
    <w:rsid w:val="00E8268C"/>
    <w:rsid w:val="00EA7E75"/>
    <w:rsid w:val="00EC1638"/>
    <w:rsid w:val="00EF525C"/>
    <w:rsid w:val="00F273AE"/>
    <w:rsid w:val="00F53719"/>
    <w:rsid w:val="00F85FF3"/>
    <w:rsid w:val="00FB3145"/>
    <w:rsid w:val="00FD048C"/>
    <w:rsid w:val="00FF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45505"/>
  <w15:chartTrackingRefBased/>
  <w15:docId w15:val="{0DE8D70A-CDC1-44DA-A8E8-2B1DA933B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5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F52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417F0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26F03E8FB312D47BEBB09767D8C1FF2" ma:contentTypeVersion="15" ma:contentTypeDescription="Crear nuevo documento." ma:contentTypeScope="" ma:versionID="92e8febbdf79410a9651bbdf6cd1e704">
  <xsd:schema xmlns:xsd="http://www.w3.org/2001/XMLSchema" xmlns:xs="http://www.w3.org/2001/XMLSchema" xmlns:p="http://schemas.microsoft.com/office/2006/metadata/properties" xmlns:ns2="21c21789-2aa1-47eb-9c4d-00dc9f0105b8" xmlns:ns3="2464e5df-6132-42f1-8bd1-5be3ff54df1c" targetNamespace="http://schemas.microsoft.com/office/2006/metadata/properties" ma:root="true" ma:fieldsID="68abec52c6fa3046900106e769d49586" ns2:_="" ns3:_="">
    <xsd:import namespace="21c21789-2aa1-47eb-9c4d-00dc9f0105b8"/>
    <xsd:import namespace="2464e5df-6132-42f1-8bd1-5be3ff54df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c21789-2aa1-47eb-9c4d-00dc9f0105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Etiquetas de imagen" ma:readOnly="false" ma:fieldId="{5cf76f15-5ced-4ddc-b409-7134ff3c332f}" ma:taxonomyMulti="true" ma:sspId="9d232f7a-cb30-496c-854b-3840572c10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64e5df-6132-42f1-8bd1-5be3ff54df1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6e35a11b-844d-41a4-b9e1-ac4402ac8760}" ma:internalName="TaxCatchAll" ma:showField="CatchAllData" ma:web="2464e5df-6132-42f1-8bd1-5be3ff54df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1c21789-2aa1-47eb-9c4d-00dc9f0105b8">
      <Terms xmlns="http://schemas.microsoft.com/office/infopath/2007/PartnerControls"/>
    </lcf76f155ced4ddcb4097134ff3c332f>
    <TaxCatchAll xmlns="2464e5df-6132-42f1-8bd1-5be3ff54df1c" xsi:nil="true"/>
  </documentManagement>
</p:properties>
</file>

<file path=customXml/itemProps1.xml><?xml version="1.0" encoding="utf-8"?>
<ds:datastoreItem xmlns:ds="http://schemas.openxmlformats.org/officeDocument/2006/customXml" ds:itemID="{DD2CF283-6273-4EF1-961B-14B56A6FA6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FE07AF-C2D0-441D-BF6F-9B15558DC324}"/>
</file>

<file path=customXml/itemProps3.xml><?xml version="1.0" encoding="utf-8"?>
<ds:datastoreItem xmlns:ds="http://schemas.openxmlformats.org/officeDocument/2006/customXml" ds:itemID="{D590646B-6525-443D-9C1F-815E357B8EEC}">
  <ds:schemaRefs>
    <ds:schemaRef ds:uri="http://schemas.microsoft.com/office/2006/metadata/properties"/>
    <ds:schemaRef ds:uri="http://schemas.microsoft.com/office/infopath/2007/PartnerControls"/>
    <ds:schemaRef ds:uri="21c21789-2aa1-47eb-9c4d-00dc9f0105b8"/>
    <ds:schemaRef ds:uri="2464e5df-6132-42f1-8bd1-5be3ff54df1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1397</Words>
  <Characters>7684</Characters>
  <Application>Microsoft Office Word</Application>
  <DocSecurity>0</DocSecurity>
  <Lines>64</Lines>
  <Paragraphs>18</Paragraphs>
  <ScaleCrop>false</ScaleCrop>
  <Company/>
  <LinksUpToDate>false</LinksUpToDate>
  <CharactersWithSpaces>9063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Abdalla</dc:creator>
  <cp:keywords/>
  <dc:description/>
  <cp:lastModifiedBy>Fernando Abdalla</cp:lastModifiedBy>
  <cp:revision>91</cp:revision>
  <dcterms:created xsi:type="dcterms:W3CDTF">2022-10-10T12:32:00Z</dcterms:created>
  <dcterms:modified xsi:type="dcterms:W3CDTF">2023-07-19T08:14:00Z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0x010100626F03E8FB312D47BEBB09767D8C1FF2</vt:lpwstr>
  </property>
  <property fmtid="{D5CDD505-2E9C-101B-9397-08002B2CF9AE}" pid="3" name="MediaServiceImageTags">
    <vt:lpwstr/>
  </property>
</Properties>
</file>