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48FAF" w14:textId="19961573" w:rsidR="005A2018" w:rsidRPr="00ED40F9" w:rsidRDefault="005A2018" w:rsidP="005A2018">
      <w:pPr>
        <w:spacing w:after="120" w:line="500" w:lineRule="exact"/>
        <w:jc w:val="both"/>
        <w:rPr>
          <w:rFonts w:ascii="Times New Roman" w:hAnsi="Times New Roman" w:cs="Times New Roman"/>
          <w:b/>
          <w:bCs/>
          <w:sz w:val="24"/>
          <w:szCs w:val="24"/>
          <w:lang w:val="en-US"/>
        </w:rPr>
      </w:pPr>
      <w:r w:rsidRPr="0096641C">
        <w:rPr>
          <w:rFonts w:ascii="Times New Roman" w:hAnsi="Times New Roman" w:cs="Times New Roman"/>
          <w:b/>
          <w:bCs/>
          <w:sz w:val="24"/>
          <w:szCs w:val="24"/>
          <w:lang w:val="en-US"/>
        </w:rPr>
        <w:t>Evaluation of Antibody-based Preventive Alternatives for Respiratory Syncytial Virus: A Novel Multi-Criteria Decision Analysis Framework and Assessment of Nirsevimab</w:t>
      </w:r>
      <w:r w:rsidR="008B325A">
        <w:rPr>
          <w:rFonts w:ascii="Times New Roman" w:hAnsi="Times New Roman" w:cs="Times New Roman"/>
          <w:b/>
          <w:bCs/>
          <w:sz w:val="24"/>
          <w:szCs w:val="24"/>
          <w:lang w:val="en-US"/>
        </w:rPr>
        <w:t xml:space="preserve"> in Spain</w:t>
      </w:r>
    </w:p>
    <w:p w14:paraId="7EB92116" w14:textId="77777777" w:rsidR="005A2018" w:rsidRPr="00EB29B2" w:rsidRDefault="005A2018" w:rsidP="005A2018">
      <w:pPr>
        <w:spacing w:after="120" w:line="500" w:lineRule="exact"/>
        <w:jc w:val="both"/>
        <w:rPr>
          <w:rFonts w:ascii="Times New Roman" w:hAnsi="Times New Roman" w:cs="Times New Roman"/>
          <w:sz w:val="24"/>
          <w:szCs w:val="24"/>
        </w:rPr>
      </w:pPr>
      <w:r w:rsidRPr="00EB29B2">
        <w:rPr>
          <w:rFonts w:ascii="Times New Roman" w:hAnsi="Times New Roman" w:cs="Times New Roman"/>
          <w:b/>
          <w:bCs/>
          <w:sz w:val="24"/>
          <w:szCs w:val="24"/>
        </w:rPr>
        <w:t>Authors</w:t>
      </w:r>
      <w:r w:rsidRPr="00EB29B2">
        <w:rPr>
          <w:rFonts w:ascii="Times New Roman" w:hAnsi="Times New Roman" w:cs="Times New Roman"/>
          <w:sz w:val="24"/>
          <w:szCs w:val="24"/>
        </w:rPr>
        <w:t xml:space="preserve">: </w:t>
      </w:r>
      <w:r w:rsidRPr="00C42B71">
        <w:rPr>
          <w:rFonts w:ascii="Times New Roman" w:hAnsi="Times New Roman" w:cs="Times New Roman"/>
          <w:sz w:val="24"/>
          <w:szCs w:val="24"/>
        </w:rPr>
        <w:t>Jorge Mestre-Ferrándiz</w:t>
      </w:r>
      <w:r w:rsidRPr="00273CA2">
        <w:rPr>
          <w:rFonts w:ascii="Times New Roman" w:hAnsi="Times New Roman" w:cs="Times New Roman"/>
          <w:sz w:val="24"/>
          <w:szCs w:val="24"/>
          <w:vertAlign w:val="superscript"/>
        </w:rPr>
        <w:t>1</w:t>
      </w:r>
      <w:r w:rsidRPr="00C42B71">
        <w:rPr>
          <w:rFonts w:ascii="Times New Roman" w:hAnsi="Times New Roman" w:cs="Times New Roman"/>
          <w:sz w:val="24"/>
          <w:szCs w:val="24"/>
        </w:rPr>
        <w:t>, Agustín Rivero</w:t>
      </w:r>
      <w:r w:rsidRPr="00273CA2">
        <w:rPr>
          <w:rFonts w:ascii="Times New Roman" w:hAnsi="Times New Roman" w:cs="Times New Roman"/>
          <w:sz w:val="24"/>
          <w:szCs w:val="24"/>
          <w:vertAlign w:val="superscript"/>
        </w:rPr>
        <w:t>2</w:t>
      </w:r>
      <w:r w:rsidRPr="00C42B71">
        <w:rPr>
          <w:rFonts w:ascii="Times New Roman" w:hAnsi="Times New Roman" w:cs="Times New Roman"/>
          <w:sz w:val="24"/>
          <w:szCs w:val="24"/>
        </w:rPr>
        <w:t>, Alejandro Orrico-Sánchez</w:t>
      </w:r>
      <w:r w:rsidRPr="00273CA2">
        <w:rPr>
          <w:rFonts w:ascii="Times New Roman" w:hAnsi="Times New Roman" w:cs="Times New Roman"/>
          <w:sz w:val="24"/>
          <w:szCs w:val="24"/>
          <w:vertAlign w:val="superscript"/>
        </w:rPr>
        <w:t>3,4,5</w:t>
      </w:r>
      <w:r w:rsidRPr="00C42B71">
        <w:rPr>
          <w:rFonts w:ascii="Times New Roman" w:hAnsi="Times New Roman" w:cs="Times New Roman"/>
          <w:sz w:val="24"/>
          <w:szCs w:val="24"/>
        </w:rPr>
        <w:t>, Álvaro Hidalgo</w:t>
      </w:r>
      <w:r w:rsidRPr="00273CA2">
        <w:rPr>
          <w:rFonts w:ascii="Times New Roman" w:hAnsi="Times New Roman" w:cs="Times New Roman"/>
          <w:sz w:val="24"/>
          <w:szCs w:val="24"/>
          <w:vertAlign w:val="superscript"/>
        </w:rPr>
        <w:t>6,7</w:t>
      </w:r>
      <w:r w:rsidRPr="00C42B71">
        <w:rPr>
          <w:rFonts w:ascii="Times New Roman" w:hAnsi="Times New Roman" w:cs="Times New Roman"/>
          <w:sz w:val="24"/>
          <w:szCs w:val="24"/>
        </w:rPr>
        <w:t>, Fernando Abdalla</w:t>
      </w:r>
      <w:r w:rsidRPr="00273CA2">
        <w:rPr>
          <w:rFonts w:ascii="Times New Roman" w:hAnsi="Times New Roman" w:cs="Times New Roman"/>
          <w:sz w:val="24"/>
          <w:szCs w:val="24"/>
          <w:vertAlign w:val="superscript"/>
        </w:rPr>
        <w:t>8</w:t>
      </w:r>
      <w:r w:rsidRPr="00C42B71">
        <w:rPr>
          <w:rFonts w:ascii="Times New Roman" w:hAnsi="Times New Roman" w:cs="Times New Roman"/>
          <w:sz w:val="24"/>
          <w:szCs w:val="24"/>
        </w:rPr>
        <w:t>, Isabel Martín</w:t>
      </w:r>
      <w:r w:rsidRPr="00273CA2">
        <w:rPr>
          <w:rFonts w:ascii="Times New Roman" w:hAnsi="Times New Roman" w:cs="Times New Roman"/>
          <w:sz w:val="24"/>
          <w:szCs w:val="24"/>
          <w:vertAlign w:val="superscript"/>
        </w:rPr>
        <w:t>9</w:t>
      </w:r>
      <w:r w:rsidRPr="00C42B71">
        <w:rPr>
          <w:rFonts w:ascii="Times New Roman" w:hAnsi="Times New Roman" w:cs="Times New Roman"/>
          <w:sz w:val="24"/>
          <w:szCs w:val="24"/>
        </w:rPr>
        <w:t>, Javier Álvarez</w:t>
      </w:r>
      <w:r w:rsidRPr="00273CA2">
        <w:rPr>
          <w:rFonts w:ascii="Times New Roman" w:hAnsi="Times New Roman" w:cs="Times New Roman"/>
          <w:sz w:val="24"/>
          <w:szCs w:val="24"/>
          <w:vertAlign w:val="superscript"/>
        </w:rPr>
        <w:t>10</w:t>
      </w:r>
      <w:r w:rsidRPr="00C42B71">
        <w:rPr>
          <w:rFonts w:ascii="Times New Roman" w:hAnsi="Times New Roman" w:cs="Times New Roman"/>
          <w:sz w:val="24"/>
          <w:szCs w:val="24"/>
        </w:rPr>
        <w:t>, Manuel García-Cenoz</w:t>
      </w:r>
      <w:r w:rsidRPr="00273CA2">
        <w:rPr>
          <w:rFonts w:ascii="Times New Roman" w:hAnsi="Times New Roman" w:cs="Times New Roman"/>
          <w:sz w:val="24"/>
          <w:szCs w:val="24"/>
          <w:vertAlign w:val="superscript"/>
        </w:rPr>
        <w:t>11</w:t>
      </w:r>
      <w:r w:rsidRPr="00C42B71">
        <w:rPr>
          <w:rFonts w:ascii="Times New Roman" w:hAnsi="Times New Roman" w:cs="Times New Roman"/>
          <w:sz w:val="24"/>
          <w:szCs w:val="24"/>
        </w:rPr>
        <w:t>, Maria del Carmen Pacheco</w:t>
      </w:r>
      <w:r w:rsidRPr="00273CA2">
        <w:rPr>
          <w:rFonts w:ascii="Times New Roman" w:hAnsi="Times New Roman" w:cs="Times New Roman"/>
          <w:sz w:val="24"/>
          <w:szCs w:val="24"/>
          <w:vertAlign w:val="superscript"/>
        </w:rPr>
        <w:t>12</w:t>
      </w:r>
      <w:r w:rsidRPr="00C42B71">
        <w:rPr>
          <w:rFonts w:ascii="Times New Roman" w:hAnsi="Times New Roman" w:cs="Times New Roman"/>
          <w:sz w:val="24"/>
          <w:szCs w:val="24"/>
        </w:rPr>
        <w:t>, María Garcés-Sánchez</w:t>
      </w:r>
      <w:r w:rsidRPr="00273CA2">
        <w:rPr>
          <w:rFonts w:ascii="Times New Roman" w:hAnsi="Times New Roman" w:cs="Times New Roman"/>
          <w:sz w:val="24"/>
          <w:szCs w:val="24"/>
          <w:vertAlign w:val="superscript"/>
        </w:rPr>
        <w:t>13</w:t>
      </w:r>
      <w:r w:rsidRPr="00C42B71">
        <w:rPr>
          <w:rFonts w:ascii="Times New Roman" w:hAnsi="Times New Roman" w:cs="Times New Roman"/>
          <w:sz w:val="24"/>
          <w:szCs w:val="24"/>
        </w:rPr>
        <w:t>, Néboa Zozaya</w:t>
      </w:r>
      <w:r w:rsidRPr="00273CA2">
        <w:rPr>
          <w:rFonts w:ascii="Times New Roman" w:hAnsi="Times New Roman" w:cs="Times New Roman"/>
          <w:sz w:val="24"/>
          <w:szCs w:val="24"/>
          <w:vertAlign w:val="superscript"/>
        </w:rPr>
        <w:t>8,14</w:t>
      </w:r>
      <w:r w:rsidRPr="00C42B71">
        <w:rPr>
          <w:rFonts w:ascii="Times New Roman" w:hAnsi="Times New Roman" w:cs="Times New Roman"/>
          <w:sz w:val="24"/>
          <w:szCs w:val="24"/>
        </w:rPr>
        <w:t>, Raúl Ortiz</w:t>
      </w:r>
      <w:r>
        <w:rPr>
          <w:rFonts w:ascii="Times New Roman" w:hAnsi="Times New Roman" w:cs="Times New Roman"/>
          <w:sz w:val="24"/>
          <w:szCs w:val="24"/>
        </w:rPr>
        <w:t>-</w:t>
      </w:r>
      <w:r w:rsidRPr="00C42B71">
        <w:rPr>
          <w:rFonts w:ascii="Times New Roman" w:hAnsi="Times New Roman" w:cs="Times New Roman"/>
          <w:sz w:val="24"/>
          <w:szCs w:val="24"/>
        </w:rPr>
        <w:t>de</w:t>
      </w:r>
      <w:r>
        <w:rPr>
          <w:rFonts w:ascii="Times New Roman" w:hAnsi="Times New Roman" w:cs="Times New Roman"/>
          <w:sz w:val="24"/>
          <w:szCs w:val="24"/>
        </w:rPr>
        <w:t>-</w:t>
      </w:r>
      <w:r w:rsidRPr="00C42B71">
        <w:rPr>
          <w:rFonts w:ascii="Times New Roman" w:hAnsi="Times New Roman" w:cs="Times New Roman"/>
          <w:sz w:val="24"/>
          <w:szCs w:val="24"/>
        </w:rPr>
        <w:t>Lejarazu</w:t>
      </w:r>
      <w:r w:rsidRPr="00273CA2">
        <w:rPr>
          <w:rFonts w:ascii="Times New Roman" w:hAnsi="Times New Roman" w:cs="Times New Roman"/>
          <w:sz w:val="24"/>
          <w:szCs w:val="24"/>
          <w:vertAlign w:val="superscript"/>
        </w:rPr>
        <w:t>15</w:t>
      </w:r>
    </w:p>
    <w:p w14:paraId="70644E70" w14:textId="1FCD560D" w:rsidR="006047C3" w:rsidRDefault="005A2018" w:rsidP="001248B6">
      <w:pPr>
        <w:spacing w:line="500" w:lineRule="exact"/>
        <w:jc w:val="both"/>
        <w:rPr>
          <w:rFonts w:ascii="Times New Roman" w:hAnsi="Times New Roman" w:cs="Times New Roman"/>
          <w:sz w:val="24"/>
          <w:szCs w:val="24"/>
          <w:lang w:val="en-US"/>
        </w:rPr>
      </w:pPr>
      <w:r w:rsidRPr="00273CA2">
        <w:rPr>
          <w:rFonts w:ascii="Times New Roman" w:hAnsi="Times New Roman" w:cs="Times New Roman"/>
          <w:b/>
          <w:bCs/>
          <w:sz w:val="24"/>
          <w:szCs w:val="24"/>
          <w:lang w:val="en-US"/>
        </w:rPr>
        <w:t>Affiliations</w:t>
      </w:r>
      <w:r w:rsidRPr="00273CA2">
        <w:rPr>
          <w:rFonts w:ascii="Times New Roman" w:hAnsi="Times New Roman" w:cs="Times New Roman"/>
          <w:sz w:val="24"/>
          <w:szCs w:val="24"/>
          <w:lang w:val="en-US"/>
        </w:rPr>
        <w:t xml:space="preserve">: </w:t>
      </w:r>
      <w:r w:rsidRPr="00273CA2">
        <w:rPr>
          <w:rFonts w:ascii="Times New Roman" w:hAnsi="Times New Roman" w:cs="Times New Roman"/>
          <w:sz w:val="24"/>
          <w:szCs w:val="24"/>
          <w:vertAlign w:val="superscript"/>
          <w:lang w:val="en-US"/>
        </w:rPr>
        <w:t>1</w:t>
      </w:r>
      <w:r w:rsidRPr="00273CA2">
        <w:rPr>
          <w:rFonts w:ascii="Times New Roman" w:hAnsi="Times New Roman" w:cs="Times New Roman"/>
          <w:sz w:val="24"/>
          <w:szCs w:val="24"/>
          <w:lang w:val="en-US"/>
        </w:rPr>
        <w:t xml:space="preserve">Department of Economics, University Carlos III, Madrid, Spain; </w:t>
      </w:r>
      <w:r w:rsidRPr="00273CA2">
        <w:rPr>
          <w:rFonts w:ascii="Times New Roman" w:hAnsi="Times New Roman" w:cs="Times New Roman"/>
          <w:sz w:val="24"/>
          <w:szCs w:val="24"/>
          <w:vertAlign w:val="superscript"/>
          <w:lang w:val="en-US"/>
        </w:rPr>
        <w:t>2</w:t>
      </w:r>
      <w:r w:rsidRPr="00273CA2">
        <w:rPr>
          <w:rFonts w:ascii="Times New Roman" w:hAnsi="Times New Roman" w:cs="Times New Roman"/>
          <w:sz w:val="24"/>
          <w:szCs w:val="24"/>
          <w:lang w:val="en-US"/>
        </w:rPr>
        <w:t xml:space="preserve">Department of Management, Bioregión de Salud y Bienestar (BioMad), Madrid, Spain; </w:t>
      </w:r>
      <w:r w:rsidRPr="00273CA2">
        <w:rPr>
          <w:rFonts w:ascii="Times New Roman" w:hAnsi="Times New Roman" w:cs="Times New Roman"/>
          <w:sz w:val="24"/>
          <w:szCs w:val="24"/>
          <w:vertAlign w:val="superscript"/>
          <w:lang w:val="en-US"/>
        </w:rPr>
        <w:t>3</w:t>
      </w:r>
      <w:r w:rsidRPr="00273CA2">
        <w:rPr>
          <w:rFonts w:ascii="Times New Roman" w:hAnsi="Times New Roman" w:cs="Times New Roman"/>
          <w:sz w:val="24"/>
          <w:szCs w:val="24"/>
          <w:lang w:val="en-US"/>
        </w:rPr>
        <w:t xml:space="preserve">Department of Vaccines Research, Fundación Para el Fomento de la Investigación Sanitaria y Biomédica de la Comunitat Valenciana (Fisabio), Valencia, Spain; </w:t>
      </w:r>
      <w:r w:rsidRPr="00273CA2">
        <w:rPr>
          <w:rFonts w:ascii="Times New Roman" w:hAnsi="Times New Roman" w:cs="Times New Roman"/>
          <w:sz w:val="24"/>
          <w:szCs w:val="24"/>
          <w:vertAlign w:val="superscript"/>
          <w:lang w:val="en-US"/>
        </w:rPr>
        <w:t>4</w:t>
      </w:r>
      <w:r w:rsidRPr="00273CA2">
        <w:rPr>
          <w:rFonts w:ascii="Times New Roman" w:hAnsi="Times New Roman" w:cs="Times New Roman"/>
          <w:sz w:val="24"/>
          <w:szCs w:val="24"/>
          <w:lang w:val="en-US"/>
        </w:rPr>
        <w:t xml:space="preserve">Catholic University of Valencia, Spain; </w:t>
      </w:r>
      <w:r w:rsidRPr="00273CA2">
        <w:rPr>
          <w:rFonts w:ascii="Times New Roman" w:hAnsi="Times New Roman" w:cs="Times New Roman"/>
          <w:sz w:val="24"/>
          <w:szCs w:val="24"/>
          <w:vertAlign w:val="superscript"/>
          <w:lang w:val="en-US"/>
        </w:rPr>
        <w:t>5</w:t>
      </w:r>
      <w:r w:rsidRPr="00641CF1">
        <w:rPr>
          <w:rFonts w:ascii="Times New Roman" w:hAnsi="Times New Roman" w:cs="Times New Roman"/>
          <w:sz w:val="24"/>
          <w:szCs w:val="24"/>
          <w:lang w:val="en-US"/>
        </w:rPr>
        <w:t>Centro de Investigación Biomédica en Red de Epidemiología y Salud Pública</w:t>
      </w:r>
      <w:r>
        <w:rPr>
          <w:rFonts w:ascii="Times New Roman" w:hAnsi="Times New Roman" w:cs="Times New Roman"/>
          <w:sz w:val="24"/>
          <w:szCs w:val="24"/>
          <w:lang w:val="en-US"/>
        </w:rPr>
        <w:t xml:space="preserve"> (C</w:t>
      </w:r>
      <w:r w:rsidRPr="00273CA2">
        <w:rPr>
          <w:rFonts w:ascii="Times New Roman" w:hAnsi="Times New Roman" w:cs="Times New Roman"/>
          <w:sz w:val="24"/>
          <w:szCs w:val="24"/>
          <w:lang w:val="en-US"/>
        </w:rPr>
        <w:t>IBERESP</w:t>
      </w:r>
      <w:r>
        <w:rPr>
          <w:rFonts w:ascii="Times New Roman" w:hAnsi="Times New Roman" w:cs="Times New Roman"/>
          <w:sz w:val="24"/>
          <w:szCs w:val="24"/>
          <w:lang w:val="en-US"/>
        </w:rPr>
        <w:t>)</w:t>
      </w:r>
      <w:r w:rsidRPr="00273CA2">
        <w:rPr>
          <w:rFonts w:ascii="Times New Roman" w:hAnsi="Times New Roman" w:cs="Times New Roman"/>
          <w:sz w:val="24"/>
          <w:szCs w:val="24"/>
          <w:lang w:val="en-US"/>
        </w:rPr>
        <w:t xml:space="preserve">; </w:t>
      </w:r>
      <w:r w:rsidRPr="00273CA2">
        <w:rPr>
          <w:rFonts w:ascii="Times New Roman" w:hAnsi="Times New Roman" w:cs="Times New Roman"/>
          <w:sz w:val="24"/>
          <w:szCs w:val="24"/>
          <w:vertAlign w:val="superscript"/>
          <w:lang w:val="en-US"/>
        </w:rPr>
        <w:t>6</w:t>
      </w:r>
      <w:r w:rsidRPr="00273CA2">
        <w:rPr>
          <w:rFonts w:ascii="Times New Roman" w:hAnsi="Times New Roman" w:cs="Times New Roman"/>
          <w:sz w:val="24"/>
          <w:szCs w:val="24"/>
          <w:lang w:val="en-US"/>
        </w:rPr>
        <w:t xml:space="preserve">Weber Foundation, Madrid, Spain; </w:t>
      </w:r>
      <w:r w:rsidRPr="00273CA2">
        <w:rPr>
          <w:rFonts w:ascii="Times New Roman" w:hAnsi="Times New Roman" w:cs="Times New Roman"/>
          <w:sz w:val="24"/>
          <w:szCs w:val="24"/>
          <w:vertAlign w:val="superscript"/>
          <w:lang w:val="en-US"/>
        </w:rPr>
        <w:t>7</w:t>
      </w:r>
      <w:r w:rsidRPr="00273CA2">
        <w:rPr>
          <w:rFonts w:ascii="Times New Roman" w:hAnsi="Times New Roman" w:cs="Times New Roman"/>
          <w:sz w:val="24"/>
          <w:szCs w:val="24"/>
          <w:lang w:val="en-US"/>
        </w:rPr>
        <w:t xml:space="preserve">Department of Economic Analysis and Finances, University of Castilla-La Mancha. Toledo, Spain; </w:t>
      </w:r>
      <w:r w:rsidRPr="00273CA2">
        <w:rPr>
          <w:rFonts w:ascii="Times New Roman" w:hAnsi="Times New Roman" w:cs="Times New Roman"/>
          <w:sz w:val="24"/>
          <w:szCs w:val="24"/>
          <w:vertAlign w:val="superscript"/>
          <w:lang w:val="en-US"/>
        </w:rPr>
        <w:t>8</w:t>
      </w:r>
      <w:r w:rsidRPr="00273CA2">
        <w:rPr>
          <w:rFonts w:ascii="Times New Roman" w:hAnsi="Times New Roman" w:cs="Times New Roman"/>
          <w:sz w:val="24"/>
          <w:szCs w:val="24"/>
          <w:lang w:val="en-US"/>
        </w:rPr>
        <w:t xml:space="preserve">Department of Health Affairs and Policy Research, Vivactis Weber, Madrid, Spain; </w:t>
      </w:r>
      <w:r w:rsidRPr="00273CA2">
        <w:rPr>
          <w:rFonts w:ascii="Times New Roman" w:hAnsi="Times New Roman" w:cs="Times New Roman"/>
          <w:sz w:val="24"/>
          <w:szCs w:val="24"/>
          <w:vertAlign w:val="superscript"/>
          <w:lang w:val="en-US"/>
        </w:rPr>
        <w:t>9</w:t>
      </w:r>
      <w:r w:rsidRPr="00273CA2">
        <w:rPr>
          <w:rFonts w:ascii="Times New Roman" w:hAnsi="Times New Roman" w:cs="Times New Roman"/>
          <w:sz w:val="24"/>
          <w:szCs w:val="24"/>
          <w:lang w:val="en-US"/>
        </w:rPr>
        <w:t xml:space="preserve">Department of Primary Care, Rochapea Healthcare Center, Navarra, Spain; </w:t>
      </w:r>
      <w:r w:rsidRPr="00273CA2">
        <w:rPr>
          <w:rFonts w:ascii="Times New Roman" w:hAnsi="Times New Roman" w:cs="Times New Roman"/>
          <w:sz w:val="24"/>
          <w:szCs w:val="24"/>
          <w:vertAlign w:val="superscript"/>
          <w:lang w:val="en-US"/>
        </w:rPr>
        <w:t>10</w:t>
      </w:r>
      <w:r w:rsidRPr="00273CA2">
        <w:rPr>
          <w:rFonts w:ascii="Times New Roman" w:hAnsi="Times New Roman" w:cs="Times New Roman"/>
          <w:sz w:val="24"/>
          <w:szCs w:val="24"/>
          <w:lang w:val="en-US"/>
        </w:rPr>
        <w:t xml:space="preserve">Department of Pediatrics, Hospital Costa del Sol, Málaga, Spain; </w:t>
      </w:r>
      <w:r w:rsidRPr="00273CA2">
        <w:rPr>
          <w:rFonts w:ascii="Times New Roman" w:hAnsi="Times New Roman" w:cs="Times New Roman"/>
          <w:sz w:val="24"/>
          <w:szCs w:val="24"/>
          <w:vertAlign w:val="superscript"/>
          <w:lang w:val="en-US"/>
        </w:rPr>
        <w:t>11</w:t>
      </w:r>
      <w:r w:rsidRPr="00273CA2">
        <w:rPr>
          <w:rFonts w:ascii="Times New Roman" w:hAnsi="Times New Roman" w:cs="Times New Roman"/>
          <w:sz w:val="24"/>
          <w:szCs w:val="24"/>
          <w:lang w:val="en-US"/>
        </w:rPr>
        <w:t xml:space="preserve">Public Health Institute of Navarra, Navarra, Spain; </w:t>
      </w:r>
      <w:r w:rsidRPr="00273CA2">
        <w:rPr>
          <w:rFonts w:ascii="Times New Roman" w:hAnsi="Times New Roman" w:cs="Times New Roman"/>
          <w:sz w:val="24"/>
          <w:szCs w:val="24"/>
          <w:vertAlign w:val="superscript"/>
          <w:lang w:val="en-US"/>
        </w:rPr>
        <w:t>12</w:t>
      </w:r>
      <w:r w:rsidRPr="00273CA2">
        <w:rPr>
          <w:rFonts w:ascii="Times New Roman" w:hAnsi="Times New Roman" w:cs="Times New Roman"/>
          <w:sz w:val="24"/>
          <w:szCs w:val="24"/>
          <w:lang w:val="en-US"/>
        </w:rPr>
        <w:t xml:space="preserve">Department of Epidemiology, General Directorate of Public Health, Castilla y León, Spain; </w:t>
      </w:r>
      <w:r w:rsidRPr="00273CA2">
        <w:rPr>
          <w:rFonts w:ascii="Times New Roman" w:hAnsi="Times New Roman" w:cs="Times New Roman"/>
          <w:sz w:val="24"/>
          <w:szCs w:val="24"/>
          <w:vertAlign w:val="superscript"/>
          <w:lang w:val="en-US"/>
        </w:rPr>
        <w:t>13</w:t>
      </w:r>
      <w:r w:rsidRPr="00273CA2">
        <w:rPr>
          <w:rFonts w:ascii="Times New Roman" w:hAnsi="Times New Roman" w:cs="Times New Roman"/>
          <w:sz w:val="24"/>
          <w:szCs w:val="24"/>
          <w:lang w:val="en-US"/>
        </w:rPr>
        <w:t xml:space="preserve">Department of Pediatrics, Nazaret Healthcare Center, Valencia, Spain; </w:t>
      </w:r>
      <w:r w:rsidRPr="00273CA2">
        <w:rPr>
          <w:rFonts w:ascii="Times New Roman" w:hAnsi="Times New Roman" w:cs="Times New Roman"/>
          <w:sz w:val="24"/>
          <w:szCs w:val="24"/>
          <w:vertAlign w:val="superscript"/>
          <w:lang w:val="en-US"/>
        </w:rPr>
        <w:t>14</w:t>
      </w:r>
      <w:r w:rsidRPr="00273CA2">
        <w:rPr>
          <w:rFonts w:ascii="Times New Roman" w:hAnsi="Times New Roman" w:cs="Times New Roman"/>
          <w:sz w:val="24"/>
          <w:szCs w:val="24"/>
          <w:lang w:val="en-US"/>
        </w:rPr>
        <w:t xml:space="preserve">Department of Quantitative Methods in Economics and Management, University Las Palmas de Gran Canaria. Las Palmas, Spain; </w:t>
      </w:r>
      <w:r w:rsidRPr="00273CA2">
        <w:rPr>
          <w:rFonts w:ascii="Times New Roman" w:hAnsi="Times New Roman" w:cs="Times New Roman"/>
          <w:sz w:val="24"/>
          <w:szCs w:val="24"/>
          <w:vertAlign w:val="superscript"/>
          <w:lang w:val="en-US"/>
        </w:rPr>
        <w:t>15</w:t>
      </w:r>
      <w:r w:rsidRPr="00D032B6">
        <w:rPr>
          <w:rFonts w:ascii="Times New Roman" w:hAnsi="Times New Roman" w:cs="Times New Roman"/>
          <w:sz w:val="24"/>
          <w:szCs w:val="24"/>
          <w:lang w:val="en-US"/>
        </w:rPr>
        <w:t>National Influenza Centre, Scientific Advisor and Emeritus Director, School of Medicine, University of Valladolid, Castilla y León, Spain</w:t>
      </w:r>
      <w:r w:rsidR="00766EA7" w:rsidRPr="007121F7">
        <w:rPr>
          <w:rFonts w:ascii="Times New Roman" w:hAnsi="Times New Roman" w:cs="Times New Roman"/>
          <w:sz w:val="24"/>
          <w:szCs w:val="24"/>
          <w:lang w:val="en-US"/>
        </w:rPr>
        <w:t>.</w:t>
      </w:r>
    </w:p>
    <w:p w14:paraId="4BBCEC54" w14:textId="77777777" w:rsidR="000860BC" w:rsidRPr="00B21236" w:rsidRDefault="000860BC" w:rsidP="000860BC">
      <w:pPr>
        <w:spacing w:line="360" w:lineRule="auto"/>
        <w:rPr>
          <w:rFonts w:ascii="Times New Roman" w:hAnsi="Times New Roman" w:cs="Times New Roman"/>
          <w:sz w:val="24"/>
          <w:szCs w:val="24"/>
          <w:lang w:val="en-US"/>
        </w:rPr>
      </w:pPr>
    </w:p>
    <w:p w14:paraId="0989CFF8" w14:textId="651F6ADB" w:rsidR="00A442E9" w:rsidRPr="00B21236" w:rsidRDefault="006047C3">
      <w:pPr>
        <w:spacing w:line="360" w:lineRule="auto"/>
        <w:rPr>
          <w:rFonts w:ascii="Times New Roman" w:hAnsi="Times New Roman" w:cs="Times New Roman"/>
          <w:b/>
          <w:bCs/>
          <w:sz w:val="32"/>
          <w:szCs w:val="32"/>
          <w:lang w:val="en-US"/>
        </w:rPr>
      </w:pPr>
      <w:r w:rsidRPr="00B21236">
        <w:rPr>
          <w:rFonts w:ascii="Times New Roman" w:hAnsi="Times New Roman" w:cs="Times New Roman"/>
          <w:b/>
          <w:bCs/>
          <w:sz w:val="32"/>
          <w:szCs w:val="32"/>
          <w:lang w:val="en-US"/>
        </w:rPr>
        <w:t xml:space="preserve">SUPPLEMENTARY FILE </w:t>
      </w:r>
      <w:r w:rsidR="009B6540">
        <w:rPr>
          <w:rFonts w:ascii="Times New Roman" w:hAnsi="Times New Roman" w:cs="Times New Roman"/>
          <w:b/>
          <w:bCs/>
          <w:sz w:val="32"/>
          <w:szCs w:val="32"/>
          <w:lang w:val="en-US"/>
        </w:rPr>
        <w:t>9</w:t>
      </w:r>
      <w:r w:rsidRPr="00B21236">
        <w:rPr>
          <w:rFonts w:ascii="Times New Roman" w:hAnsi="Times New Roman" w:cs="Times New Roman"/>
          <w:b/>
          <w:bCs/>
          <w:sz w:val="32"/>
          <w:szCs w:val="32"/>
          <w:lang w:val="en-US"/>
        </w:rPr>
        <w:t xml:space="preserve">: </w:t>
      </w:r>
      <w:r w:rsidR="009B6540">
        <w:rPr>
          <w:rFonts w:ascii="Times New Roman" w:hAnsi="Times New Roman" w:cs="Times New Roman"/>
          <w:b/>
          <w:bCs/>
          <w:sz w:val="32"/>
          <w:szCs w:val="32"/>
          <w:lang w:val="en-US"/>
        </w:rPr>
        <w:t>NIRSEVIMAB VS. PALIVIZUMAB</w:t>
      </w:r>
    </w:p>
    <w:p w14:paraId="3C1A8303" w14:textId="77777777" w:rsidR="000860BC" w:rsidRPr="00B21236" w:rsidRDefault="000860BC" w:rsidP="000860BC">
      <w:pPr>
        <w:spacing w:line="360" w:lineRule="auto"/>
        <w:rPr>
          <w:rFonts w:ascii="Times New Roman" w:hAnsi="Times New Roman" w:cs="Times New Roman"/>
          <w:b/>
          <w:bCs/>
          <w:sz w:val="28"/>
          <w:szCs w:val="28"/>
          <w:lang w:val="en-US"/>
        </w:rPr>
      </w:pPr>
    </w:p>
    <w:p w14:paraId="5F0E03B6" w14:textId="77777777" w:rsidR="000860BC" w:rsidRPr="00B21236" w:rsidRDefault="000860BC" w:rsidP="000860BC">
      <w:pPr>
        <w:spacing w:line="360" w:lineRule="auto"/>
        <w:rPr>
          <w:rFonts w:ascii="Times New Roman" w:hAnsi="Times New Roman" w:cs="Times New Roman"/>
          <w:b/>
          <w:bCs/>
          <w:sz w:val="28"/>
          <w:szCs w:val="28"/>
          <w:lang w:val="en-US"/>
        </w:rPr>
      </w:pPr>
    </w:p>
    <w:p w14:paraId="28421C63" w14:textId="77777777" w:rsidR="000860BC" w:rsidRPr="00B21236" w:rsidRDefault="000860BC" w:rsidP="000860BC">
      <w:pPr>
        <w:spacing w:line="360" w:lineRule="auto"/>
        <w:rPr>
          <w:rFonts w:ascii="Times New Roman" w:hAnsi="Times New Roman" w:cs="Times New Roman"/>
          <w:b/>
          <w:bCs/>
          <w:sz w:val="28"/>
          <w:szCs w:val="28"/>
          <w:lang w:val="en-US"/>
        </w:rPr>
      </w:pPr>
    </w:p>
    <w:p w14:paraId="06FC01D0" w14:textId="2098EFB3" w:rsidR="00A442E9" w:rsidRPr="00B21236" w:rsidRDefault="00F27319" w:rsidP="00F27319">
      <w:pPr>
        <w:shd w:val="clear" w:color="auto" w:fill="BFBFBF" w:themeFill="background1" w:themeFillShade="BF"/>
        <w:spacing w:line="360" w:lineRule="auto"/>
        <w:rPr>
          <w:rFonts w:ascii="Times New Roman" w:hAnsi="Times New Roman" w:cs="Times New Roman"/>
          <w:sz w:val="24"/>
          <w:szCs w:val="24"/>
          <w:lang w:val="en-US"/>
        </w:rPr>
      </w:pPr>
      <w:r w:rsidRPr="00B21236">
        <w:rPr>
          <w:rFonts w:ascii="Times New Roman" w:hAnsi="Times New Roman" w:cs="Times New Roman"/>
          <w:b/>
          <w:bCs/>
          <w:sz w:val="24"/>
          <w:szCs w:val="24"/>
          <w:lang w:val="en-US"/>
        </w:rPr>
        <w:t>Index</w:t>
      </w:r>
    </w:p>
    <w:p w14:paraId="57D17A44" w14:textId="01A72DC0" w:rsidR="00D27C15" w:rsidRPr="00D27C15" w:rsidRDefault="009235AE">
      <w:pPr>
        <w:pStyle w:val="TDC1"/>
        <w:rPr>
          <w:rFonts w:eastAsiaTheme="minorEastAsia" w:cstheme="minorBidi"/>
          <w:b w:val="0"/>
          <w:bCs w:val="0"/>
          <w:smallCaps w:val="0"/>
          <w:noProof/>
          <w:color w:val="auto"/>
          <w:kern w:val="2"/>
          <w:szCs w:val="22"/>
          <w:lang w:eastAsia="es-ES"/>
          <w14:ligatures w14:val="standardContextual"/>
        </w:rPr>
      </w:pPr>
      <w:r w:rsidRPr="00D27C15">
        <w:rPr>
          <w:rFonts w:ascii="Times New Roman" w:hAnsi="Times New Roman" w:cs="Times New Roman"/>
          <w:smallCaps w:val="0"/>
          <w:color w:val="auto"/>
          <w:sz w:val="24"/>
          <w:szCs w:val="24"/>
          <w:u w:val="single"/>
          <w:lang w:val="en-US"/>
        </w:rPr>
        <w:fldChar w:fldCharType="begin"/>
      </w:r>
      <w:r w:rsidRPr="00D27C15">
        <w:rPr>
          <w:rFonts w:ascii="Times New Roman" w:hAnsi="Times New Roman" w:cs="Times New Roman"/>
          <w:smallCaps w:val="0"/>
          <w:color w:val="auto"/>
          <w:sz w:val="24"/>
          <w:szCs w:val="24"/>
          <w:u w:val="single"/>
          <w:lang w:val="en-US"/>
        </w:rPr>
        <w:instrText xml:space="preserve"> TOC \o "1-2" \h \z \u </w:instrText>
      </w:r>
      <w:r w:rsidRPr="00D27C15">
        <w:rPr>
          <w:rFonts w:ascii="Times New Roman" w:hAnsi="Times New Roman" w:cs="Times New Roman"/>
          <w:smallCaps w:val="0"/>
          <w:color w:val="auto"/>
          <w:sz w:val="24"/>
          <w:szCs w:val="24"/>
          <w:u w:val="single"/>
          <w:lang w:val="en-US"/>
        </w:rPr>
        <w:fldChar w:fldCharType="separate"/>
      </w:r>
      <w:hyperlink w:anchor="_Toc135731171" w:history="1">
        <w:r w:rsidR="00D27C15" w:rsidRPr="00D27C15">
          <w:rPr>
            <w:rStyle w:val="Hipervnculo"/>
            <w:rFonts w:cs="Times New Roman"/>
            <w:noProof/>
            <w:color w:val="auto"/>
            <w:lang w:val="en-US"/>
          </w:rPr>
          <w:t>Introduction</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_Toc135731171 \h </w:instrText>
        </w:r>
        <w:r w:rsidR="00D27C15" w:rsidRPr="00D27C15">
          <w:rPr>
            <w:noProof/>
            <w:webHidden/>
            <w:color w:val="auto"/>
          </w:rPr>
        </w:r>
        <w:r w:rsidR="00D27C15" w:rsidRPr="00D27C15">
          <w:rPr>
            <w:noProof/>
            <w:webHidden/>
            <w:color w:val="auto"/>
          </w:rPr>
          <w:fldChar w:fldCharType="separate"/>
        </w:r>
        <w:r w:rsidR="0035421E">
          <w:rPr>
            <w:noProof/>
            <w:webHidden/>
            <w:color w:val="auto"/>
          </w:rPr>
          <w:t>3</w:t>
        </w:r>
        <w:r w:rsidR="00D27C15" w:rsidRPr="00D27C15">
          <w:rPr>
            <w:noProof/>
            <w:webHidden/>
            <w:color w:val="auto"/>
          </w:rPr>
          <w:fldChar w:fldCharType="end"/>
        </w:r>
      </w:hyperlink>
    </w:p>
    <w:p w14:paraId="1A4C5E6B" w14:textId="0F84F425" w:rsidR="00D27C15" w:rsidRPr="00D27C15" w:rsidRDefault="0035421E">
      <w:pPr>
        <w:pStyle w:val="TDC1"/>
        <w:rPr>
          <w:rFonts w:eastAsiaTheme="minorEastAsia" w:cstheme="minorBidi"/>
          <w:b w:val="0"/>
          <w:bCs w:val="0"/>
          <w:smallCaps w:val="0"/>
          <w:noProof/>
          <w:color w:val="auto"/>
          <w:kern w:val="2"/>
          <w:szCs w:val="22"/>
          <w:lang w:eastAsia="es-ES"/>
          <w14:ligatures w14:val="standardContextual"/>
        </w:rPr>
      </w:pPr>
      <w:hyperlink w:anchor="_Toc135731172" w:history="1">
        <w:r w:rsidR="00D27C15" w:rsidRPr="00D27C15">
          <w:rPr>
            <w:rStyle w:val="Hipervnculo"/>
            <w:rFonts w:cs="Times New Roman"/>
            <w:noProof/>
            <w:color w:val="auto"/>
            <w:lang w:val="en-US"/>
          </w:rPr>
          <w:t>Evidence summary</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_Toc135731172 \h </w:instrText>
        </w:r>
        <w:r w:rsidR="00D27C15" w:rsidRPr="00D27C15">
          <w:rPr>
            <w:noProof/>
            <w:webHidden/>
            <w:color w:val="auto"/>
          </w:rPr>
        </w:r>
        <w:r w:rsidR="00D27C15" w:rsidRPr="00D27C15">
          <w:rPr>
            <w:noProof/>
            <w:webHidden/>
            <w:color w:val="auto"/>
          </w:rPr>
          <w:fldChar w:fldCharType="separate"/>
        </w:r>
        <w:r>
          <w:rPr>
            <w:noProof/>
            <w:webHidden/>
            <w:color w:val="auto"/>
          </w:rPr>
          <w:t>4</w:t>
        </w:r>
        <w:r w:rsidR="00D27C15" w:rsidRPr="00D27C15">
          <w:rPr>
            <w:noProof/>
            <w:webHidden/>
            <w:color w:val="auto"/>
          </w:rPr>
          <w:fldChar w:fldCharType="end"/>
        </w:r>
      </w:hyperlink>
    </w:p>
    <w:p w14:paraId="7ECEEEEE" w14:textId="12709920"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3" w:history="1">
        <w:r w:rsidR="00D27C15" w:rsidRPr="00D27C15">
          <w:rPr>
            <w:rStyle w:val="Hipervnculo"/>
            <w:rFonts w:cs="Times New Roman"/>
            <w:noProof/>
            <w:color w:val="auto"/>
            <w:lang w:val="en-US"/>
          </w:rPr>
          <w:t>Description of the drug</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_Toc135731173 \h </w:instrText>
        </w:r>
        <w:r w:rsidR="00D27C15" w:rsidRPr="00D27C15">
          <w:rPr>
            <w:noProof/>
            <w:webHidden/>
            <w:color w:val="auto"/>
          </w:rPr>
        </w:r>
        <w:r w:rsidR="00D27C15" w:rsidRPr="00D27C15">
          <w:rPr>
            <w:noProof/>
            <w:webHidden/>
            <w:color w:val="auto"/>
          </w:rPr>
          <w:fldChar w:fldCharType="separate"/>
        </w:r>
        <w:r>
          <w:rPr>
            <w:noProof/>
            <w:webHidden/>
            <w:color w:val="auto"/>
          </w:rPr>
          <w:t>4</w:t>
        </w:r>
        <w:r w:rsidR="00D27C15" w:rsidRPr="00D27C15">
          <w:rPr>
            <w:noProof/>
            <w:webHidden/>
            <w:color w:val="auto"/>
          </w:rPr>
          <w:fldChar w:fldCharType="end"/>
        </w:r>
      </w:hyperlink>
    </w:p>
    <w:p w14:paraId="63B12C46" w14:textId="48B57D0C"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4" w:history="1">
        <w:r w:rsidR="00D27C15" w:rsidRPr="00D27C15">
          <w:rPr>
            <w:rStyle w:val="Hipervnculo"/>
            <w:rFonts w:cs="Times New Roman"/>
            <w:noProof/>
            <w:color w:val="auto"/>
            <w:lang w:val="en-US"/>
          </w:rPr>
          <w:t>Criterion 10. Population in which the prevention strategy would be indicated</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_Toc135731174 \h </w:instrText>
        </w:r>
        <w:r w:rsidR="00D27C15" w:rsidRPr="00D27C15">
          <w:rPr>
            <w:noProof/>
            <w:webHidden/>
            <w:color w:val="auto"/>
          </w:rPr>
        </w:r>
        <w:r w:rsidR="00D27C15" w:rsidRPr="00D27C15">
          <w:rPr>
            <w:noProof/>
            <w:webHidden/>
            <w:color w:val="auto"/>
          </w:rPr>
          <w:fldChar w:fldCharType="separate"/>
        </w:r>
        <w:r>
          <w:rPr>
            <w:noProof/>
            <w:webHidden/>
            <w:color w:val="auto"/>
          </w:rPr>
          <w:t>4</w:t>
        </w:r>
        <w:r w:rsidR="00D27C15" w:rsidRPr="00D27C15">
          <w:rPr>
            <w:noProof/>
            <w:webHidden/>
            <w:color w:val="auto"/>
          </w:rPr>
          <w:fldChar w:fldCharType="end"/>
        </w:r>
      </w:hyperlink>
    </w:p>
    <w:p w14:paraId="1EFC7789" w14:textId="6ABF5AD7"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5" w:history="1">
        <w:r w:rsidR="00D27C15" w:rsidRPr="00D27C15">
          <w:rPr>
            <w:rStyle w:val="Hipervnculo"/>
            <w:rFonts w:cs="Times New Roman"/>
            <w:noProof/>
            <w:color w:val="auto"/>
            <w:lang w:val="en-US"/>
          </w:rPr>
          <w:t>Criterion 11. Efficacy of the preventive measure</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_Toc135731175 \h </w:instrText>
        </w:r>
        <w:r w:rsidR="00D27C15" w:rsidRPr="00D27C15">
          <w:rPr>
            <w:noProof/>
            <w:webHidden/>
            <w:color w:val="auto"/>
          </w:rPr>
        </w:r>
        <w:r w:rsidR="00D27C15" w:rsidRPr="00D27C15">
          <w:rPr>
            <w:noProof/>
            <w:webHidden/>
            <w:color w:val="auto"/>
          </w:rPr>
          <w:fldChar w:fldCharType="separate"/>
        </w:r>
        <w:r>
          <w:rPr>
            <w:noProof/>
            <w:webHidden/>
            <w:color w:val="auto"/>
          </w:rPr>
          <w:t>5</w:t>
        </w:r>
        <w:r w:rsidR="00D27C15" w:rsidRPr="00D27C15">
          <w:rPr>
            <w:noProof/>
            <w:webHidden/>
            <w:color w:val="auto"/>
          </w:rPr>
          <w:fldChar w:fldCharType="end"/>
        </w:r>
      </w:hyperlink>
    </w:p>
    <w:p w14:paraId="56829125" w14:textId="7D5E84A7"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6" w:history="1">
        <w:r w:rsidR="00D27C15" w:rsidRPr="00D27C15">
          <w:rPr>
            <w:rStyle w:val="Hipervnculo"/>
            <w:rFonts w:cs="Times New Roman"/>
            <w:noProof/>
            <w:color w:val="auto"/>
            <w:lang w:val="en-US"/>
          </w:rPr>
          <w:t>Criterion 14. Serious adverse events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_Toc135731176 \h </w:instrText>
        </w:r>
        <w:r w:rsidR="00D27C15" w:rsidRPr="00D27C15">
          <w:rPr>
            <w:noProof/>
            <w:webHidden/>
            <w:color w:val="auto"/>
          </w:rPr>
        </w:r>
        <w:r w:rsidR="00D27C15" w:rsidRPr="00D27C15">
          <w:rPr>
            <w:noProof/>
            <w:webHidden/>
            <w:color w:val="auto"/>
          </w:rPr>
          <w:fldChar w:fldCharType="separate"/>
        </w:r>
        <w:r>
          <w:rPr>
            <w:noProof/>
            <w:webHidden/>
            <w:color w:val="auto"/>
          </w:rPr>
          <w:t>7</w:t>
        </w:r>
        <w:r w:rsidR="00D27C15" w:rsidRPr="00D27C15">
          <w:rPr>
            <w:noProof/>
            <w:webHidden/>
            <w:color w:val="auto"/>
          </w:rPr>
          <w:fldChar w:fldCharType="end"/>
        </w:r>
      </w:hyperlink>
    </w:p>
    <w:p w14:paraId="6A071221" w14:textId="121B68D1"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7" w:history="1">
        <w:r w:rsidR="00D27C15" w:rsidRPr="00D27C15">
          <w:rPr>
            <w:rStyle w:val="Hipervnculo"/>
            <w:rFonts w:cs="Times New Roman"/>
            <w:noProof/>
            <w:color w:val="auto"/>
            <w:lang w:val="en-US"/>
          </w:rPr>
          <w:t>Criterion 15. Mild adverse events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_Toc135731177 \h </w:instrText>
        </w:r>
        <w:r w:rsidR="00D27C15" w:rsidRPr="00D27C15">
          <w:rPr>
            <w:noProof/>
            <w:webHidden/>
            <w:color w:val="auto"/>
          </w:rPr>
        </w:r>
        <w:r w:rsidR="00D27C15" w:rsidRPr="00D27C15">
          <w:rPr>
            <w:noProof/>
            <w:webHidden/>
            <w:color w:val="auto"/>
          </w:rPr>
          <w:fldChar w:fldCharType="separate"/>
        </w:r>
        <w:r>
          <w:rPr>
            <w:noProof/>
            <w:webHidden/>
            <w:color w:val="auto"/>
          </w:rPr>
          <w:t>7</w:t>
        </w:r>
        <w:r w:rsidR="00D27C15" w:rsidRPr="00D27C15">
          <w:rPr>
            <w:noProof/>
            <w:webHidden/>
            <w:color w:val="auto"/>
          </w:rPr>
          <w:fldChar w:fldCharType="end"/>
        </w:r>
      </w:hyperlink>
    </w:p>
    <w:p w14:paraId="2C4F6617" w14:textId="61ACC613"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8" w:history="1">
        <w:r w:rsidR="00D27C15" w:rsidRPr="00D27C15">
          <w:rPr>
            <w:rStyle w:val="Hipervnculo"/>
            <w:rFonts w:cs="Times New Roman"/>
            <w:noProof/>
            <w:color w:val="auto"/>
            <w:lang w:val="en-US"/>
          </w:rPr>
          <w:t>Criterion 20. Monetary cost of the preventive measure</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_Toc135731178 \h </w:instrText>
        </w:r>
        <w:r w:rsidR="00D27C15" w:rsidRPr="00D27C15">
          <w:rPr>
            <w:noProof/>
            <w:webHidden/>
            <w:color w:val="auto"/>
          </w:rPr>
        </w:r>
        <w:r w:rsidR="00D27C15" w:rsidRPr="00D27C15">
          <w:rPr>
            <w:noProof/>
            <w:webHidden/>
            <w:color w:val="auto"/>
          </w:rPr>
          <w:fldChar w:fldCharType="separate"/>
        </w:r>
        <w:r>
          <w:rPr>
            <w:noProof/>
            <w:webHidden/>
            <w:color w:val="auto"/>
          </w:rPr>
          <w:t>8</w:t>
        </w:r>
        <w:r w:rsidR="00D27C15" w:rsidRPr="00D27C15">
          <w:rPr>
            <w:noProof/>
            <w:webHidden/>
            <w:color w:val="auto"/>
          </w:rPr>
          <w:fldChar w:fldCharType="end"/>
        </w:r>
      </w:hyperlink>
    </w:p>
    <w:p w14:paraId="7D0C3B9F" w14:textId="4DDE3CC9"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79" w:history="1">
        <w:r w:rsidR="00D27C15" w:rsidRPr="00D27C15">
          <w:rPr>
            <w:rStyle w:val="Hipervnculo"/>
            <w:rFonts w:cs="Times New Roman"/>
            <w:noProof/>
            <w:color w:val="auto"/>
            <w:lang w:val="en-US"/>
          </w:rPr>
          <w:t>Criterion 21. Cost of the disease on the health system (excludes acquisition cost)</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_Toc135731179 \h </w:instrText>
        </w:r>
        <w:r w:rsidR="00D27C15" w:rsidRPr="00D27C15">
          <w:rPr>
            <w:noProof/>
            <w:webHidden/>
            <w:color w:val="auto"/>
          </w:rPr>
        </w:r>
        <w:r w:rsidR="00D27C15" w:rsidRPr="00D27C15">
          <w:rPr>
            <w:noProof/>
            <w:webHidden/>
            <w:color w:val="auto"/>
          </w:rPr>
          <w:fldChar w:fldCharType="separate"/>
        </w:r>
        <w:r>
          <w:rPr>
            <w:noProof/>
            <w:webHidden/>
            <w:color w:val="auto"/>
          </w:rPr>
          <w:t>8</w:t>
        </w:r>
        <w:r w:rsidR="00D27C15" w:rsidRPr="00D27C15">
          <w:rPr>
            <w:noProof/>
            <w:webHidden/>
            <w:color w:val="auto"/>
          </w:rPr>
          <w:fldChar w:fldCharType="end"/>
        </w:r>
      </w:hyperlink>
    </w:p>
    <w:p w14:paraId="5958369A" w14:textId="6D55648A"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0" w:history="1">
        <w:r w:rsidR="00D27C15" w:rsidRPr="00D27C15">
          <w:rPr>
            <w:rStyle w:val="Hipervnculo"/>
            <w:rFonts w:cs="Times New Roman"/>
            <w:noProof/>
            <w:color w:val="auto"/>
            <w:lang w:val="en-US"/>
          </w:rPr>
          <w:t>Criterion 22. Productivity cost: absenteeism</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_Toc135731180 \h </w:instrText>
        </w:r>
        <w:r w:rsidR="00D27C15" w:rsidRPr="00D27C15">
          <w:rPr>
            <w:noProof/>
            <w:webHidden/>
            <w:color w:val="auto"/>
          </w:rPr>
        </w:r>
        <w:r w:rsidR="00D27C15" w:rsidRPr="00D27C15">
          <w:rPr>
            <w:noProof/>
            <w:webHidden/>
            <w:color w:val="auto"/>
          </w:rPr>
          <w:fldChar w:fldCharType="separate"/>
        </w:r>
        <w:r>
          <w:rPr>
            <w:noProof/>
            <w:webHidden/>
            <w:color w:val="auto"/>
          </w:rPr>
          <w:t>9</w:t>
        </w:r>
        <w:r w:rsidR="00D27C15" w:rsidRPr="00D27C15">
          <w:rPr>
            <w:noProof/>
            <w:webHidden/>
            <w:color w:val="auto"/>
          </w:rPr>
          <w:fldChar w:fldCharType="end"/>
        </w:r>
      </w:hyperlink>
    </w:p>
    <w:p w14:paraId="283384E5" w14:textId="0D84D805"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1" w:history="1">
        <w:r w:rsidR="00D27C15" w:rsidRPr="00D27C15">
          <w:rPr>
            <w:rStyle w:val="Hipervnculo"/>
            <w:rFonts w:cs="Times New Roman"/>
            <w:noProof/>
            <w:color w:val="auto"/>
            <w:lang w:val="en-US"/>
          </w:rPr>
          <w:t>Criterion 23. Cost of the disease on the patient (out-of-pocket expenses)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_Toc135731181 \h </w:instrText>
        </w:r>
        <w:r w:rsidR="00D27C15" w:rsidRPr="00D27C15">
          <w:rPr>
            <w:noProof/>
            <w:webHidden/>
            <w:color w:val="auto"/>
          </w:rPr>
        </w:r>
        <w:r w:rsidR="00D27C15" w:rsidRPr="00D27C15">
          <w:rPr>
            <w:noProof/>
            <w:webHidden/>
            <w:color w:val="auto"/>
          </w:rPr>
          <w:fldChar w:fldCharType="separate"/>
        </w:r>
        <w:r>
          <w:rPr>
            <w:noProof/>
            <w:webHidden/>
            <w:color w:val="auto"/>
          </w:rPr>
          <w:t>10</w:t>
        </w:r>
        <w:r w:rsidR="00D27C15" w:rsidRPr="00D27C15">
          <w:rPr>
            <w:noProof/>
            <w:webHidden/>
            <w:color w:val="auto"/>
          </w:rPr>
          <w:fldChar w:fldCharType="end"/>
        </w:r>
      </w:hyperlink>
    </w:p>
    <w:p w14:paraId="5B7DFB97" w14:textId="4E035981"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2" w:history="1">
        <w:r w:rsidR="00D27C15" w:rsidRPr="00D27C15">
          <w:rPr>
            <w:rStyle w:val="Hipervnculo"/>
            <w:rFonts w:cs="Times New Roman"/>
            <w:noProof/>
            <w:color w:val="auto"/>
            <w:lang w:val="en-US"/>
          </w:rPr>
          <w:t>Criterion 24. Impact on health inequity</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_Toc135731182 \h </w:instrText>
        </w:r>
        <w:r w:rsidR="00D27C15" w:rsidRPr="00D27C15">
          <w:rPr>
            <w:noProof/>
            <w:webHidden/>
            <w:color w:val="auto"/>
          </w:rPr>
        </w:r>
        <w:r w:rsidR="00D27C15" w:rsidRPr="00D27C15">
          <w:rPr>
            <w:noProof/>
            <w:webHidden/>
            <w:color w:val="auto"/>
          </w:rPr>
          <w:fldChar w:fldCharType="separate"/>
        </w:r>
        <w:r>
          <w:rPr>
            <w:noProof/>
            <w:webHidden/>
            <w:color w:val="auto"/>
          </w:rPr>
          <w:t>10</w:t>
        </w:r>
        <w:r w:rsidR="00D27C15" w:rsidRPr="00D27C15">
          <w:rPr>
            <w:noProof/>
            <w:webHidden/>
            <w:color w:val="auto"/>
          </w:rPr>
          <w:fldChar w:fldCharType="end"/>
        </w:r>
      </w:hyperlink>
    </w:p>
    <w:p w14:paraId="0B29A4C1" w14:textId="677B2B21" w:rsidR="00D27C15" w:rsidRPr="00D27C15" w:rsidRDefault="0035421E">
      <w:pPr>
        <w:pStyle w:val="TDC1"/>
        <w:rPr>
          <w:rFonts w:eastAsiaTheme="minorEastAsia" w:cstheme="minorBidi"/>
          <w:b w:val="0"/>
          <w:bCs w:val="0"/>
          <w:smallCaps w:val="0"/>
          <w:noProof/>
          <w:color w:val="auto"/>
          <w:kern w:val="2"/>
          <w:szCs w:val="22"/>
          <w:lang w:eastAsia="es-ES"/>
          <w14:ligatures w14:val="standardContextual"/>
        </w:rPr>
      </w:pPr>
      <w:hyperlink w:anchor="_Toc135731183" w:history="1">
        <w:r w:rsidR="00D27C15" w:rsidRPr="00D27C15">
          <w:rPr>
            <w:rStyle w:val="Hipervnculo"/>
            <w:rFonts w:cs="Times New Roman"/>
            <w:noProof/>
            <w:color w:val="auto"/>
            <w:lang w:val="en-US"/>
          </w:rPr>
          <w:t>Results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_Toc135731183 \h </w:instrText>
        </w:r>
        <w:r w:rsidR="00D27C15" w:rsidRPr="00D27C15">
          <w:rPr>
            <w:noProof/>
            <w:webHidden/>
            <w:color w:val="auto"/>
          </w:rPr>
        </w:r>
        <w:r w:rsidR="00D27C15" w:rsidRPr="00D27C15">
          <w:rPr>
            <w:noProof/>
            <w:webHidden/>
            <w:color w:val="auto"/>
          </w:rPr>
          <w:fldChar w:fldCharType="separate"/>
        </w:r>
        <w:r>
          <w:rPr>
            <w:noProof/>
            <w:webHidden/>
            <w:color w:val="auto"/>
          </w:rPr>
          <w:t>11</w:t>
        </w:r>
        <w:r w:rsidR="00D27C15" w:rsidRPr="00D27C15">
          <w:rPr>
            <w:noProof/>
            <w:webHidden/>
            <w:color w:val="auto"/>
          </w:rPr>
          <w:fldChar w:fldCharType="end"/>
        </w:r>
      </w:hyperlink>
    </w:p>
    <w:p w14:paraId="57A22BDF" w14:textId="07EAB7F9"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4" w:history="1">
        <w:r w:rsidR="00D27C15" w:rsidRPr="00D27C15">
          <w:rPr>
            <w:rStyle w:val="Hipervnculo"/>
            <w:rFonts w:cs="Times New Roman"/>
            <w:noProof/>
            <w:color w:val="auto"/>
            <w:lang w:val="en-US"/>
          </w:rPr>
          <w:t>A.</w:t>
        </w:r>
        <w:r w:rsidR="00D27C15" w:rsidRPr="00D27C15">
          <w:rPr>
            <w:rFonts w:eastAsiaTheme="minorEastAsia" w:cstheme="minorBidi"/>
            <w:smallCaps w:val="0"/>
            <w:noProof/>
            <w:color w:val="auto"/>
            <w:kern w:val="2"/>
            <w:sz w:val="22"/>
            <w:szCs w:val="22"/>
            <w:lang w:eastAsia="es-ES"/>
            <w14:ligatures w14:val="standardContextual"/>
          </w:rPr>
          <w:tab/>
        </w:r>
        <w:r w:rsidR="00D27C15" w:rsidRPr="00D27C15">
          <w:rPr>
            <w:rStyle w:val="Hipervnculo"/>
            <w:rFonts w:cs="Times New Roman"/>
            <w:noProof/>
            <w:color w:val="auto"/>
            <w:lang w:val="en-US"/>
          </w:rPr>
          <w:t>Scores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_Toc135731184 \h </w:instrText>
        </w:r>
        <w:r w:rsidR="00D27C15" w:rsidRPr="00D27C15">
          <w:rPr>
            <w:noProof/>
            <w:webHidden/>
            <w:color w:val="auto"/>
          </w:rPr>
        </w:r>
        <w:r w:rsidR="00D27C15" w:rsidRPr="00D27C15">
          <w:rPr>
            <w:noProof/>
            <w:webHidden/>
            <w:color w:val="auto"/>
          </w:rPr>
          <w:fldChar w:fldCharType="separate"/>
        </w:r>
        <w:r>
          <w:rPr>
            <w:noProof/>
            <w:webHidden/>
            <w:color w:val="auto"/>
          </w:rPr>
          <w:t>11</w:t>
        </w:r>
        <w:r w:rsidR="00D27C15" w:rsidRPr="00D27C15">
          <w:rPr>
            <w:noProof/>
            <w:webHidden/>
            <w:color w:val="auto"/>
          </w:rPr>
          <w:fldChar w:fldCharType="end"/>
        </w:r>
      </w:hyperlink>
    </w:p>
    <w:p w14:paraId="0379E6DA" w14:textId="54CC8039"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5" w:history="1">
        <w:r w:rsidR="00D27C15" w:rsidRPr="00D27C15">
          <w:rPr>
            <w:rStyle w:val="Hipervnculo"/>
            <w:rFonts w:cs="Times New Roman"/>
            <w:noProof/>
            <w:color w:val="auto"/>
            <w:lang w:val="en-US"/>
          </w:rPr>
          <w:t>B.</w:t>
        </w:r>
        <w:r w:rsidR="00D27C15" w:rsidRPr="00D27C15">
          <w:rPr>
            <w:rFonts w:eastAsiaTheme="minorEastAsia" w:cstheme="minorBidi"/>
            <w:smallCaps w:val="0"/>
            <w:noProof/>
            <w:color w:val="auto"/>
            <w:kern w:val="2"/>
            <w:sz w:val="22"/>
            <w:szCs w:val="22"/>
            <w:lang w:eastAsia="es-ES"/>
            <w14:ligatures w14:val="standardContextual"/>
          </w:rPr>
          <w:tab/>
        </w:r>
        <w:r w:rsidR="00D27C15" w:rsidRPr="00D27C15">
          <w:rPr>
            <w:rStyle w:val="Hipervnculo"/>
            <w:rFonts w:cs="Times New Roman"/>
            <w:noProof/>
            <w:color w:val="auto"/>
            <w:lang w:val="en-US"/>
          </w:rPr>
          <w:t>Final estimated values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_Toc135731185 \h </w:instrText>
        </w:r>
        <w:r w:rsidR="00D27C15" w:rsidRPr="00D27C15">
          <w:rPr>
            <w:noProof/>
            <w:webHidden/>
            <w:color w:val="auto"/>
          </w:rPr>
        </w:r>
        <w:r w:rsidR="00D27C15" w:rsidRPr="00D27C15">
          <w:rPr>
            <w:noProof/>
            <w:webHidden/>
            <w:color w:val="auto"/>
          </w:rPr>
          <w:fldChar w:fldCharType="separate"/>
        </w:r>
        <w:r>
          <w:rPr>
            <w:noProof/>
            <w:webHidden/>
            <w:color w:val="auto"/>
          </w:rPr>
          <w:t>12</w:t>
        </w:r>
        <w:r w:rsidR="00D27C15" w:rsidRPr="00D27C15">
          <w:rPr>
            <w:noProof/>
            <w:webHidden/>
            <w:color w:val="auto"/>
          </w:rPr>
          <w:fldChar w:fldCharType="end"/>
        </w:r>
      </w:hyperlink>
    </w:p>
    <w:p w14:paraId="7699EEB1" w14:textId="0E775A78"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6" w:history="1">
        <w:r w:rsidR="00D27C15" w:rsidRPr="00D27C15">
          <w:rPr>
            <w:rStyle w:val="Hipervnculo"/>
            <w:rFonts w:cs="Times New Roman"/>
            <w:noProof/>
            <w:color w:val="auto"/>
            <w:lang w:val="en-US"/>
          </w:rPr>
          <w:t>C.</w:t>
        </w:r>
        <w:r w:rsidR="00D27C15" w:rsidRPr="00D27C15">
          <w:rPr>
            <w:rFonts w:eastAsiaTheme="minorEastAsia" w:cstheme="minorBidi"/>
            <w:smallCaps w:val="0"/>
            <w:noProof/>
            <w:color w:val="auto"/>
            <w:kern w:val="2"/>
            <w:sz w:val="22"/>
            <w:szCs w:val="22"/>
            <w:lang w:eastAsia="es-ES"/>
            <w14:ligatures w14:val="standardContextual"/>
          </w:rPr>
          <w:tab/>
        </w:r>
        <w:r w:rsidR="00D27C15" w:rsidRPr="00D27C15">
          <w:rPr>
            <w:rStyle w:val="Hipervnculo"/>
            <w:rFonts w:cs="Times New Roman"/>
            <w:noProof/>
            <w:color w:val="auto"/>
            <w:lang w:val="en-US"/>
          </w:rPr>
          <w:t>Sensitivity analysis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_Toc135731186 \h </w:instrText>
        </w:r>
        <w:r w:rsidR="00D27C15" w:rsidRPr="00D27C15">
          <w:rPr>
            <w:noProof/>
            <w:webHidden/>
            <w:color w:val="auto"/>
          </w:rPr>
        </w:r>
        <w:r w:rsidR="00D27C15" w:rsidRPr="00D27C15">
          <w:rPr>
            <w:noProof/>
            <w:webHidden/>
            <w:color w:val="auto"/>
          </w:rPr>
          <w:fldChar w:fldCharType="separate"/>
        </w:r>
        <w:r>
          <w:rPr>
            <w:noProof/>
            <w:webHidden/>
            <w:color w:val="auto"/>
          </w:rPr>
          <w:t>13</w:t>
        </w:r>
        <w:r w:rsidR="00D27C15" w:rsidRPr="00D27C15">
          <w:rPr>
            <w:noProof/>
            <w:webHidden/>
            <w:color w:val="auto"/>
          </w:rPr>
          <w:fldChar w:fldCharType="end"/>
        </w:r>
      </w:hyperlink>
    </w:p>
    <w:p w14:paraId="0A66F0AB" w14:textId="239E82BE" w:rsidR="00D27C15" w:rsidRPr="00D27C15" w:rsidRDefault="0035421E">
      <w:pPr>
        <w:pStyle w:val="TDC2"/>
        <w:rPr>
          <w:rFonts w:eastAsiaTheme="minorEastAsia" w:cstheme="minorBidi"/>
          <w:smallCaps w:val="0"/>
          <w:noProof/>
          <w:color w:val="auto"/>
          <w:kern w:val="2"/>
          <w:sz w:val="22"/>
          <w:szCs w:val="22"/>
          <w:lang w:eastAsia="es-ES"/>
          <w14:ligatures w14:val="standardContextual"/>
        </w:rPr>
      </w:pPr>
      <w:hyperlink w:anchor="_Toc135731187" w:history="1">
        <w:r w:rsidR="00D27C15" w:rsidRPr="00D27C15">
          <w:rPr>
            <w:rStyle w:val="Hipervnculo"/>
            <w:rFonts w:cs="Times New Roman"/>
            <w:noProof/>
            <w:color w:val="auto"/>
            <w:lang w:val="en-US"/>
          </w:rPr>
          <w:t>D.</w:t>
        </w:r>
        <w:r w:rsidR="00D27C15" w:rsidRPr="00D27C15">
          <w:rPr>
            <w:rFonts w:eastAsiaTheme="minorEastAsia" w:cstheme="minorBidi"/>
            <w:smallCaps w:val="0"/>
            <w:noProof/>
            <w:color w:val="auto"/>
            <w:kern w:val="2"/>
            <w:sz w:val="22"/>
            <w:szCs w:val="22"/>
            <w:lang w:eastAsia="es-ES"/>
            <w14:ligatures w14:val="standardContextual"/>
          </w:rPr>
          <w:tab/>
        </w:r>
        <w:r w:rsidR="00D27C15" w:rsidRPr="00D27C15">
          <w:rPr>
            <w:rStyle w:val="Hipervnculo"/>
            <w:rFonts w:cs="Times New Roman"/>
            <w:noProof/>
            <w:color w:val="auto"/>
            <w:lang w:val="en-US"/>
          </w:rPr>
          <w:t>Key differences between comparisons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_Toc135731187 \h </w:instrText>
        </w:r>
        <w:r w:rsidR="00D27C15" w:rsidRPr="00D27C15">
          <w:rPr>
            <w:noProof/>
            <w:webHidden/>
            <w:color w:val="auto"/>
          </w:rPr>
        </w:r>
        <w:r w:rsidR="00D27C15" w:rsidRPr="00D27C15">
          <w:rPr>
            <w:noProof/>
            <w:webHidden/>
            <w:color w:val="auto"/>
          </w:rPr>
          <w:fldChar w:fldCharType="separate"/>
        </w:r>
        <w:r>
          <w:rPr>
            <w:noProof/>
            <w:webHidden/>
            <w:color w:val="auto"/>
          </w:rPr>
          <w:t>14</w:t>
        </w:r>
        <w:r w:rsidR="00D27C15" w:rsidRPr="00D27C15">
          <w:rPr>
            <w:noProof/>
            <w:webHidden/>
            <w:color w:val="auto"/>
          </w:rPr>
          <w:fldChar w:fldCharType="end"/>
        </w:r>
      </w:hyperlink>
    </w:p>
    <w:p w14:paraId="2A2B870C" w14:textId="5D5B0C57" w:rsidR="00D27C15" w:rsidRPr="00D27C15" w:rsidRDefault="0035421E">
      <w:pPr>
        <w:pStyle w:val="TDC1"/>
        <w:rPr>
          <w:rFonts w:eastAsiaTheme="minorEastAsia" w:cstheme="minorBidi"/>
          <w:b w:val="0"/>
          <w:bCs w:val="0"/>
          <w:smallCaps w:val="0"/>
          <w:noProof/>
          <w:color w:val="auto"/>
          <w:kern w:val="2"/>
          <w:szCs w:val="22"/>
          <w:lang w:eastAsia="es-ES"/>
          <w14:ligatures w14:val="standardContextual"/>
        </w:rPr>
      </w:pPr>
      <w:hyperlink w:anchor="_Toc135731188" w:history="1">
        <w:r w:rsidR="00D27C15" w:rsidRPr="00D27C15">
          <w:rPr>
            <w:rStyle w:val="Hipervnculo"/>
            <w:noProof/>
            <w:color w:val="auto"/>
            <w:lang w:val="en-US"/>
          </w:rPr>
          <w:t>List of abbreviations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_Toc135731188 \h </w:instrText>
        </w:r>
        <w:r w:rsidR="00D27C15" w:rsidRPr="00D27C15">
          <w:rPr>
            <w:noProof/>
            <w:webHidden/>
            <w:color w:val="auto"/>
          </w:rPr>
        </w:r>
        <w:r w:rsidR="00D27C15" w:rsidRPr="00D27C15">
          <w:rPr>
            <w:noProof/>
            <w:webHidden/>
            <w:color w:val="auto"/>
          </w:rPr>
          <w:fldChar w:fldCharType="separate"/>
        </w:r>
        <w:r>
          <w:rPr>
            <w:noProof/>
            <w:webHidden/>
            <w:color w:val="auto"/>
          </w:rPr>
          <w:t>15</w:t>
        </w:r>
        <w:r w:rsidR="00D27C15" w:rsidRPr="00D27C15">
          <w:rPr>
            <w:noProof/>
            <w:webHidden/>
            <w:color w:val="auto"/>
          </w:rPr>
          <w:fldChar w:fldCharType="end"/>
        </w:r>
      </w:hyperlink>
    </w:p>
    <w:p w14:paraId="62E8904E" w14:textId="0174CCE3" w:rsidR="00D27C15" w:rsidRPr="00D27C15" w:rsidRDefault="0035421E">
      <w:pPr>
        <w:pStyle w:val="TDC1"/>
        <w:rPr>
          <w:rFonts w:eastAsiaTheme="minorEastAsia" w:cstheme="minorBidi"/>
          <w:b w:val="0"/>
          <w:bCs w:val="0"/>
          <w:smallCaps w:val="0"/>
          <w:noProof/>
          <w:color w:val="auto"/>
          <w:kern w:val="2"/>
          <w:szCs w:val="22"/>
          <w:lang w:eastAsia="es-ES"/>
          <w14:ligatures w14:val="standardContextual"/>
        </w:rPr>
      </w:pPr>
      <w:hyperlink w:anchor="_Toc135731189" w:history="1">
        <w:r w:rsidR="00D27C15" w:rsidRPr="00D27C15">
          <w:rPr>
            <w:rStyle w:val="Hipervnculo"/>
            <w:rFonts w:cs="Times New Roman"/>
            <w:noProof/>
            <w:color w:val="auto"/>
            <w:lang w:val="en-US"/>
          </w:rPr>
          <w:t>References</w:t>
        </w:r>
        <w:r w:rsidR="00D27C15" w:rsidRPr="00D27C15">
          <w:rPr>
            <w:noProof/>
            <w:webHidden/>
            <w:color w:val="auto"/>
          </w:rPr>
          <w:tab/>
        </w:r>
        <w:r w:rsidR="00D27C15" w:rsidRPr="00D27C15">
          <w:rPr>
            <w:noProof/>
            <w:webHidden/>
            <w:color w:val="auto"/>
          </w:rPr>
          <w:fldChar w:fldCharType="begin"/>
        </w:r>
        <w:r w:rsidR="00D27C15" w:rsidRPr="00D27C15">
          <w:rPr>
            <w:noProof/>
            <w:webHidden/>
            <w:color w:val="auto"/>
          </w:rPr>
          <w:instrText xml:space="preserve"> PAGEREF _Toc135731189 \h </w:instrText>
        </w:r>
        <w:r w:rsidR="00D27C15" w:rsidRPr="00D27C15">
          <w:rPr>
            <w:noProof/>
            <w:webHidden/>
            <w:color w:val="auto"/>
          </w:rPr>
        </w:r>
        <w:r w:rsidR="00D27C15" w:rsidRPr="00D27C15">
          <w:rPr>
            <w:noProof/>
            <w:webHidden/>
            <w:color w:val="auto"/>
          </w:rPr>
          <w:fldChar w:fldCharType="separate"/>
        </w:r>
        <w:r>
          <w:rPr>
            <w:noProof/>
            <w:webHidden/>
            <w:color w:val="auto"/>
          </w:rPr>
          <w:t>16</w:t>
        </w:r>
        <w:r w:rsidR="00D27C15" w:rsidRPr="00D27C15">
          <w:rPr>
            <w:noProof/>
            <w:webHidden/>
            <w:color w:val="auto"/>
          </w:rPr>
          <w:fldChar w:fldCharType="end"/>
        </w:r>
      </w:hyperlink>
    </w:p>
    <w:p w14:paraId="0F511ACB" w14:textId="0EF4DBFA" w:rsidR="00C0792A" w:rsidRPr="009648E6" w:rsidRDefault="009235AE" w:rsidP="007B73A4">
      <w:pPr>
        <w:spacing w:after="0" w:line="360" w:lineRule="auto"/>
        <w:rPr>
          <w:rFonts w:ascii="Times New Roman" w:hAnsi="Times New Roman" w:cs="Times New Roman"/>
          <w:sz w:val="24"/>
          <w:szCs w:val="24"/>
          <w:u w:val="single"/>
          <w:lang w:val="en-US"/>
        </w:rPr>
      </w:pPr>
      <w:r w:rsidRPr="00D27C15">
        <w:rPr>
          <w:rFonts w:ascii="Times New Roman" w:hAnsi="Times New Roman" w:cs="Times New Roman"/>
          <w:b/>
          <w:bCs/>
          <w:sz w:val="24"/>
          <w:szCs w:val="24"/>
          <w:u w:val="single"/>
          <w:lang w:val="en-US"/>
        </w:rPr>
        <w:fldChar w:fldCharType="end"/>
      </w:r>
      <w:r w:rsidR="00C0792A" w:rsidRPr="009648E6">
        <w:rPr>
          <w:rFonts w:ascii="Times New Roman" w:hAnsi="Times New Roman" w:cs="Times New Roman"/>
          <w:sz w:val="24"/>
          <w:szCs w:val="24"/>
          <w:u w:val="single"/>
          <w:lang w:val="en-US"/>
        </w:rPr>
        <w:br w:type="page"/>
      </w:r>
    </w:p>
    <w:p w14:paraId="3DBC6670" w14:textId="77777777" w:rsidR="00A442E9" w:rsidRPr="00B21236" w:rsidRDefault="006047C3">
      <w:pPr>
        <w:pStyle w:val="Ttulo1"/>
        <w:spacing w:line="360" w:lineRule="auto"/>
        <w:rPr>
          <w:rFonts w:cs="Times New Roman"/>
          <w:szCs w:val="28"/>
          <w:lang w:val="en-US"/>
        </w:rPr>
      </w:pPr>
      <w:bookmarkStart w:id="0" w:name="_Toc135731171"/>
      <w:r w:rsidRPr="00B21236">
        <w:rPr>
          <w:rFonts w:cs="Times New Roman"/>
          <w:szCs w:val="28"/>
          <w:lang w:val="en-US"/>
        </w:rPr>
        <w:lastRenderedPageBreak/>
        <w:t>Introduction</w:t>
      </w:r>
      <w:bookmarkEnd w:id="0"/>
    </w:p>
    <w:p w14:paraId="68CDBE47" w14:textId="573FC482" w:rsidR="00107034" w:rsidRDefault="001B26AE" w:rsidP="00E81BF0">
      <w:pPr>
        <w:spacing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comparison between nirsevimab and palivizumab was </w:t>
      </w:r>
      <w:r w:rsidR="006465F6">
        <w:rPr>
          <w:rFonts w:ascii="Times New Roman" w:hAnsi="Times New Roman" w:cs="Times New Roman"/>
          <w:sz w:val="24"/>
          <w:szCs w:val="24"/>
          <w:lang w:val="en-US"/>
        </w:rPr>
        <w:t xml:space="preserve">included </w:t>
      </w:r>
      <w:r>
        <w:rPr>
          <w:rFonts w:ascii="Times New Roman" w:hAnsi="Times New Roman" w:cs="Times New Roman"/>
          <w:sz w:val="24"/>
          <w:szCs w:val="24"/>
          <w:lang w:val="en-US"/>
        </w:rPr>
        <w:t xml:space="preserve">as part of </w:t>
      </w:r>
      <w:r w:rsidR="007B3D61">
        <w:rPr>
          <w:rFonts w:ascii="Times New Roman" w:hAnsi="Times New Roman" w:cs="Times New Roman"/>
          <w:sz w:val="24"/>
          <w:szCs w:val="24"/>
          <w:lang w:val="en-US"/>
        </w:rPr>
        <w:t xml:space="preserve">the sensitivity analysis done in this </w:t>
      </w:r>
      <w:r>
        <w:rPr>
          <w:rFonts w:ascii="Times New Roman" w:hAnsi="Times New Roman" w:cs="Times New Roman"/>
          <w:sz w:val="24"/>
          <w:szCs w:val="24"/>
          <w:lang w:val="en-US"/>
        </w:rPr>
        <w:t xml:space="preserve">MCDA in RSV. The main manuscript reports on the results of nirsevimab and placebo only. </w:t>
      </w:r>
      <w:r w:rsidR="007572C2">
        <w:rPr>
          <w:rFonts w:ascii="Times New Roman" w:hAnsi="Times New Roman" w:cs="Times New Roman"/>
          <w:sz w:val="24"/>
          <w:szCs w:val="24"/>
          <w:lang w:val="en-US"/>
        </w:rPr>
        <w:t xml:space="preserve">Usually, </w:t>
      </w:r>
      <w:r w:rsidR="00F348C0">
        <w:rPr>
          <w:rFonts w:ascii="Times New Roman" w:hAnsi="Times New Roman" w:cs="Times New Roman"/>
          <w:sz w:val="24"/>
          <w:szCs w:val="24"/>
          <w:lang w:val="en-US"/>
        </w:rPr>
        <w:t xml:space="preserve">almost 60% of selective reporting is done because of two reasons, which are to focus on preferred findings and </w:t>
      </w:r>
      <w:r w:rsidR="0098739D">
        <w:rPr>
          <w:rFonts w:ascii="Times New Roman" w:hAnsi="Times New Roman" w:cs="Times New Roman"/>
          <w:sz w:val="24"/>
          <w:szCs w:val="24"/>
          <w:lang w:val="en-US"/>
        </w:rPr>
        <w:t>poor or flexible research design</w:t>
      </w:r>
      <w:r w:rsidR="00B004CC">
        <w:rPr>
          <w:rFonts w:ascii="Times New Roman" w:hAnsi="Times New Roman" w:cs="Times New Roman"/>
          <w:sz w:val="24"/>
          <w:szCs w:val="24"/>
          <w:lang w:val="en-US"/>
        </w:rPr>
        <w:t xml:space="preserve"> </w:t>
      </w:r>
      <w:r w:rsidR="00FF2E9A">
        <w:rPr>
          <w:rFonts w:ascii="Times New Roman" w:hAnsi="Times New Roman" w:cs="Times New Roman"/>
          <w:sz w:val="24"/>
          <w:szCs w:val="24"/>
          <w:lang w:val="en-US"/>
        </w:rPr>
        <w:fldChar w:fldCharType="begin"/>
      </w:r>
      <w:r w:rsidR="00FF2E9A">
        <w:rPr>
          <w:rFonts w:ascii="Times New Roman" w:hAnsi="Times New Roman" w:cs="Times New Roman"/>
          <w:sz w:val="24"/>
          <w:szCs w:val="24"/>
          <w:lang w:val="en-US"/>
        </w:rPr>
        <w:instrText xml:space="preserve"> ADDIN ZOTERO_ITEM CSL_CITATION {"citationID":"TeHBjtpx","properties":{"formattedCitation":"[1]","plainCitation":"[1]","noteIndex":0},"citationItems":[{"id":80640,"uris":["http://zotero.org/groups/337550/items/MI8ZC36E"],"itemData":{"id":80640,"type":"article-journal","abstract":"Background Selective reporting is wasteful, leads to bias in the published record and harms the credibility of science. Studies on potential determinants of selective reporting currently lack a shared taxonomy and a causal framework. Objective To develop a taxonomy of determinants of selective reporting in science. Design Inductive qualitative content analysis of a random selection of the pertinent literature including empirical research and theoretical reflections. Methods Using search terms for bias and selection combined with terms for reporting and publication, we systematically searched the PubMed, Embase, PsycINFO and Web of Science databases up to January 8, 2015. Of the 918 articles identified, we screened a 25 percent random selection. From eligible articles, we extracted phrases that mentioned putative or possible determinants of selective reporting, which we used to create meaningful categories. We stopped when no new categories emerged in the most recently analyzed articles (saturation). Results Saturation was reached after analyzing 64 articles. We identified 497 putative determinants, of which 145 (29%) were supported by empirical findings. The determinants represented 12 categories (leaving 3% unspecified): focus on preferred findings (36%), poor or overly flexible research design (22%), high-risk area and its development (8%), dependence upon sponsors (8%), prejudice (7%), lack of resources including time (3%), doubts about reporting being worth the effort (3%), limitations in reporting and editorial practices (3%), academic publication system hurdles (3%), unfavorable geographical and regulatory environment (2%), relationship and collaboration issues (2%), and potential harm (0.4%). Conclusions We designed a taxonomy of putative determinants of selective reporting consisting of 12 categories. The taxonomy may help develop theory about causes of selection bias and guide policies to prevent selective reporting.","container-title":"PLOS ONE","DOI":"10.1371/journal.pone.0188247","ISSN":"1932-6203","issue":"2","journalAbbreviation":"PLOS ONE","language":"en","note":"publisher: Public Library of Science","page":"e0188247","source":"PLoS Journals","title":"Determinants of selective reporting: A taxonomy based on content analysis of a random selection of the literature","title-short":"Determinants of selective reporting","volume":"13","author":[{"family":"Steen","given":"Jenny T.","dropping-particle":"van der"},{"family":"Bogert","given":"Cornelis A.","dropping-particle":"van den"},{"family":"Soest-Poortvliet","given":"Mirjam C.","dropping-particle":"van"},{"family":"Farsani","given":"Soulmaz Fazeli"},{"family":"Otten","given":"René H. J."},{"family":"Riet","given":"Gerben","dropping-particle":"ter"},{"family":"Bouter","given":"Lex M."}],"issued":{"date-parts":[["2018"]]}}}],"schema":"https://github.com/citation-style-language/schema/raw/master/csl-citation.json"} </w:instrText>
      </w:r>
      <w:r w:rsidR="00FF2E9A">
        <w:rPr>
          <w:rFonts w:ascii="Times New Roman" w:hAnsi="Times New Roman" w:cs="Times New Roman"/>
          <w:sz w:val="24"/>
          <w:szCs w:val="24"/>
          <w:lang w:val="en-US"/>
        </w:rPr>
        <w:fldChar w:fldCharType="separate"/>
      </w:r>
      <w:r w:rsidR="00FF2E9A" w:rsidRPr="00E36543">
        <w:rPr>
          <w:rFonts w:ascii="Times New Roman" w:hAnsi="Times New Roman" w:cs="Times New Roman"/>
          <w:sz w:val="24"/>
          <w:lang w:val="en-US"/>
        </w:rPr>
        <w:t>[1]</w:t>
      </w:r>
      <w:r w:rsidR="00FF2E9A">
        <w:rPr>
          <w:rFonts w:ascii="Times New Roman" w:hAnsi="Times New Roman" w:cs="Times New Roman"/>
          <w:sz w:val="24"/>
          <w:szCs w:val="24"/>
          <w:lang w:val="en-US"/>
        </w:rPr>
        <w:fldChar w:fldCharType="end"/>
      </w:r>
      <w:r w:rsidR="0098739D">
        <w:rPr>
          <w:rFonts w:ascii="Times New Roman" w:hAnsi="Times New Roman" w:cs="Times New Roman"/>
          <w:sz w:val="24"/>
          <w:szCs w:val="24"/>
          <w:lang w:val="en-US"/>
        </w:rPr>
        <w:t xml:space="preserve">. </w:t>
      </w:r>
      <w:r w:rsidR="00B004CC">
        <w:rPr>
          <w:rFonts w:ascii="Times New Roman" w:hAnsi="Times New Roman" w:cs="Times New Roman"/>
          <w:sz w:val="24"/>
          <w:szCs w:val="24"/>
          <w:lang w:val="en-US"/>
        </w:rPr>
        <w:t xml:space="preserve">This is not the case of this MCDA, as the results between both </w:t>
      </w:r>
      <w:r w:rsidR="00CD61DC">
        <w:rPr>
          <w:rFonts w:ascii="Times New Roman" w:hAnsi="Times New Roman" w:cs="Times New Roman"/>
          <w:sz w:val="24"/>
          <w:szCs w:val="24"/>
          <w:lang w:val="en-US"/>
        </w:rPr>
        <w:t>comparisons</w:t>
      </w:r>
      <w:r w:rsidR="00B004CC">
        <w:rPr>
          <w:rFonts w:ascii="Times New Roman" w:hAnsi="Times New Roman" w:cs="Times New Roman"/>
          <w:sz w:val="24"/>
          <w:szCs w:val="24"/>
          <w:lang w:val="en-US"/>
        </w:rPr>
        <w:t xml:space="preserve"> were very similar, and the s</w:t>
      </w:r>
      <w:r w:rsidR="00CD61DC">
        <w:rPr>
          <w:rFonts w:ascii="Times New Roman" w:hAnsi="Times New Roman" w:cs="Times New Roman"/>
          <w:sz w:val="24"/>
          <w:szCs w:val="24"/>
          <w:lang w:val="en-US"/>
        </w:rPr>
        <w:t xml:space="preserve">tudy design was the same. </w:t>
      </w:r>
      <w:r>
        <w:rPr>
          <w:rFonts w:ascii="Times New Roman" w:hAnsi="Times New Roman" w:cs="Times New Roman"/>
          <w:sz w:val="24"/>
          <w:szCs w:val="24"/>
          <w:lang w:val="en-US"/>
        </w:rPr>
        <w:t xml:space="preserve">The selective reporting </w:t>
      </w:r>
      <w:r w:rsidR="00A214C3">
        <w:rPr>
          <w:rFonts w:ascii="Times New Roman" w:hAnsi="Times New Roman" w:cs="Times New Roman"/>
          <w:sz w:val="24"/>
          <w:szCs w:val="24"/>
          <w:lang w:val="en-US"/>
        </w:rPr>
        <w:t xml:space="preserve">(inclusion of the comparison between nirsevimab and palivizumab as sensitivity analysis) </w:t>
      </w:r>
      <w:r w:rsidR="00CD61DC">
        <w:rPr>
          <w:rFonts w:ascii="Times New Roman" w:hAnsi="Times New Roman" w:cs="Times New Roman"/>
          <w:sz w:val="24"/>
          <w:szCs w:val="24"/>
          <w:lang w:val="en-US"/>
        </w:rPr>
        <w:t xml:space="preserve">of the current MCDA </w:t>
      </w:r>
      <w:r>
        <w:rPr>
          <w:rFonts w:ascii="Times New Roman" w:hAnsi="Times New Roman" w:cs="Times New Roman"/>
          <w:sz w:val="24"/>
          <w:szCs w:val="24"/>
          <w:lang w:val="en-US"/>
        </w:rPr>
        <w:t xml:space="preserve">is justified by </w:t>
      </w:r>
      <w:r w:rsidR="004D667E">
        <w:rPr>
          <w:rFonts w:ascii="Times New Roman" w:hAnsi="Times New Roman" w:cs="Times New Roman"/>
          <w:sz w:val="24"/>
          <w:szCs w:val="24"/>
          <w:lang w:val="en-US"/>
        </w:rPr>
        <w:t>three key</w:t>
      </w:r>
      <w:r>
        <w:rPr>
          <w:rFonts w:ascii="Times New Roman" w:hAnsi="Times New Roman" w:cs="Times New Roman"/>
          <w:sz w:val="24"/>
          <w:szCs w:val="24"/>
          <w:lang w:val="en-US"/>
        </w:rPr>
        <w:t xml:space="preserve"> reasons</w:t>
      </w:r>
      <w:r w:rsidR="00492842">
        <w:rPr>
          <w:rFonts w:ascii="Times New Roman" w:hAnsi="Times New Roman" w:cs="Times New Roman"/>
          <w:sz w:val="24"/>
          <w:szCs w:val="24"/>
          <w:lang w:val="en-US"/>
        </w:rPr>
        <w:t>, which are described below</w:t>
      </w:r>
      <w:r>
        <w:rPr>
          <w:rFonts w:ascii="Times New Roman" w:hAnsi="Times New Roman" w:cs="Times New Roman"/>
          <w:sz w:val="24"/>
          <w:szCs w:val="24"/>
          <w:lang w:val="en-US"/>
        </w:rPr>
        <w:t xml:space="preserve">. </w:t>
      </w:r>
    </w:p>
    <w:p w14:paraId="52756FC8" w14:textId="5AE33B6B" w:rsidR="00172F48" w:rsidRDefault="001B26AE" w:rsidP="002F570A">
      <w:pPr>
        <w:spacing w:after="120" w:line="360" w:lineRule="auto"/>
        <w:jc w:val="both"/>
        <w:rPr>
          <w:rFonts w:ascii="Times New Roman" w:hAnsi="Times New Roman" w:cs="Times New Roman"/>
          <w:color w:val="000000"/>
          <w:sz w:val="24"/>
          <w:szCs w:val="24"/>
          <w:lang w:val="en-US"/>
        </w:rPr>
      </w:pPr>
      <w:r>
        <w:rPr>
          <w:rFonts w:ascii="Times New Roman" w:hAnsi="Times New Roman" w:cs="Times New Roman"/>
          <w:sz w:val="24"/>
          <w:szCs w:val="24"/>
          <w:lang w:val="en-US"/>
        </w:rPr>
        <w:t>Firstly, and foremostly, because the comparison between nirsevimab and placebo is the one which best reflects current standard of care in Spain. Nirsevimab h</w:t>
      </w:r>
      <w:r w:rsidRPr="007439A0">
        <w:rPr>
          <w:rFonts w:ascii="Times New Roman" w:hAnsi="Times New Roman" w:cs="Times New Roman"/>
          <w:sz w:val="24"/>
          <w:szCs w:val="24"/>
          <w:lang w:val="en-US"/>
        </w:rPr>
        <w:t xml:space="preserve">as been authorized by the European Medicines Agency (EMA) for the prevention of RSV lower respiratory tract disease in </w:t>
      </w:r>
      <w:r w:rsidR="0068752F" w:rsidRPr="0068752F">
        <w:rPr>
          <w:rFonts w:ascii="Times New Roman" w:hAnsi="Times New Roman" w:cs="Times New Roman"/>
          <w:sz w:val="24"/>
          <w:szCs w:val="24"/>
          <w:lang w:val="en-US"/>
        </w:rPr>
        <w:t>neonates and infants during their first RSV season</w:t>
      </w:r>
      <w:r>
        <w:rPr>
          <w:rFonts w:ascii="Times New Roman" w:hAnsi="Times New Roman" w:cs="Times New Roman"/>
          <w:sz w:val="24"/>
          <w:szCs w:val="24"/>
          <w:lang w:val="en-US"/>
        </w:rPr>
        <w:t xml:space="preserve">, whilst palivizumab is only indicated </w:t>
      </w:r>
      <w:r w:rsidRPr="00BD6DC4">
        <w:rPr>
          <w:rFonts w:ascii="Times New Roman" w:hAnsi="Times New Roman" w:cs="Times New Roman"/>
          <w:sz w:val="24"/>
          <w:szCs w:val="24"/>
          <w:lang w:val="en-US"/>
        </w:rPr>
        <w:t>for the prevention of serious lower respiratory tract disease requiring hospitalization caused by RSV in children at high risk for RSV disease</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sidR="00FF2E9A">
        <w:rPr>
          <w:rFonts w:ascii="Times New Roman" w:hAnsi="Times New Roman" w:cs="Times New Roman"/>
          <w:sz w:val="24"/>
          <w:szCs w:val="24"/>
          <w:lang w:val="en-US"/>
        </w:rPr>
        <w:instrText xml:space="preserve"> ADDIN ZOTERO_ITEM CSL_CITATION {"citationID":"aeMIp0kr","properties":{"formattedCitation":"[2,3]","plainCitation":"[2,3]","noteIndex":0},"citationItems":[{"id":76717,"uris":["http://zotero.org/groups/337550/items/2VCBNGWV"],"itemData":{"id":76717,"type":"webpage","abstract":"Beyfortus","container-title":"European Medicines Agency","genre":"Text","language":"en","title":"Beyfortus marketing authorisation","URL":"https://www.ema.europa.eu/en/medicines/human/EPAR/beyfortus","author":[{"family":"EMA","given":""}],"issued":{"date-parts":[["2022"]]}}},{"id":73414,"uris":["http://zotero.org/groups/337550/items/7QGDUHKZ"],"itemData":{"id":73414,"type":"post-weblog","abstract":"Synagis","container-title":"European Medicines Agency","genre":"Text","language":"en","title":"Authorisation details of palivizumab (Synagis®)","URL":"https://www.ema.europa.eu/en/medicines/human/EPAR/synagis","author":[{"family":"EMA","given":""}],"accessed":{"date-parts":[["2022",10,25]]},"issued":{"date-parts":[["1999"]]}}}],"schema":"https://github.com/citation-style-language/schema/raw/master/csl-citation.json"} </w:instrText>
      </w:r>
      <w:r>
        <w:rPr>
          <w:rFonts w:ascii="Times New Roman" w:hAnsi="Times New Roman" w:cs="Times New Roman"/>
          <w:sz w:val="24"/>
          <w:szCs w:val="24"/>
          <w:lang w:val="en-US"/>
        </w:rPr>
        <w:fldChar w:fldCharType="separate"/>
      </w:r>
      <w:r w:rsidR="00FF2E9A" w:rsidRPr="008E369C">
        <w:rPr>
          <w:rFonts w:ascii="Times New Roman" w:hAnsi="Times New Roman" w:cs="Times New Roman"/>
          <w:sz w:val="24"/>
          <w:lang w:val="en-US"/>
        </w:rPr>
        <w:t>[2,3]</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r w:rsidR="00107034" w:rsidRPr="00220FFE">
        <w:rPr>
          <w:rFonts w:ascii="Times New Roman" w:hAnsi="Times New Roman" w:cs="Times New Roman"/>
          <w:color w:val="000000"/>
          <w:sz w:val="24"/>
          <w:szCs w:val="24"/>
          <w:lang w:val="en-US"/>
        </w:rPr>
        <w:t xml:space="preserve">The proportion of the population for whom </w:t>
      </w:r>
      <w:r w:rsidR="00471285" w:rsidRPr="00220FFE">
        <w:rPr>
          <w:rFonts w:ascii="Times New Roman" w:hAnsi="Times New Roman" w:cs="Times New Roman"/>
          <w:color w:val="000000"/>
          <w:sz w:val="24"/>
          <w:szCs w:val="24"/>
          <w:lang w:val="en-US"/>
        </w:rPr>
        <w:t xml:space="preserve">palivizumab </w:t>
      </w:r>
      <w:r w:rsidR="00107034" w:rsidRPr="00220FFE">
        <w:rPr>
          <w:rFonts w:ascii="Times New Roman" w:hAnsi="Times New Roman" w:cs="Times New Roman"/>
          <w:color w:val="000000"/>
          <w:sz w:val="24"/>
          <w:szCs w:val="24"/>
          <w:lang w:val="en-US"/>
        </w:rPr>
        <w:t xml:space="preserve">is indicated is 4.7%, but the </w:t>
      </w:r>
      <w:r w:rsidR="00471285" w:rsidRPr="00220FFE">
        <w:rPr>
          <w:rFonts w:ascii="Times New Roman" w:hAnsi="Times New Roman" w:cs="Times New Roman"/>
          <w:color w:val="000000"/>
          <w:sz w:val="24"/>
          <w:szCs w:val="24"/>
          <w:lang w:val="en-US"/>
        </w:rPr>
        <w:t xml:space="preserve">actual </w:t>
      </w:r>
      <w:r w:rsidR="00107034" w:rsidRPr="00220FFE">
        <w:rPr>
          <w:rFonts w:ascii="Times New Roman" w:hAnsi="Times New Roman" w:cs="Times New Roman"/>
          <w:color w:val="000000"/>
          <w:sz w:val="24"/>
          <w:szCs w:val="24"/>
          <w:lang w:val="en-US"/>
        </w:rPr>
        <w:t>proportion of the population to whom such a preventive measure is administered is 1.4%</w:t>
      </w:r>
      <w:r w:rsidR="00A54791" w:rsidRPr="00220FFE">
        <w:rPr>
          <w:rFonts w:ascii="Times New Roman" w:hAnsi="Times New Roman" w:cs="Times New Roman"/>
          <w:color w:val="000000"/>
          <w:sz w:val="24"/>
          <w:szCs w:val="24"/>
          <w:lang w:val="en-US"/>
        </w:rPr>
        <w:t xml:space="preserve"> </w:t>
      </w:r>
      <w:r w:rsidR="00107034" w:rsidRPr="00220FFE">
        <w:rPr>
          <w:rFonts w:ascii="Times New Roman" w:hAnsi="Times New Roman" w:cs="Times New Roman"/>
          <w:color w:val="000000"/>
          <w:sz w:val="24"/>
          <w:szCs w:val="24"/>
          <w:lang w:val="en-US"/>
        </w:rPr>
        <w:fldChar w:fldCharType="begin"/>
      </w:r>
      <w:r w:rsidR="00FF2E9A" w:rsidRPr="00220FFE">
        <w:rPr>
          <w:rFonts w:ascii="Times New Roman" w:hAnsi="Times New Roman" w:cs="Times New Roman"/>
          <w:color w:val="000000"/>
          <w:sz w:val="24"/>
          <w:szCs w:val="24"/>
          <w:lang w:val="en-US"/>
        </w:rPr>
        <w:instrText xml:space="preserve"> ADDIN ZOTERO_ITEM CSL_CITATION {"citationID":"mXrEZHTW","properties":{"formattedCitation":"[4,5]","plainCitation":"[4,5]","noteIndex":0},"citationItems":[{"id":67002,"uris":["http://zotero.org/groups/337550/items/E5QKJ22I"],"itemData":{"id":67002,"type":"article-journal","language":"ca","page":"32","source":"Zotero","title":"Recomanacions d’ús de palivizumab per a la prevenció de les hospitalitzacions per infecció greu per virus sincític respiratori","author":[{"family":"Agència d'informació, Avaluació i Qualitat en Salut","given":""}],"issued":{"date-parts":[["2012"]]}}},{"id":69245,"uris":["http://zotero.org/groups/337550/items/TQR3DIEA"],"itemData":{"id":69245,"type":"article-journal","container-title":"ESPID, Athens, 9-13th May","title":"Modeled impact of Nirsevimab against respiratory syncytial virus (RSV) AMONG Spanish infants experiencing their first RSV season [oral presentation O024 / #1329].","URL":"https://keneswp.azureedge.net/wp-content/uploads/sites/162/2022/05/ESPID22-Abstracts-Book.pdf","author":[{"family":"Drago","given":"G"},{"family":"Roiz","given":"J"},{"family":"Kazmierska","given":"Paulina"},{"family":"De Boisvilliers","given":"Solene"},{"family":"Álvarez","given":"Javier"},{"family":"Gil-Prieto","given":"Ruth"},{"family":"Perez-Martin","given":"Jaime"},{"family":"López-Belmonte","given":"Juan Luis"}],"issued":{"date-parts":[["2022"]]}}}],"schema":"https://github.com/citation-style-language/schema/raw/master/csl-citation.json"} </w:instrText>
      </w:r>
      <w:r w:rsidR="00107034" w:rsidRPr="00220FFE">
        <w:rPr>
          <w:rFonts w:ascii="Times New Roman" w:hAnsi="Times New Roman" w:cs="Times New Roman"/>
          <w:color w:val="000000"/>
          <w:sz w:val="24"/>
          <w:szCs w:val="24"/>
          <w:lang w:val="en-US"/>
        </w:rPr>
        <w:fldChar w:fldCharType="separate"/>
      </w:r>
      <w:r w:rsidR="00FF2E9A" w:rsidRPr="00220FFE">
        <w:rPr>
          <w:rFonts w:ascii="Times New Roman" w:hAnsi="Times New Roman" w:cs="Times New Roman"/>
          <w:sz w:val="24"/>
          <w:lang w:val="en-US"/>
        </w:rPr>
        <w:t>[4,5]</w:t>
      </w:r>
      <w:r w:rsidR="00107034" w:rsidRPr="00220FFE">
        <w:rPr>
          <w:rFonts w:ascii="Times New Roman" w:hAnsi="Times New Roman" w:cs="Times New Roman"/>
          <w:color w:val="000000"/>
          <w:sz w:val="24"/>
          <w:szCs w:val="24"/>
          <w:lang w:val="en-US"/>
        </w:rPr>
        <w:fldChar w:fldCharType="end"/>
      </w:r>
      <w:r w:rsidR="00A54791" w:rsidRPr="00220FFE">
        <w:rPr>
          <w:rFonts w:ascii="Times New Roman" w:hAnsi="Times New Roman" w:cs="Times New Roman"/>
          <w:color w:val="000000"/>
          <w:sz w:val="24"/>
          <w:szCs w:val="24"/>
          <w:lang w:val="en-US"/>
        </w:rPr>
        <w:t>.</w:t>
      </w:r>
      <w:r w:rsidR="002F570A">
        <w:rPr>
          <w:rFonts w:ascii="Times New Roman" w:hAnsi="Times New Roman" w:cs="Times New Roman"/>
          <w:color w:val="000000"/>
          <w:sz w:val="24"/>
          <w:szCs w:val="24"/>
          <w:lang w:val="en-US"/>
        </w:rPr>
        <w:t xml:space="preserve"> </w:t>
      </w:r>
    </w:p>
    <w:p w14:paraId="15915B5D" w14:textId="510B2D0A" w:rsidR="00172F48" w:rsidRDefault="00CB39D9" w:rsidP="002F570A">
      <w:pPr>
        <w:spacing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Second</w:t>
      </w:r>
      <w:r w:rsidR="00890D0C">
        <w:rPr>
          <w:rFonts w:ascii="Times New Roman" w:hAnsi="Times New Roman" w:cs="Times New Roman"/>
          <w:sz w:val="24"/>
          <w:szCs w:val="24"/>
          <w:lang w:val="en-US"/>
        </w:rPr>
        <w:t xml:space="preserve">ly, </w:t>
      </w:r>
      <w:r w:rsidR="00D115ED">
        <w:rPr>
          <w:rFonts w:ascii="Times New Roman" w:hAnsi="Times New Roman" w:cs="Times New Roman"/>
          <w:sz w:val="24"/>
          <w:szCs w:val="24"/>
          <w:lang w:val="en-US"/>
        </w:rPr>
        <w:t>the comparison between nirsevimab and palivizumab was more comple</w:t>
      </w:r>
      <w:r w:rsidR="005C6B0A">
        <w:rPr>
          <w:rFonts w:ascii="Times New Roman" w:hAnsi="Times New Roman" w:cs="Times New Roman"/>
          <w:sz w:val="24"/>
          <w:szCs w:val="24"/>
          <w:lang w:val="en-US"/>
        </w:rPr>
        <w:t xml:space="preserve">x as it was </w:t>
      </w:r>
      <w:r w:rsidR="00C713EE">
        <w:rPr>
          <w:rFonts w:ascii="Times New Roman" w:hAnsi="Times New Roman" w:cs="Times New Roman"/>
          <w:sz w:val="24"/>
          <w:szCs w:val="24"/>
          <w:lang w:val="en-US"/>
        </w:rPr>
        <w:t>mainly</w:t>
      </w:r>
      <w:r w:rsidR="005C6B0A">
        <w:rPr>
          <w:rFonts w:ascii="Times New Roman" w:hAnsi="Times New Roman" w:cs="Times New Roman"/>
          <w:sz w:val="24"/>
          <w:szCs w:val="24"/>
          <w:lang w:val="en-US"/>
        </w:rPr>
        <w:t xml:space="preserve"> based on indirect evidence</w:t>
      </w:r>
      <w:r w:rsidR="007816C0">
        <w:rPr>
          <w:rFonts w:ascii="Times New Roman" w:hAnsi="Times New Roman" w:cs="Times New Roman"/>
          <w:sz w:val="24"/>
          <w:szCs w:val="24"/>
          <w:lang w:val="en-US"/>
        </w:rPr>
        <w:t>.</w:t>
      </w:r>
      <w:r w:rsidR="005C6B0A">
        <w:rPr>
          <w:rFonts w:ascii="Times New Roman" w:hAnsi="Times New Roman" w:cs="Times New Roman"/>
          <w:sz w:val="24"/>
          <w:szCs w:val="24"/>
          <w:lang w:val="en-US"/>
        </w:rPr>
        <w:t xml:space="preserve"> </w:t>
      </w:r>
      <w:r w:rsidR="007C61AE">
        <w:rPr>
          <w:rFonts w:ascii="Times New Roman" w:hAnsi="Times New Roman" w:cs="Times New Roman"/>
          <w:sz w:val="24"/>
          <w:szCs w:val="24"/>
          <w:lang w:val="en-US"/>
        </w:rPr>
        <w:t xml:space="preserve">Clinical trials of nirsevimab </w:t>
      </w:r>
      <w:r w:rsidR="00D068E6">
        <w:rPr>
          <w:rFonts w:ascii="Times New Roman" w:hAnsi="Times New Roman" w:cs="Times New Roman"/>
          <w:sz w:val="24"/>
          <w:szCs w:val="24"/>
          <w:lang w:val="en-US"/>
        </w:rPr>
        <w:t xml:space="preserve">mostly used placebo as the </w:t>
      </w:r>
      <w:r w:rsidR="00C713EE">
        <w:rPr>
          <w:rFonts w:ascii="Times New Roman" w:hAnsi="Times New Roman" w:cs="Times New Roman"/>
          <w:sz w:val="24"/>
          <w:szCs w:val="24"/>
          <w:lang w:val="en-US"/>
        </w:rPr>
        <w:t>comparator and</w:t>
      </w:r>
      <w:r w:rsidR="00D068E6">
        <w:rPr>
          <w:rFonts w:ascii="Times New Roman" w:hAnsi="Times New Roman" w:cs="Times New Roman"/>
          <w:sz w:val="24"/>
          <w:szCs w:val="24"/>
          <w:lang w:val="en-US"/>
        </w:rPr>
        <w:t xml:space="preserve"> focused </w:t>
      </w:r>
      <w:r w:rsidR="00963C11">
        <w:rPr>
          <w:rFonts w:ascii="Times New Roman" w:hAnsi="Times New Roman" w:cs="Times New Roman"/>
          <w:sz w:val="24"/>
          <w:szCs w:val="24"/>
          <w:lang w:val="en-US"/>
        </w:rPr>
        <w:t>on a much broader population than the palivizumab clinical trials</w:t>
      </w:r>
      <w:r w:rsidR="00BC3A86">
        <w:rPr>
          <w:rFonts w:ascii="Times New Roman" w:hAnsi="Times New Roman" w:cs="Times New Roman"/>
          <w:sz w:val="24"/>
          <w:szCs w:val="24"/>
          <w:lang w:val="en-US"/>
        </w:rPr>
        <w:t xml:space="preserve"> </w:t>
      </w:r>
      <w:r w:rsidR="00BC3A86">
        <w:rPr>
          <w:rFonts w:ascii="Times New Roman" w:hAnsi="Times New Roman" w:cs="Times New Roman"/>
          <w:sz w:val="24"/>
          <w:szCs w:val="24"/>
          <w:lang w:val="en-US"/>
        </w:rPr>
        <w:fldChar w:fldCharType="begin"/>
      </w:r>
      <w:r w:rsidR="00874409">
        <w:rPr>
          <w:rFonts w:ascii="Times New Roman" w:hAnsi="Times New Roman" w:cs="Times New Roman"/>
          <w:sz w:val="24"/>
          <w:szCs w:val="24"/>
          <w:lang w:val="en-US"/>
        </w:rPr>
        <w:instrText xml:space="preserve"> ADDIN ZOTERO_ITEM CSL_CITATION {"citationID":"tu5eyejt","properties":{"formattedCitation":"[6\\uc0\\u8211{}12]","plainCitation":"[6–12]","noteIndex":0},"citationItems":[{"id":66947,"uris":["http://zotero.org/groups/337550/items/XKYAI45D"],"itemData":{"id":66947,"type":"article-journal","abstract":"OBJECTIVE: To determine the safety and efficacy of prophylaxis with palivizumab in reducing the incidence of hospitalization because of respiratory syncytial virus (RSV) infection in high-risk infants.\nMETHODS: A randomized, double-blind, placebo-controlled trial was conducted at 139 centers in the United States, the United Kingdom, and Canada. During the 1996 to 1997 RSV season, 1502 children with prematurity (less than or equal to 35 weeks) or bronchopulmonary dysplasia (BPD) were randomized to receive 5 injections of either palivizumab (15 mg/kg) or an equivalent volume of placebo by intramuscular injection every 30 days. The primary endpoint was hospitalization with confirmed RSV infection. Children were followed for 150 days (30 days from the last injection). Those with hospitalization as a result of RSV infection were evaluated for total number of days in the hospital, total days with increased supplemental oxygen, total days with moderate or severe lower respiratory tract illness, and incidence and total days of intensive care and mechanical ventilation. The incidence of hospitalization for respiratory illness not caused by RSV and the incidence of otitis media were also evaluated. The placebo and palivizumab groups were balanced at entry for demographics and RSV risk factors. Ninety-nine percent of children in both groups completed the protocol and approximately 93% received all five scheduled injections.\nRESULTS: Palivizumab prophylaxis resulted in a 55% reduction in hospitalization as a result of RSV (10.6% placebo vs 4.8% palivizumab). Children with prematurity but without BPD had a 78% reduction in RSV hospitalization (8.1% vs 1.8%); children with BPD had a 39% reduction (12.8% vs 7.9%). When gender, entry age, entry weight, BPD, and gestational age were included in a logistic regression model, the effect of prophylaxis with palivizumab remained statistically significant. The palivizumab group had proportionally fewer total RSV hospital days, fewer RSV hospital days with increased oxygen, fewer RSV hospital days with a moderate/severe lower respiratory tract illness, and a lower incidence of intensive care unit admission. Palivizumab was safe and well tolerated. No significant differences were observed in reported adverse events between the two groups. Few children discontinued injections for related adverse events (0.3%). Reactions at the site of injection were uncommon (1.8% placebo vs 2.7% palivizumab); the most frequent reaction was mild and transient erythema. Mild or moderate elevations of aspartate aminotransferase occurred in 1.6% of placebo recipients and 3.6% of palivizumab recipients; for alanine aminotransferase these percentages were 2.0% and 2.3%, respectively. Hepatic and renal adverse events related to the study drug were similar in the two groups.\nCONCLUSIONS: Monthly intramuscular administration of palivizumab is safe and effective for prevention of serious RSV illness in premature children and those with BPD.","container-title":"Pediatrics","ISSN":"0031-4005","issue":"3 Pt 1","journalAbbreviation":"Pediatrics","language":"eng","note":"PMID: 9738173","page":"531-537","source":"PubMed","title":"Palivizumab, a humanized respiratory syncytial virus monoclonal antibody, reduces hospitalization from respiratory syncytial virus infection in high-risk infants. The IMpact-RSV Study Group","volume":"102","author":[{"literal":"IMpact-RSV Study Group"}],"issued":{"date-parts":[["1998"]]}}},{"id":69076,"uris":["http://zotero.org/groups/337550/items/4B8VHGVY"],"itemData":{"id":69076,"type":"post-weblog","note":"submitted: August 22, 2016","title":"A Phase 2b Randomized, Double-Blind, Placebo-controlled Study to Evaluate the Safety and Efficacy of MEDI8897, a Monoclonal Antibody With an Extended Half-life Against Respiratory Syncytial Virus, in Healthy Preterm Infants","URL":"https://clinicaltrials.gov/ct2/show/NCT02878330","author":[{"literal":"ClinicalTrials.gov"}],"issued":{"date-parts":[["2019"]]}}},{"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P."}],"issued":{"date-parts":[["2020"]]}}},{"id":69019,"uris":["http://zotero.org/groups/337550/items/4VZHA9VK"],"itemData":{"id":69019,"type":"post-weblog","title":"A Phase 2/3 Randomized, Double-blind, Palivizumab-controlled Study to Evaluate the Safety of MEDI8897, a Monoclonal Antibody With an Extended Half-life Against Respiratory Syncytial Virus, in High-risk Children (MEDLEY), NCT03959488","URL":"https://clinicaltrials.gov/ct2/show/NCT03959488","author":[{"literal":"ClinicalTrials.gov"}],"issued":{"date-parts":[["2022"]]}}},{"id":69018,"uris":["http://zotero.org/groups/337550/items/VVSW46DP"],"itemData":{"id":69018,"type":"post-weblog","title":"A Phase 3 Randomized, Double-blind, Placebo-controlled Study to Evaluate the Safety and Efficacy of MEDI8897, a Monoclonal Antibody With an Extended Half-life Against Respiratory Syncytial Virus, in Healthy Late Preterm and Term Infants (MELODY), NCT03979313","URL":"https://clinicaltrials.gov/ct2/show/NCT03979313","author":[{"literal":"ClinicalTrials.gov"}],"issued":{"date-parts":[["2022"]]}}},{"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Pamela"},{"family":"Villafana","given":"Tonya"}],"issued":{"date-parts":[["2022"]]}}},{"id":82098,"uris":["http://zotero.org/groups/337550/items/6XKZLBVB"],"itemData":{"id":82098,"type":"article-journal","abstract":"BACKGROUND: In a phase 2b trial and the phase 3 MELODY trial, nirsevimab, an extended half-life, monoclonal antibody against respiratory syncytial virus (RSV), protected healthy infants born preterm or at full term against medically attended RSV lower respiratory tract infection (LRTI). In the MEDLEY phase 2-3 trial in infants at higher risk for severe RSV infection, nirsevimab showed a similar safety profile to that of palivizumab. The aim of the current analysis was to assess the efficacy of nirsevimab using a weight-banded dosing regimen in infants born between 29 weeks gestational age and full term.\nMETHODS: Infants enrolled in the phase 2b and MELODY trials were randomised (2:1) to receive a single intramuscular injection of nirsevimab (infants weighing &lt;5 kg received 50 mg; those weighing ≥5 kg received 100 mg) or placebo before the RSV season. Infants in MEDLEY were randomised (2:1) to receive one dose of nirsevimab (infants weighing &lt;5 kg received 50 mg; those weighing ≥5 kg received 100 mg) followed by four monthly placebo doses, or five once-a-month intramuscular doses of palivizumab. We report a prespecified pooled efficacy analysis assessing the weight-banded dosing regimen proposed on the basis of the phase 2b and MELODY trials, in addition to extrapolated efficacy in infants with chronic lung disease, congenital heart disease, or extreme preterm birth (&lt;29 weeks' gestational age) based on pharmacokinetic data from the phase 2-3 MEDLEY safety trial. For the pooled efficacy analysis, the primary endpoint was incidence of medically attended RSV LRTI through 150 days post-dose. The secondary efficacy endpoint was number of admissions to hospital for medically attended RSV LRTI. The incidence of very severe RSV LRTI was an exploratory endpoint, defined as cases of hospital admission for medically attended RSV LRTI that required supplemental oxygen or intravenous fluids. We also did a prespecified exploratory analysis of medically attended LRTI of any cause (in the investigator's judgement) and hospital admission for respiratory illness of any cause (defined as any upper respiratory tract infection or LRTI leading to hospital admission). Post hoc exploratory analyses of outpatient visits and antibiotic use were also done. Nirsevimab serum concentrations in MEDLEY were assessed using population pharmacokinetic methods and the pooled data from the phase 2b and MELODY trials. An exposure target was defined on the basis of an exposure-response analysis. To successfully demonstrate extrapolation, more than 80% of infants in MEDLEY had to achieve serum nirsevimab exposures at or above the predicted efficacious target.\nFINDINGS: Overall, 2350 infants (1564 in the nirsevimab group and 786 in the placebo group) in the phase 2b and MELODY trials were included in the pooled analysis. Nirsevimab showed efficacy versus placebo with respect to the primary endpoint of medically attended RSV LRTI (19 [1%] nirsevimab recipients vs 51 [6%] placebo recipients; relative risk reduction [RRR] 79·5% [95% CI 65·9-87·7]). Consistent efficacy was shown for additional endpoints of RSV LRTI hospital admission (nine [1%] nirsevimab recipients vs 21 [3%] placebo recipients; 77·3% [50·3-89·7]) and very severe RSV (five [&lt;1%] vs 18 [2%]; 86·0% [62·5-94·8]). Nirsevimab recipients had fewer hospital admissions for any-cause respiratory illness (RRR 43·8% [18·8-61·1]), any-cause medically attended LRTI (35·4% [21·5-46·9]), LRTI outpatient visits (41·9% [25·7-54·6]), and antibiotic prescriptions (23·6% [3·8-39·3]). Among infants with chronic lung disease, congenital heart disease, or extreme preterm birth in MEDLEY, nirsevimab serum exposures were similar to those found in the pooled data; exposures were above the target in more than 80% of the overall MEDLEY trial population (94%), including infants with chronic lung disease (94%) or congenital heart disease (80%) and those born extremely preterm (94%).\nINTERPRETATION: A single dose of nirsevimab protected healthy infants born at term or preterm from medically attended RSV LRTI, associated hospital admission, and severe RSV. Pharmacokinetic data support efficacy extrapolation to infants with chronic lung disease, congenital heart disease, or extreme prematurity. Together, these data suggest that nirsevimab has the potential to change the landscape of infant RSV disease by reducing a major cause of infant morbidity and the consequent burden on caregivers, clinicians, and health-care providers.\nFUNDING: AstraZeneca and Sanofi.","container-title":"The Lancet. Child &amp; Adolescent Health","DOI":"10.1016/S2352-4642(22)00321-2","ISSN":"2352-4650","issue":"3","journalAbbreviation":"Lancet Child Adolesc Health","language":"eng","note":"PMID: 36634694\nPMCID: PMC9940918","page":"180-189","source":"PubMed","title":"Efficacy of nirsevimab against respiratory syncytial virus lower respiratory tract infections in preterm and term infants, and pharmacokinetic extrapolation to infants with congenital heart disease and chronic lung disease: a pooled analysis of randomised controlled trials","title-short":"Efficacy of nirsevimab against respiratory syncytial virus lower respiratory tract infections in preterm and term infants, and pharmacokinetic extrapolation to infants with congenital heart disease and chronic lung disease","volume":"7","author":[{"family":"Simões","given":"Eric A. F."},{"family":"Madhi","given":"Shabir A."},{"family":"Muller","given":"William J."},{"family":"Atanasova","given":"Victoria"},{"family":"Bosheva","given":"Miroslava"},{"family":"Cabañas","given":"Fernando"},{"family":"Baca Cots","given":"Manuel"},{"family":"Domachowske","given":"Joseph B."},{"family":"Garcia-Garcia","given":"Maria L."},{"family":"Grantina","given":"Ineta"},{"family":"Nguyen","given":"Kim A."},{"family":"Zar","given":"Heather J."},{"family":"Berglind","given":"Anna"},{"family":"Cummings","given":"Celeste"},{"family":"Griffin","given":"M. Pamela"},{"family":"Takas","given":"Therese"},{"family":"Yuan","given":"Yuan"},{"family":"Wählby Hamrén","given":"Ulrika"},{"family":"Leach","given":"Amanda"},{"family":"Villafana","given":"Tonya"}],"issued":{"date-parts":[["2023"]]}}}],"schema":"https://github.com/citation-style-language/schema/raw/master/csl-citation.json"} </w:instrText>
      </w:r>
      <w:r w:rsidR="00BC3A86">
        <w:rPr>
          <w:rFonts w:ascii="Times New Roman" w:hAnsi="Times New Roman" w:cs="Times New Roman"/>
          <w:sz w:val="24"/>
          <w:szCs w:val="24"/>
          <w:lang w:val="en-US"/>
        </w:rPr>
        <w:fldChar w:fldCharType="separate"/>
      </w:r>
      <w:r w:rsidR="00874409" w:rsidRPr="00874409">
        <w:rPr>
          <w:rFonts w:ascii="Times New Roman" w:hAnsi="Times New Roman" w:cs="Times New Roman"/>
          <w:sz w:val="24"/>
          <w:szCs w:val="24"/>
        </w:rPr>
        <w:t>[6–12]</w:t>
      </w:r>
      <w:r w:rsidR="00BC3A86">
        <w:rPr>
          <w:rFonts w:ascii="Times New Roman" w:hAnsi="Times New Roman" w:cs="Times New Roman"/>
          <w:sz w:val="24"/>
          <w:szCs w:val="24"/>
          <w:lang w:val="en-US"/>
        </w:rPr>
        <w:fldChar w:fldCharType="end"/>
      </w:r>
      <w:r w:rsidR="00963C11">
        <w:rPr>
          <w:rFonts w:ascii="Times New Roman" w:hAnsi="Times New Roman" w:cs="Times New Roman"/>
          <w:sz w:val="24"/>
          <w:szCs w:val="24"/>
          <w:lang w:val="en-US"/>
        </w:rPr>
        <w:t>.</w:t>
      </w:r>
      <w:r w:rsidR="00C713EE">
        <w:rPr>
          <w:rFonts w:ascii="Times New Roman" w:hAnsi="Times New Roman" w:cs="Times New Roman"/>
          <w:sz w:val="24"/>
          <w:szCs w:val="24"/>
          <w:lang w:val="en-US"/>
        </w:rPr>
        <w:t xml:space="preserve"> Moreover, </w:t>
      </w:r>
      <w:r w:rsidR="003D45D2">
        <w:rPr>
          <w:rFonts w:ascii="Times New Roman" w:hAnsi="Times New Roman" w:cs="Times New Roman"/>
          <w:sz w:val="24"/>
          <w:szCs w:val="24"/>
          <w:lang w:val="en-US"/>
        </w:rPr>
        <w:t xml:space="preserve">the </w:t>
      </w:r>
      <w:r w:rsidR="00622932">
        <w:rPr>
          <w:rFonts w:ascii="Times New Roman" w:hAnsi="Times New Roman" w:cs="Times New Roman"/>
          <w:sz w:val="24"/>
          <w:szCs w:val="24"/>
          <w:lang w:val="en-US"/>
        </w:rPr>
        <w:t xml:space="preserve">direct comparison of nirsevimab vs. palivizumab was a non-inferiority trial, </w:t>
      </w:r>
      <w:r w:rsidR="00416E22">
        <w:rPr>
          <w:rFonts w:ascii="Times New Roman" w:hAnsi="Times New Roman" w:cs="Times New Roman"/>
          <w:sz w:val="24"/>
          <w:szCs w:val="24"/>
          <w:lang w:val="en-US"/>
        </w:rPr>
        <w:t>hence not containing efficacy results</w:t>
      </w:r>
      <w:r w:rsidR="007C7E29">
        <w:rPr>
          <w:rFonts w:ascii="Times New Roman" w:hAnsi="Times New Roman" w:cs="Times New Roman"/>
          <w:sz w:val="24"/>
          <w:szCs w:val="24"/>
          <w:lang w:val="en-US"/>
        </w:rPr>
        <w:t xml:space="preserve"> </w:t>
      </w:r>
      <w:r w:rsidR="007C7E29">
        <w:rPr>
          <w:rFonts w:ascii="Times New Roman" w:hAnsi="Times New Roman" w:cs="Times New Roman"/>
          <w:sz w:val="24"/>
          <w:szCs w:val="24"/>
          <w:lang w:val="en-US"/>
        </w:rPr>
        <w:fldChar w:fldCharType="begin"/>
      </w:r>
      <w:r w:rsidR="00FF2E9A">
        <w:rPr>
          <w:rFonts w:ascii="Times New Roman" w:hAnsi="Times New Roman" w:cs="Times New Roman"/>
          <w:sz w:val="24"/>
          <w:szCs w:val="24"/>
          <w:lang w:val="en-US"/>
        </w:rPr>
        <w:instrText xml:space="preserve"> ADDIN ZOTERO_ITEM CSL_CITATION {"citationID":"uKhjU4Y8","properties":{"formattedCitation":"[13]","plainCitation":"[13]","noteIndex":0},"citationItems":[{"id":69097,"uris":["http://zotero.org/groups/337550/items/VJEHBJL3"],"itemData":{"id":69097,"type":"article-journal","container-title":"New England Journal of Medicine","DOI":"10.1056/NEJMc2112186","ISSN":"0028-4793","issue":"9","note":"publisher: Massachusetts Medical Society\n_eprint: https://doi.org/10.1056/NEJMc2112186","page":"892-894","source":"Taylor and Francis+NEJM","title":"Safety of Nirsevimab for RSV in Infants with Heart or Lung Disease or Prematurity","volume":"386","author":[{"family":"Domachowske","given":"Joseph"},{"family":"Madhi","given":"Shabir A."},{"family":"Simões","given":"Eric A.F."},{"family":"Atanasova","given":"Victoria"},{"family":"Cabañas","given":"Fernando"},{"family":"Furuno","given":"Kenji"},{"family":"Garcia-Garcia","given":"Maria L."},{"family":"Grantina","given":"Ineta"},{"family":"Nguyen","given":"Kim A."},{"family":"Brooks","given":"Dennis"},{"family":"Chang","given":"Yue"},{"family":"Leach","given":"Amanda"},{"family":"Takas","given":"Therese"},{"family":"Yuan","given":"Yuan"},{"family":"Griffin","given":"M. Pamela"},{"family":"Mankad","given":"Vaishali S."},{"family":"Villafana","given":"Tonya"}],"issued":{"date-parts":[["2022"]]}}}],"schema":"https://github.com/citation-style-language/schema/raw/master/csl-citation.json"} </w:instrText>
      </w:r>
      <w:r w:rsidR="007C7E29">
        <w:rPr>
          <w:rFonts w:ascii="Times New Roman" w:hAnsi="Times New Roman" w:cs="Times New Roman"/>
          <w:sz w:val="24"/>
          <w:szCs w:val="24"/>
          <w:lang w:val="en-US"/>
        </w:rPr>
        <w:fldChar w:fldCharType="separate"/>
      </w:r>
      <w:r w:rsidR="00FF2E9A" w:rsidRPr="008E369C">
        <w:rPr>
          <w:rFonts w:ascii="Times New Roman" w:hAnsi="Times New Roman" w:cs="Times New Roman"/>
          <w:sz w:val="24"/>
          <w:lang w:val="en-US"/>
        </w:rPr>
        <w:t>[13]</w:t>
      </w:r>
      <w:r w:rsidR="007C7E29">
        <w:rPr>
          <w:rFonts w:ascii="Times New Roman" w:hAnsi="Times New Roman" w:cs="Times New Roman"/>
          <w:sz w:val="24"/>
          <w:szCs w:val="24"/>
          <w:lang w:val="en-US"/>
        </w:rPr>
        <w:fldChar w:fldCharType="end"/>
      </w:r>
      <w:r w:rsidR="00416E22">
        <w:rPr>
          <w:rFonts w:ascii="Times New Roman" w:hAnsi="Times New Roman" w:cs="Times New Roman"/>
          <w:sz w:val="24"/>
          <w:szCs w:val="24"/>
          <w:lang w:val="en-US"/>
        </w:rPr>
        <w:t xml:space="preserve">. </w:t>
      </w:r>
      <w:r w:rsidR="00963C11">
        <w:rPr>
          <w:rFonts w:ascii="Times New Roman" w:hAnsi="Times New Roman" w:cs="Times New Roman"/>
          <w:sz w:val="24"/>
          <w:szCs w:val="24"/>
          <w:lang w:val="en-US"/>
        </w:rPr>
        <w:t xml:space="preserve"> </w:t>
      </w:r>
    </w:p>
    <w:p w14:paraId="4A741ECB" w14:textId="6DBE2F2B" w:rsidR="002577DC" w:rsidRDefault="005C6B0A" w:rsidP="002F570A">
      <w:pPr>
        <w:spacing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Thirdly, </w:t>
      </w:r>
      <w:r w:rsidR="00486411">
        <w:rPr>
          <w:rFonts w:ascii="Times New Roman" w:hAnsi="Times New Roman" w:cs="Times New Roman"/>
          <w:sz w:val="24"/>
          <w:szCs w:val="24"/>
          <w:lang w:val="en-US"/>
        </w:rPr>
        <w:t>results were very similar between comparisons (final estimated values: nirsevimab vs. placebo: 0.56; nirsevimab vs. palivizumab: 0.58)</w:t>
      </w:r>
      <w:r w:rsidR="00487D3D">
        <w:rPr>
          <w:rFonts w:ascii="Times New Roman" w:hAnsi="Times New Roman" w:cs="Times New Roman"/>
          <w:sz w:val="24"/>
          <w:szCs w:val="24"/>
          <w:lang w:val="en-US"/>
        </w:rPr>
        <w:t xml:space="preserve"> and, </w:t>
      </w:r>
      <w:r w:rsidR="00BF716D">
        <w:rPr>
          <w:rFonts w:ascii="Times New Roman" w:hAnsi="Times New Roman" w:cs="Times New Roman"/>
          <w:sz w:val="24"/>
          <w:szCs w:val="24"/>
          <w:lang w:val="en-US"/>
        </w:rPr>
        <w:t>not</w:t>
      </w:r>
      <w:r w:rsidR="00104AF3">
        <w:rPr>
          <w:rFonts w:ascii="Times New Roman" w:hAnsi="Times New Roman" w:cs="Times New Roman"/>
          <w:sz w:val="24"/>
          <w:szCs w:val="24"/>
          <w:lang w:val="en-US"/>
        </w:rPr>
        <w:t xml:space="preserve">withstanding this have a logical explanation (from both </w:t>
      </w:r>
      <w:r w:rsidR="0076205B">
        <w:rPr>
          <w:rFonts w:ascii="Times New Roman" w:hAnsi="Times New Roman" w:cs="Times New Roman"/>
          <w:sz w:val="24"/>
          <w:szCs w:val="24"/>
          <w:lang w:val="en-US"/>
        </w:rPr>
        <w:t>quantitative</w:t>
      </w:r>
      <w:r w:rsidR="00104AF3">
        <w:rPr>
          <w:rFonts w:ascii="Times New Roman" w:hAnsi="Times New Roman" w:cs="Times New Roman"/>
          <w:sz w:val="24"/>
          <w:szCs w:val="24"/>
          <w:lang w:val="en-US"/>
        </w:rPr>
        <w:t xml:space="preserve"> and qualitative </w:t>
      </w:r>
      <w:r w:rsidR="0076205B">
        <w:rPr>
          <w:rFonts w:ascii="Times New Roman" w:hAnsi="Times New Roman" w:cs="Times New Roman"/>
          <w:sz w:val="24"/>
          <w:szCs w:val="24"/>
          <w:lang w:val="en-US"/>
        </w:rPr>
        <w:t>perspectives)</w:t>
      </w:r>
      <w:r w:rsidR="00104AF3">
        <w:rPr>
          <w:rFonts w:ascii="Times New Roman" w:hAnsi="Times New Roman" w:cs="Times New Roman"/>
          <w:sz w:val="24"/>
          <w:szCs w:val="24"/>
          <w:lang w:val="en-US"/>
        </w:rPr>
        <w:t xml:space="preserve">, </w:t>
      </w:r>
      <w:r w:rsidR="00FE374F">
        <w:rPr>
          <w:rFonts w:ascii="Times New Roman" w:hAnsi="Times New Roman" w:cs="Times New Roman"/>
          <w:sz w:val="24"/>
          <w:szCs w:val="24"/>
          <w:lang w:val="en-US"/>
        </w:rPr>
        <w:t xml:space="preserve">for reasons of clarity and simplicity, </w:t>
      </w:r>
      <w:r w:rsidR="00D0492E">
        <w:rPr>
          <w:rFonts w:ascii="Times New Roman" w:hAnsi="Times New Roman" w:cs="Times New Roman"/>
          <w:sz w:val="24"/>
          <w:szCs w:val="24"/>
          <w:lang w:val="en-US"/>
        </w:rPr>
        <w:t xml:space="preserve">the general public </w:t>
      </w:r>
      <w:r w:rsidR="001232BE">
        <w:rPr>
          <w:rFonts w:ascii="Times New Roman" w:hAnsi="Times New Roman" w:cs="Times New Roman"/>
          <w:sz w:val="24"/>
          <w:szCs w:val="24"/>
          <w:lang w:val="en-US"/>
        </w:rPr>
        <w:t>healthcare professionals not familiar with the MCDA methodology</w:t>
      </w:r>
      <w:r w:rsidR="004D667E">
        <w:rPr>
          <w:rFonts w:ascii="Times New Roman" w:hAnsi="Times New Roman" w:cs="Times New Roman"/>
          <w:sz w:val="24"/>
          <w:szCs w:val="24"/>
          <w:lang w:val="en-US"/>
        </w:rPr>
        <w:t xml:space="preserve"> will have a better understanding of the results, if only nirsevimab vs. placebo is reported</w:t>
      </w:r>
      <w:r w:rsidR="00B22FED">
        <w:rPr>
          <w:rFonts w:ascii="Times New Roman" w:hAnsi="Times New Roman" w:cs="Times New Roman"/>
          <w:sz w:val="24"/>
          <w:szCs w:val="24"/>
          <w:lang w:val="en-US"/>
        </w:rPr>
        <w:t xml:space="preserve"> as</w:t>
      </w:r>
      <w:r w:rsidR="00DA02A8">
        <w:rPr>
          <w:rFonts w:ascii="Times New Roman" w:hAnsi="Times New Roman" w:cs="Times New Roman"/>
          <w:sz w:val="24"/>
          <w:szCs w:val="24"/>
          <w:lang w:val="en-US"/>
        </w:rPr>
        <w:t xml:space="preserve"> main analysis in the manuscript</w:t>
      </w:r>
      <w:r w:rsidR="004D667E">
        <w:rPr>
          <w:rFonts w:ascii="Times New Roman" w:hAnsi="Times New Roman" w:cs="Times New Roman"/>
          <w:sz w:val="24"/>
          <w:szCs w:val="24"/>
          <w:lang w:val="en-US"/>
        </w:rPr>
        <w:t xml:space="preserve">. </w:t>
      </w:r>
    </w:p>
    <w:p w14:paraId="67927CAC" w14:textId="155F369D" w:rsidR="00665C36" w:rsidRPr="00B21236" w:rsidRDefault="004E2DF3" w:rsidP="007B73A4">
      <w:pPr>
        <w:spacing w:after="120" w:line="360" w:lineRule="auto"/>
        <w:jc w:val="both"/>
        <w:rPr>
          <w:rFonts w:ascii="Times New Roman" w:hAnsi="Times New Roman" w:cs="Times New Roman"/>
          <w:sz w:val="24"/>
          <w:szCs w:val="24"/>
          <w:lang w:val="en-US"/>
        </w:rPr>
      </w:pPr>
      <w:r w:rsidRPr="004E2DF3">
        <w:rPr>
          <w:rFonts w:ascii="Times New Roman" w:hAnsi="Times New Roman" w:cs="Times New Roman"/>
          <w:sz w:val="24"/>
          <w:szCs w:val="24"/>
          <w:lang w:val="en-US"/>
        </w:rPr>
        <w:t xml:space="preserve">The compendium of information </w:t>
      </w:r>
      <w:r>
        <w:rPr>
          <w:rFonts w:ascii="Times New Roman" w:hAnsi="Times New Roman" w:cs="Times New Roman"/>
          <w:sz w:val="24"/>
          <w:szCs w:val="24"/>
          <w:lang w:val="en-US"/>
        </w:rPr>
        <w:t>and results o</w:t>
      </w:r>
      <w:r w:rsidR="008346E1">
        <w:rPr>
          <w:rFonts w:ascii="Times New Roman" w:hAnsi="Times New Roman" w:cs="Times New Roman"/>
          <w:sz w:val="24"/>
          <w:szCs w:val="24"/>
          <w:lang w:val="en-US"/>
        </w:rPr>
        <w:t>f</w:t>
      </w:r>
      <w:r w:rsidRPr="004E2DF3">
        <w:rPr>
          <w:rFonts w:ascii="Times New Roman" w:hAnsi="Times New Roman" w:cs="Times New Roman"/>
          <w:sz w:val="24"/>
          <w:szCs w:val="24"/>
          <w:lang w:val="en-US"/>
        </w:rPr>
        <w:t xml:space="preserve"> this MCDA in RSV included </w:t>
      </w:r>
      <w:r w:rsidR="008346E1">
        <w:rPr>
          <w:rFonts w:ascii="Times New Roman" w:hAnsi="Times New Roman" w:cs="Times New Roman"/>
          <w:sz w:val="24"/>
          <w:szCs w:val="24"/>
          <w:lang w:val="en-US"/>
        </w:rPr>
        <w:t>information</w:t>
      </w:r>
      <w:r w:rsidRPr="004E2DF3">
        <w:rPr>
          <w:rFonts w:ascii="Times New Roman" w:hAnsi="Times New Roman" w:cs="Times New Roman"/>
          <w:sz w:val="24"/>
          <w:szCs w:val="24"/>
          <w:lang w:val="en-US"/>
        </w:rPr>
        <w:t xml:space="preserve"> which were common to both comparisons (nirsevimab vs. placebo, and nirsevimab vs. palivizumab) as well as specific to one of the comparisons.  </w:t>
      </w:r>
      <w:r w:rsidR="002577DC">
        <w:rPr>
          <w:rFonts w:ascii="Times New Roman" w:hAnsi="Times New Roman" w:cs="Times New Roman"/>
          <w:sz w:val="24"/>
          <w:szCs w:val="24"/>
          <w:lang w:val="en-US"/>
        </w:rPr>
        <w:t>In the current document, we</w:t>
      </w:r>
      <w:r w:rsidR="008346E1">
        <w:rPr>
          <w:rFonts w:ascii="Times New Roman" w:hAnsi="Times New Roman" w:cs="Times New Roman"/>
          <w:sz w:val="24"/>
          <w:szCs w:val="24"/>
          <w:lang w:val="en-US"/>
        </w:rPr>
        <w:t xml:space="preserve"> only</w:t>
      </w:r>
      <w:r w:rsidR="002577DC">
        <w:rPr>
          <w:rFonts w:ascii="Times New Roman" w:hAnsi="Times New Roman" w:cs="Times New Roman"/>
          <w:sz w:val="24"/>
          <w:szCs w:val="24"/>
          <w:lang w:val="en-US"/>
        </w:rPr>
        <w:t xml:space="preserve"> describe</w:t>
      </w:r>
      <w:r w:rsidR="005D5FB4">
        <w:rPr>
          <w:rFonts w:ascii="Times New Roman" w:hAnsi="Times New Roman" w:cs="Times New Roman"/>
          <w:sz w:val="24"/>
          <w:szCs w:val="24"/>
          <w:lang w:val="en-US"/>
        </w:rPr>
        <w:t xml:space="preserve"> the</w:t>
      </w:r>
      <w:r w:rsidR="008346E1">
        <w:rPr>
          <w:rFonts w:ascii="Times New Roman" w:hAnsi="Times New Roman" w:cs="Times New Roman"/>
          <w:sz w:val="24"/>
          <w:szCs w:val="24"/>
          <w:lang w:val="en-US"/>
        </w:rPr>
        <w:t xml:space="preserve"> specific information related to the comparison between </w:t>
      </w:r>
      <w:r w:rsidR="00665F2C">
        <w:rPr>
          <w:rFonts w:ascii="Times New Roman" w:hAnsi="Times New Roman" w:cs="Times New Roman"/>
          <w:sz w:val="24"/>
          <w:szCs w:val="24"/>
          <w:lang w:val="en-US"/>
        </w:rPr>
        <w:t>nirsevimab vs. palivizumab.</w:t>
      </w:r>
    </w:p>
    <w:p w14:paraId="7D55C6A3" w14:textId="77777777" w:rsidR="00665C36" w:rsidRPr="00B21236" w:rsidRDefault="00665C36" w:rsidP="007B73A4">
      <w:pPr>
        <w:spacing w:after="120" w:line="360" w:lineRule="auto"/>
        <w:jc w:val="both"/>
        <w:rPr>
          <w:rFonts w:ascii="Times New Roman" w:hAnsi="Times New Roman" w:cs="Times New Roman"/>
          <w:sz w:val="24"/>
          <w:szCs w:val="24"/>
          <w:lang w:val="en-US"/>
        </w:rPr>
      </w:pPr>
    </w:p>
    <w:p w14:paraId="59188631" w14:textId="01AE6981" w:rsidR="00660D77" w:rsidRPr="00B21236" w:rsidRDefault="00660D77" w:rsidP="00660D77">
      <w:pPr>
        <w:pStyle w:val="Ttulo1"/>
        <w:spacing w:line="360" w:lineRule="auto"/>
        <w:rPr>
          <w:rFonts w:cs="Times New Roman"/>
          <w:szCs w:val="28"/>
          <w:lang w:val="en-US"/>
        </w:rPr>
      </w:pPr>
      <w:bookmarkStart w:id="1" w:name="_Toc135731172"/>
      <w:r>
        <w:rPr>
          <w:rFonts w:cs="Times New Roman"/>
          <w:szCs w:val="28"/>
          <w:lang w:val="en-US"/>
        </w:rPr>
        <w:t>Evidence summary</w:t>
      </w:r>
      <w:bookmarkEnd w:id="1"/>
    </w:p>
    <w:p w14:paraId="3B7D1B37" w14:textId="698222C6" w:rsidR="00A442E9" w:rsidRPr="00B21236" w:rsidRDefault="006047C3">
      <w:pPr>
        <w:pStyle w:val="Ttulo2"/>
        <w:spacing w:before="240" w:after="0" w:line="360" w:lineRule="auto"/>
        <w:rPr>
          <w:rFonts w:cs="Times New Roman"/>
          <w:szCs w:val="24"/>
          <w:lang w:val="en-US"/>
        </w:rPr>
      </w:pPr>
      <w:bookmarkStart w:id="2" w:name="_Toc135731173"/>
      <w:r w:rsidRPr="00B21236">
        <w:rPr>
          <w:rFonts w:cs="Times New Roman"/>
          <w:szCs w:val="24"/>
          <w:lang w:val="en-US"/>
        </w:rPr>
        <w:t>Description of the drug</w:t>
      </w:r>
      <w:bookmarkEnd w:id="2"/>
    </w:p>
    <w:p w14:paraId="0315B40D" w14:textId="77777777" w:rsidR="00A442E9" w:rsidRPr="00B21236" w:rsidRDefault="006047C3">
      <w:pPr>
        <w:spacing w:before="240" w:after="240" w:line="360" w:lineRule="auto"/>
        <w:jc w:val="both"/>
        <w:rPr>
          <w:rFonts w:ascii="Times New Roman" w:hAnsi="Times New Roman" w:cs="Times New Roman"/>
          <w:i/>
          <w:iCs/>
          <w:sz w:val="24"/>
          <w:szCs w:val="24"/>
          <w:lang w:val="en-US"/>
        </w:rPr>
      </w:pPr>
      <w:r w:rsidRPr="00B21236">
        <w:rPr>
          <w:rFonts w:ascii="Times New Roman" w:hAnsi="Times New Roman" w:cs="Times New Roman"/>
          <w:i/>
          <w:iCs/>
          <w:sz w:val="24"/>
          <w:szCs w:val="24"/>
          <w:lang w:val="en-US"/>
        </w:rPr>
        <w:t>Palivizumab</w:t>
      </w:r>
    </w:p>
    <w:p w14:paraId="72A90BEB" w14:textId="69525B34" w:rsidR="00A442E9" w:rsidRPr="00B21236" w:rsidRDefault="006047C3">
      <w:pPr>
        <w:spacing w:before="240" w:after="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Palivizumab is a monoclonal antibody that binds to the fusion protein</w:t>
      </w:r>
      <w:r w:rsidR="00DA02A8">
        <w:rPr>
          <w:rFonts w:ascii="Times New Roman" w:hAnsi="Times New Roman" w:cs="Times New Roman"/>
          <w:color w:val="000000"/>
          <w:sz w:val="24"/>
          <w:szCs w:val="24"/>
          <w:lang w:val="en-US"/>
        </w:rPr>
        <w:t xml:space="preserve"> F (</w:t>
      </w:r>
      <w:r w:rsidR="005D56E8">
        <w:rPr>
          <w:rFonts w:ascii="Times New Roman" w:hAnsi="Times New Roman" w:cs="Times New Roman"/>
          <w:color w:val="000000"/>
          <w:sz w:val="24"/>
          <w:szCs w:val="24"/>
          <w:lang w:val="en-US"/>
        </w:rPr>
        <w:t xml:space="preserve">epitope of the </w:t>
      </w:r>
      <w:r w:rsidRPr="00E36543">
        <w:rPr>
          <w:rFonts w:ascii="Times New Roman" w:hAnsi="Times New Roman" w:cs="Times New Roman"/>
          <w:color w:val="000000"/>
          <w:sz w:val="24"/>
          <w:szCs w:val="24"/>
          <w:highlight w:val="yellow"/>
          <w:lang w:val="en-US"/>
        </w:rPr>
        <w:t>A</w:t>
      </w:r>
      <w:r w:rsidRPr="00B21236">
        <w:rPr>
          <w:rFonts w:ascii="Times New Roman" w:hAnsi="Times New Roman" w:cs="Times New Roman"/>
          <w:color w:val="000000"/>
          <w:sz w:val="24"/>
          <w:szCs w:val="24"/>
          <w:lang w:val="en-US"/>
        </w:rPr>
        <w:t xml:space="preserve"> </w:t>
      </w:r>
      <w:r w:rsidR="005D56E8">
        <w:rPr>
          <w:rFonts w:ascii="Times New Roman" w:hAnsi="Times New Roman" w:cs="Times New Roman"/>
          <w:color w:val="000000"/>
          <w:sz w:val="24"/>
          <w:szCs w:val="24"/>
          <w:lang w:val="en-US"/>
        </w:rPr>
        <w:t>antigenic site)</w:t>
      </w:r>
      <w:r w:rsidRPr="00B21236">
        <w:rPr>
          <w:rFonts w:ascii="Times New Roman" w:hAnsi="Times New Roman" w:cs="Times New Roman"/>
          <w:color w:val="000000"/>
          <w:sz w:val="24"/>
          <w:szCs w:val="24"/>
          <w:lang w:val="en-US"/>
        </w:rPr>
        <w:t>, blocking the entry of the virus into the body's cells, especially those of the lungs</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{"citationID":"y6bfDY8V","properties":{"formattedCitation":"[14]","plainCitation":"[14]","noteIndex":0},"citationItems":[{"id":69029,"uris":["http://zotero.org/groups/337550/items/NSPEATJ5"],"itemData":{"id":69029,"type":"post-weblog","title":"Ficha técnica de palivizumab (Synagis®)","URL":"https://cima.aemps.es/cima/dochtml/ft/199117004/FT_199117004.html","author":[{"family":"Agencia Española de Medicamentos y Productos Sanitarios (AEMPS)","given":""}],"issued":{"date-parts":[["2022"]]}}}],"schema":"https://github.com/citation-style-language/schema/raw/master/csl-citation.json"}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[14]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It was </w:t>
      </w:r>
      <w:r w:rsidR="00367A76" w:rsidRPr="00B21236">
        <w:rPr>
          <w:rFonts w:ascii="Times New Roman" w:hAnsi="Times New Roman" w:cs="Times New Roman"/>
          <w:color w:val="000000"/>
          <w:sz w:val="24"/>
          <w:szCs w:val="24"/>
          <w:lang w:val="en-US"/>
        </w:rPr>
        <w:t>authorized</w:t>
      </w:r>
      <w:r w:rsidRPr="00B21236">
        <w:rPr>
          <w:rFonts w:ascii="Times New Roman" w:hAnsi="Times New Roman" w:cs="Times New Roman"/>
          <w:color w:val="000000"/>
          <w:sz w:val="24"/>
          <w:szCs w:val="24"/>
          <w:lang w:val="en-US"/>
        </w:rPr>
        <w:t xml:space="preserve"> in 1999 by the EMA</w:t>
      </w:r>
      <w:r w:rsidRPr="00B21236">
        <w:rPr>
          <w:rFonts w:ascii="Times New Roman" w:hAnsi="Times New Roman" w:cs="Times New Roman"/>
          <w:color w:val="000000"/>
          <w:sz w:val="24"/>
          <w:szCs w:val="24"/>
          <w:lang w:val="en-US"/>
        </w:rPr>
        <w:fldChar w:fldCharType="begin"/>
      </w:r>
      <w:r w:rsidR="00ED08E2">
        <w:rPr>
          <w:rFonts w:ascii="Times New Roman" w:hAnsi="Times New Roman" w:cs="Times New Roman"/>
          <w:color w:val="000000"/>
          <w:sz w:val="24"/>
          <w:szCs w:val="24"/>
          <w:lang w:val="en-US"/>
        </w:rPr>
        <w:instrText xml:space="preserve"> ADDIN ZOTERO_ITEM CSL_CITATION {"citationID":"f6hPKvE0","properties":{"formattedCitation":"[15]","plainCitation":"[15]","noteIndex":0},"citationItems":[{"id":"GLQTyvtO/JDZB1RQ9","uris":["http://zotero.org/groups/2141613/items/ZHGKD8XQ"],"itemData":{"id":77152,"type":"webpage","abstract":"Synagis","container-title":"European Medicines Agency","genre":"Text","language":"en","title":"Synagis","URL":"https://www.ema.europa.eu/en/medicines/human/EPAR/synagis","author":[{"family":"EMA","given":""}],"accessed":{"date-parts":[["2021",7,26]]},"issued":{"date-parts":[["2018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[15]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5A3B353A" w14:textId="6594C110" w:rsidR="00A442E9" w:rsidRPr="00B21236" w:rsidRDefault="006047C3">
      <w:pPr>
        <w:spacing w:before="120" w:after="0" w:line="360" w:lineRule="auto"/>
        <w:jc w:val="both"/>
        <w:rPr>
          <w:rFonts w:ascii="Times New Roman" w:hAnsi="Times New Roman" w:cs="Times New Roman"/>
          <w:b/>
          <w:bCs/>
          <w:color w:val="000000"/>
          <w:sz w:val="24"/>
          <w:szCs w:val="24"/>
          <w:lang w:val="en-US"/>
        </w:rPr>
      </w:pPr>
      <w:r w:rsidRPr="00B21236">
        <w:rPr>
          <w:rFonts w:ascii="Times New Roman" w:hAnsi="Times New Roman" w:cs="Times New Roman"/>
          <w:color w:val="000000"/>
          <w:sz w:val="24"/>
          <w:szCs w:val="24"/>
          <w:lang w:val="en-US"/>
        </w:rPr>
        <w:t>It is indicated for the prevention of severe lower respiratory tract illness requiring hospitalization (inpatient use) caused by RSV in children at high risk for RSV disease.</w:t>
      </w:r>
      <w:r w:rsidRPr="00B21236">
        <w:rPr>
          <w:rFonts w:ascii="Times New Roman" w:hAnsi="Times New Roman" w:cs="Times New Roman"/>
          <w:b/>
          <w:bCs/>
          <w:color w:val="000000"/>
          <w:sz w:val="24"/>
          <w:szCs w:val="24"/>
          <w:lang w:val="en-US"/>
        </w:rPr>
        <w:fldChar w:fldCharType="begin"/>
      </w:r>
      <w:r w:rsidR="00ED08E2">
        <w:rPr>
          <w:rFonts w:ascii="Times New Roman" w:hAnsi="Times New Roman" w:cs="Times New Roman"/>
          <w:color w:val="000000"/>
          <w:sz w:val="24"/>
          <w:szCs w:val="24"/>
          <w:lang w:val="en-US"/>
        </w:rPr>
        <w:instrText xml:space="preserve"> ADDIN ZOTERO_ITEM CSL_CITATION {"citationID":"bWDrPXka","properties":{"formattedCitation":"[16,17]","plainCitation":"[16,17]","noteIndex":0},"citationItems":[{"id":"GLQTyvtO/iC03dntw","uris":["http://zotero.org/groups/2141613/items/MSE8SR3P"],"itemData":{"id":73541,"type":"webpage","title":"Synagis®: Ficha técnica o resumen de las características del producto","URL":"https://cima.aemps.es/cima/dochtml/ft/199117003/FT_199117003.html","author":[{"family":"AEMPS","given":""}],"accessed":{"date-parts":[["2021",5,19]]},"issued":{"date-parts":[["2009"]]}}},{"id":"GLQTyvtO/8FCok9gl","uris":["http://zotero.org/groups/2141613/items/36DCNXTS"],"itemData":{"id":"9Kv8dtsm/qfbgX1jv","type":"article-journal","abstract":"La bronquiolitis, y en concreto la desencadenada por el virus respiratorio sincitial (VRS), es la causa más frecuente de","container-title":"Anales de Pediatría","DOI":"10.1016/j.anpedi.2019.08.003","ISSN":"1695-4033","issue":"5","journalAbbreviation":"An Pediatr (Barc)","language":"es","note":"publisher: Elsevier","page":"348-350","source":"www.analesdepediatria.org","title":"Recomendaciones de la Sociedad Española de Neonatología para la utilización de palivizumab como profilaxis de las infecciones graves por el virus respiratorio sincitial en lactantes de alto riesgo, actualización","volume":"91","author":[{"family":"Sánchez Luna","given":"Manuel"},{"family":"Pérez Muñuzuri","given":"Alejandro"},{"family":"Leante Castellanos","given":"José Luis"},{"family":"Ruiz Campillo","given":"César W."},{"family":"Sanz López","given":"Ester"},{"family":"Benavente Fernández","given":"Isabel"},{"family":"Sánchez Redondo","given":"María Dolores"},{"family":"Rite Gracia","given":"Segundo"}],"issued":{"date-parts":[["2019"]]}}}],"schema":"https://github.com/citation-style-language/schema/raw/master/csl-citation.json"} </w:instrText>
      </w:r>
      <w:r w:rsidRPr="00B21236">
        <w:rPr>
          <w:rFonts w:ascii="Times New Roman" w:hAnsi="Times New Roman" w:cs="Times New Roman"/>
          <w:b/>
          <w:bCs/>
          <w:color w:val="000000"/>
          <w:sz w:val="24"/>
          <w:szCs w:val="24"/>
          <w:lang w:val="en-US"/>
        </w:rPr>
        <w:fldChar w:fldCharType="separate"/>
      </w:r>
      <w:r w:rsidR="00C342C4" w:rsidRPr="00C342C4">
        <w:rPr>
          <w:rFonts w:ascii="Times New Roman" w:hAnsi="Times New Roman" w:cs="Times New Roman"/>
          <w:sz w:val="24"/>
        </w:rPr>
        <w:t>[16,17]</w:t>
      </w:r>
      <w:r w:rsidRPr="00B21236">
        <w:rPr>
          <w:rFonts w:ascii="Times New Roman" w:hAnsi="Times New Roman" w:cs="Times New Roman"/>
          <w:b/>
          <w:bCs/>
          <w:color w:val="000000"/>
          <w:sz w:val="24"/>
          <w:szCs w:val="24"/>
          <w:lang w:val="en-US"/>
        </w:rPr>
        <w:fldChar w:fldCharType="end"/>
      </w:r>
      <w:r w:rsidRPr="00B21236">
        <w:rPr>
          <w:rFonts w:ascii="Times New Roman" w:hAnsi="Times New Roman" w:cs="Times New Roman"/>
          <w:b/>
          <w:bCs/>
          <w:color w:val="000000"/>
          <w:sz w:val="24"/>
          <w:szCs w:val="24"/>
          <w:lang w:val="en-US"/>
        </w:rPr>
        <w:t>.</w:t>
      </w:r>
    </w:p>
    <w:p w14:paraId="2C75D068" w14:textId="77777777" w:rsidR="00A442E9" w:rsidRPr="00B21236" w:rsidRDefault="006047C3">
      <w:pPr>
        <w:pStyle w:val="Prrafodelista"/>
        <w:numPr>
          <w:ilvl w:val="0"/>
          <w:numId w:val="34"/>
        </w:numPr>
        <w:spacing w:before="120" w:after="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Children born at 35 weeks gestation or less and younger than 6 months of age at the beginning of the RSV risk season.</w:t>
      </w:r>
    </w:p>
    <w:p w14:paraId="3EC8F38F" w14:textId="77777777" w:rsidR="00A442E9" w:rsidRPr="00B21236" w:rsidRDefault="006047C3">
      <w:pPr>
        <w:pStyle w:val="Prrafodelista"/>
        <w:numPr>
          <w:ilvl w:val="0"/>
          <w:numId w:val="34"/>
        </w:numPr>
        <w:spacing w:before="120" w:after="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Children under 2 years of age who have required treatment for bronchopulmonary dysplasia within the last 6 months.</w:t>
      </w:r>
    </w:p>
    <w:p w14:paraId="3E347D41" w14:textId="77777777" w:rsidR="00A442E9" w:rsidRPr="00B21236" w:rsidRDefault="006047C3">
      <w:pPr>
        <w:pStyle w:val="Prrafodelista"/>
        <w:numPr>
          <w:ilvl w:val="0"/>
          <w:numId w:val="34"/>
        </w:numPr>
        <w:spacing w:before="120" w:after="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Children under 2 years of age and with hemodynamically significant congenital heart disease. </w:t>
      </w:r>
    </w:p>
    <w:p w14:paraId="7EB60B50" w14:textId="1EE59816"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The recommended dose of palivizumab is 15 mg/kg body weight, administered once a month during expected periods of RSV infection risk (4-5 doses required for the season).</w:t>
      </w:r>
      <w:r w:rsidRPr="00B21236">
        <w:rPr>
          <w:rFonts w:ascii="Times New Roman" w:hAnsi="Times New Roman" w:cs="Times New Roman"/>
          <w:b/>
          <w:bCs/>
          <w:color w:val="000000"/>
          <w:sz w:val="24"/>
          <w:szCs w:val="24"/>
          <w:lang w:val="en-US"/>
        </w:rPr>
        <w:fldChar w:fldCharType="begin"/>
      </w:r>
      <w:r w:rsidR="00ED08E2">
        <w:rPr>
          <w:rFonts w:ascii="Times New Roman" w:hAnsi="Times New Roman" w:cs="Times New Roman"/>
          <w:color w:val="000000"/>
          <w:sz w:val="24"/>
          <w:szCs w:val="24"/>
          <w:lang w:val="en-US"/>
        </w:rPr>
        <w:instrText xml:space="preserve"> ADDIN ZOTERO_ITEM CSL_CITATION {"citationID":"4e33mNk0","properties":{"formattedCitation":"[16,17]","plainCitation":"[16,17]","noteIndex":0},"citationItems":[{"id":"GLQTyvtO/iC03dntw","uris":["http://zotero.org/groups/2141613/items/MSE8SR3P"],"itemData":{"id":73541,"type":"webpage","title":"Synagis®: Ficha técnica o resumen de las características del producto","URL":"https://cima.aemps.es/cima/dochtml/ft/199117003/FT_199117003.html","author":[{"family":"AEMPS","given":""}],"accessed":{"date-parts":[["2021",5,19]]},"issued":{"date-parts":[["2009"]]}}},{"id":"GLQTyvtO/8FCok9gl","uris":["http://zotero.org/groups/2141613/items/36DCNXTS"],"itemData":{"id":"9Kv8dtsm/qfbgX1jv","type":"article-journal","abstract":"La bronquiolitis, y en concreto la desencadenada por el virus respiratorio sincitial (VRS), es la causa más frecuente de","container-title":"Anales de Pediatría","DOI":"10.1016/j.anpedi.2019.08.003","ISSN":"1695-4033","issue":"5","journalAbbreviation":"An Pediatr (Barc)","language":"es","note":"publisher: Elsevier","page":"348-350","source":"www.analesdepediatria.org","title":"Recomendaciones de la Sociedad Española de Neonatología para la utilización de palivizumab como profilaxis de las infecciones graves por el virus respiratorio sincitial en lactantes de alto riesgo, actualización","volume":"91","author":[{"family":"Sánchez Luna","given":"Manuel"},{"family":"Pérez Muñuzuri","given":"Alejandro"},{"family":"Leante Castellanos","given":"José Luis"},{"family":"Ruiz Campillo","given":"César W."},{"family":"Sanz López","given":"Ester"},{"family":"Benavente Fernández","given":"Isabel"},{"family":"Sánchez Redondo","given":"María Dolores"},{"family":"Rite Gracia","given":"Segundo"}],"issued":{"date-parts":[["2019"]]}}}],"schema":"https://github.com/citation-style-language/schema/raw/master/csl-citation.json"} </w:instrText>
      </w:r>
      <w:r w:rsidRPr="00B21236">
        <w:rPr>
          <w:rFonts w:ascii="Times New Roman" w:hAnsi="Times New Roman" w:cs="Times New Roman"/>
          <w:b/>
          <w:bCs/>
          <w:color w:val="000000"/>
          <w:sz w:val="24"/>
          <w:szCs w:val="24"/>
          <w:lang w:val="en-US"/>
        </w:rPr>
        <w:fldChar w:fldCharType="separate"/>
      </w:r>
      <w:r w:rsidR="00C342C4" w:rsidRPr="00E36543">
        <w:rPr>
          <w:rFonts w:ascii="Times New Roman" w:hAnsi="Times New Roman" w:cs="Times New Roman"/>
          <w:sz w:val="24"/>
          <w:lang w:val="en-US"/>
        </w:rPr>
        <w:t>[16,17]</w:t>
      </w:r>
      <w:r w:rsidRPr="00B21236">
        <w:rPr>
          <w:rFonts w:ascii="Times New Roman" w:hAnsi="Times New Roman" w:cs="Times New Roman"/>
          <w:b/>
          <w:bCs/>
          <w:color w:val="000000"/>
          <w:sz w:val="24"/>
          <w:szCs w:val="24"/>
          <w:lang w:val="en-US"/>
        </w:rPr>
        <w:fldChar w:fldCharType="end"/>
      </w:r>
      <w:r w:rsidR="00637FCA" w:rsidRPr="00B21236">
        <w:rPr>
          <w:rFonts w:ascii="Times New Roman" w:hAnsi="Times New Roman" w:cs="Times New Roman"/>
          <w:sz w:val="24"/>
          <w:szCs w:val="24"/>
          <w:lang w:val="en-US"/>
        </w:rPr>
        <w:t>.</w:t>
      </w:r>
    </w:p>
    <w:p w14:paraId="0CB92F18" w14:textId="442A6A40" w:rsidR="00A442E9" w:rsidRPr="00B21236" w:rsidRDefault="00F53A68" w:rsidP="00F53A68">
      <w:pPr>
        <w:pStyle w:val="Ttulo2"/>
        <w:spacing w:before="240" w:after="0" w:line="360" w:lineRule="auto"/>
        <w:rPr>
          <w:rFonts w:cs="Times New Roman"/>
          <w:szCs w:val="24"/>
          <w:lang w:val="en-US"/>
        </w:rPr>
      </w:pPr>
      <w:bookmarkStart w:id="3" w:name="_Toc135731174"/>
      <w:r>
        <w:rPr>
          <w:rFonts w:cs="Times New Roman"/>
          <w:szCs w:val="24"/>
          <w:lang w:val="en-US"/>
        </w:rPr>
        <w:t xml:space="preserve">Criterion 10. </w:t>
      </w:r>
      <w:r w:rsidR="006047C3" w:rsidRPr="00B21236">
        <w:rPr>
          <w:rFonts w:cs="Times New Roman"/>
          <w:szCs w:val="24"/>
          <w:lang w:val="en-US"/>
        </w:rPr>
        <w:t xml:space="preserve">Population </w:t>
      </w:r>
      <w:r w:rsidR="00542B80" w:rsidRPr="00B21236">
        <w:rPr>
          <w:rFonts w:cs="Times New Roman"/>
          <w:szCs w:val="24"/>
          <w:lang w:val="en-US"/>
        </w:rPr>
        <w:t xml:space="preserve">in which </w:t>
      </w:r>
      <w:r w:rsidR="006047C3" w:rsidRPr="00B21236">
        <w:rPr>
          <w:rFonts w:cs="Times New Roman"/>
          <w:szCs w:val="24"/>
          <w:lang w:val="en-US"/>
        </w:rPr>
        <w:t xml:space="preserve">the prevention strategy </w:t>
      </w:r>
      <w:r w:rsidR="00A671E0" w:rsidRPr="00B21236">
        <w:rPr>
          <w:rFonts w:cs="Times New Roman"/>
          <w:szCs w:val="24"/>
          <w:lang w:val="en-US"/>
        </w:rPr>
        <w:t xml:space="preserve">would be </w:t>
      </w:r>
      <w:r w:rsidR="00542B80" w:rsidRPr="00B21236">
        <w:rPr>
          <w:rFonts w:cs="Times New Roman"/>
          <w:szCs w:val="24"/>
          <w:lang w:val="en-US"/>
        </w:rPr>
        <w:t>indicated</w:t>
      </w:r>
      <w:bookmarkEnd w:id="3"/>
    </w:p>
    <w:p w14:paraId="375050BC" w14:textId="77777777" w:rsidR="00A442E9" w:rsidRPr="00B21236" w:rsidRDefault="006047C3">
      <w:pPr>
        <w:spacing w:after="120" w:line="360" w:lineRule="auto"/>
        <w:jc w:val="both"/>
        <w:rPr>
          <w:rFonts w:ascii="Times New Roman" w:hAnsi="Times New Roman" w:cs="Times New Roman"/>
          <w:sz w:val="24"/>
          <w:szCs w:val="24"/>
          <w:lang w:val="en-US"/>
        </w:rPr>
      </w:pPr>
      <w:r w:rsidRPr="001D5BA7">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Proportion of the population </w:t>
      </w:r>
      <w:r w:rsidR="00542B80" w:rsidRPr="00B21236">
        <w:rPr>
          <w:rFonts w:ascii="Times New Roman" w:hAnsi="Times New Roman" w:cs="Times New Roman"/>
          <w:sz w:val="24"/>
          <w:szCs w:val="24"/>
          <w:lang w:val="en-US"/>
        </w:rPr>
        <w:t xml:space="preserve">in which the </w:t>
      </w:r>
      <w:r w:rsidRPr="00B21236">
        <w:rPr>
          <w:rFonts w:ascii="Times New Roman" w:hAnsi="Times New Roman" w:cs="Times New Roman"/>
          <w:sz w:val="24"/>
          <w:szCs w:val="24"/>
          <w:lang w:val="en-US"/>
        </w:rPr>
        <w:t xml:space="preserve">prevention strategy </w:t>
      </w:r>
      <w:r w:rsidR="00A671E0" w:rsidRPr="00B21236">
        <w:rPr>
          <w:rFonts w:ascii="Times New Roman" w:hAnsi="Times New Roman" w:cs="Times New Roman"/>
          <w:sz w:val="24"/>
          <w:szCs w:val="24"/>
          <w:lang w:val="en-US"/>
        </w:rPr>
        <w:t xml:space="preserve">would be </w:t>
      </w:r>
      <w:r w:rsidR="00542B80" w:rsidRPr="00B21236">
        <w:rPr>
          <w:rFonts w:ascii="Times New Roman" w:hAnsi="Times New Roman" w:cs="Times New Roman"/>
          <w:sz w:val="24"/>
          <w:szCs w:val="24"/>
          <w:lang w:val="en-US"/>
        </w:rPr>
        <w:t>indicated.</w:t>
      </w:r>
    </w:p>
    <w:p w14:paraId="1F360BC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776F603B"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06CBB072" w14:textId="50F6DBF2"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u w:val="single"/>
          <w:lang w:val="en-US"/>
        </w:rPr>
        <w:t xml:space="preserve">Nirsevimab </w:t>
      </w:r>
      <w:r w:rsidRPr="00B21236">
        <w:rPr>
          <w:rFonts w:ascii="Times New Roman" w:hAnsi="Times New Roman" w:cs="Times New Roman"/>
          <w:color w:val="000000"/>
          <w:sz w:val="24"/>
          <w:szCs w:val="24"/>
          <w:lang w:val="en-US"/>
        </w:rPr>
        <w:t>is the first investigational long-acting antibody designed to provide protection against RSV for infants ≤12 months (preterm and term born) in their first RSV season, and for children with congenital heart disease or chronic lung disease in their first and second RSV season</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{"citationID":"ZHcwffVQ","properties":{"formattedCitation":"[18]","plainCitation":"[18]","noteIndex":0},"citationItems":[{"id":69025,"uris":["http://zotero.org/groups/337550/items/Y5G8PH5Z"],"itemData":{"id":69025,"type":"post-weblog","title":"Nirsevimab EMA regulatory submission accepted under accelerated assessment for RSV protection in all infants","title-short":"Sanofi","URL":"https://www.sanofi.com/media-room/press-releases/2022/2022-02-17 14-00-00 2387084","author":[{"family":"Sanofi","given":""}],"issued":{"date-parts":[["2022"]]}}}],"schema":"https://github.com/citation-style-language/schema/raw/master/csl-citation.json"}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[18]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4F3CC660" w14:textId="53A24746"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u w:val="single"/>
          <w:lang w:val="en-US"/>
        </w:rPr>
        <w:t xml:space="preserve">Palivizumab </w:t>
      </w:r>
      <w:r w:rsidRPr="00B21236">
        <w:rPr>
          <w:rFonts w:ascii="Times New Roman" w:hAnsi="Times New Roman" w:cs="Times New Roman"/>
          <w:color w:val="000000"/>
          <w:sz w:val="24"/>
          <w:szCs w:val="24"/>
          <w:lang w:val="en-US"/>
        </w:rPr>
        <w:t xml:space="preserve">is indicated for premature children and/or children under 2 years of age with cardiopulmonary disease requiring hospitalization, which is estimated at 4.7% of the population. However, at present, the use of this drug in Spain is restricted and is administered </w:t>
      </w:r>
      <w:r w:rsidRPr="00B21236">
        <w:rPr>
          <w:rFonts w:ascii="Times New Roman" w:hAnsi="Times New Roman" w:cs="Times New Roman"/>
          <w:color w:val="000000"/>
          <w:sz w:val="24"/>
          <w:szCs w:val="24"/>
          <w:lang w:val="en-US"/>
        </w:rPr>
        <w:lastRenderedPageBreak/>
        <w:t xml:space="preserve">to approximately 1.42% of the population, and its use may vary between Autonomous </w:t>
      </w:r>
      <w:r w:rsidR="00D1228D">
        <w:rPr>
          <w:rFonts w:ascii="Times New Roman" w:hAnsi="Times New Roman" w:cs="Times New Roman"/>
          <w:color w:val="000000"/>
          <w:sz w:val="24"/>
          <w:szCs w:val="24"/>
          <w:lang w:val="en-US"/>
        </w:rPr>
        <w:t>Regions</w:t>
      </w:r>
      <w:r w:rsidRPr="00B21236">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{"citationID":"A7mjE092","properties":{"formattedCitation":"[5]","plainCitation":"[5]","noteIndex":0},"citationItems":[{"id":69245,"uris":["http://zotero.org/groups/337550/items/TQR3DIEA"],"itemData":{"id":69245,"type":"article-journal","container-title":"ESPID, Athens, 9-13th May","title":"Modeled impact of Nirsevimab against respiratory syncytial virus (RSV) AMONG Spanish infants experiencing their first RSV season [oral presentation O024 / #1329].","URL":"https://keneswp.azureedge.net/wp-content/uploads/sites/162/2022/05/ESPID22-Abstracts-Book.pdf","author":[{"family":"Drago","given":"G"},{"family":"Roiz","given":"J"},{"family":"Kazmierska","given":"Paulina"},{"family":"De Boisvilliers","given":"Solene"},{"family":"Álvarez","given":"Javier"},{"family":"Gil-Prieto","given":"Ruth"},{"family":"Perez-Martin","given":"Jaime"},{"family":"López-Belmonte","given":"Juan Luis"}],"issued":{"date-parts":[["2022"]]}}}],"schema":"https://github.com/citation-style-language/schema/raw/master/csl-citation.json"}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E36543">
        <w:rPr>
          <w:rFonts w:ascii="Times New Roman" w:hAnsi="Times New Roman" w:cs="Times New Roman"/>
          <w:sz w:val="24"/>
          <w:lang w:val="en-US"/>
        </w:rPr>
        <w:t>[5]</w:t>
      </w:r>
      <w:r w:rsidRPr="00B21236">
        <w:rPr>
          <w:rFonts w:ascii="Times New Roman" w:hAnsi="Times New Roman" w:cs="Times New Roman"/>
          <w:color w:val="000000"/>
          <w:sz w:val="24"/>
          <w:szCs w:val="24"/>
          <w:lang w:val="en-US"/>
        </w:rPr>
        <w:fldChar w:fldCharType="end"/>
      </w:r>
      <w:r w:rsidRPr="00B21236">
        <w:rPr>
          <w:rStyle w:val="Refdecomentario"/>
          <w:rFonts w:ascii="Times New Roman" w:hAnsi="Times New Roman" w:cs="Times New Roman"/>
          <w:sz w:val="24"/>
          <w:szCs w:val="24"/>
          <w:lang w:val="en-US"/>
        </w:rPr>
        <w:t>.</w:t>
      </w:r>
    </w:p>
    <w:p w14:paraId="50A08035" w14:textId="4D909684" w:rsidR="00A442E9" w:rsidRPr="00B21236" w:rsidRDefault="00262128" w:rsidP="00262128">
      <w:pPr>
        <w:pStyle w:val="Ttulo2"/>
        <w:spacing w:before="240" w:after="0" w:line="360" w:lineRule="auto"/>
        <w:rPr>
          <w:rFonts w:cs="Times New Roman"/>
          <w:szCs w:val="24"/>
          <w:lang w:val="en-US"/>
        </w:rPr>
      </w:pPr>
      <w:bookmarkStart w:id="4" w:name="_Toc135731175"/>
      <w:r>
        <w:rPr>
          <w:rFonts w:cs="Times New Roman"/>
          <w:szCs w:val="24"/>
          <w:lang w:val="en-US"/>
        </w:rPr>
        <w:t xml:space="preserve">Criterion 11. </w:t>
      </w:r>
      <w:r w:rsidR="00FD766C" w:rsidRPr="00B21236">
        <w:rPr>
          <w:rFonts w:cs="Times New Roman"/>
          <w:szCs w:val="24"/>
          <w:lang w:val="en-US"/>
        </w:rPr>
        <w:t xml:space="preserve">Efficacy </w:t>
      </w:r>
      <w:r w:rsidR="00555058" w:rsidRPr="00B21236">
        <w:rPr>
          <w:rFonts w:cs="Times New Roman"/>
          <w:szCs w:val="24"/>
          <w:lang w:val="en-US"/>
        </w:rPr>
        <w:t>of the preventive measure</w:t>
      </w:r>
      <w:bookmarkEnd w:id="4"/>
    </w:p>
    <w:p w14:paraId="38635C8D" w14:textId="455323CF" w:rsidR="00A442E9" w:rsidRPr="00B21236" w:rsidRDefault="006047C3">
      <w:pPr>
        <w:spacing w:after="120" w:line="360" w:lineRule="auto"/>
        <w:jc w:val="both"/>
        <w:rPr>
          <w:rFonts w:ascii="Times New Roman" w:hAnsi="Times New Roman" w:cs="Times New Roman"/>
          <w:sz w:val="24"/>
          <w:szCs w:val="24"/>
          <w:lang w:val="en-US"/>
        </w:rPr>
      </w:pPr>
      <w:r w:rsidRPr="001D5BA7">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672FB" w:rsidRPr="00B21236">
        <w:rPr>
          <w:rFonts w:ascii="Times New Roman" w:hAnsi="Times New Roman" w:cs="Times New Roman"/>
          <w:sz w:val="24"/>
          <w:szCs w:val="24"/>
          <w:lang w:val="en-US"/>
        </w:rPr>
        <w:t xml:space="preserve">Level of </w:t>
      </w:r>
      <w:r w:rsidR="002B3F71">
        <w:rPr>
          <w:rFonts w:ascii="Times New Roman" w:hAnsi="Times New Roman" w:cs="Times New Roman"/>
          <w:sz w:val="24"/>
          <w:szCs w:val="24"/>
          <w:lang w:val="en-US"/>
        </w:rPr>
        <w:t>efficacy</w:t>
      </w:r>
      <w:r w:rsidR="007672FB" w:rsidRPr="00B21236">
        <w:rPr>
          <w:rFonts w:ascii="Times New Roman" w:hAnsi="Times New Roman" w:cs="Times New Roman"/>
          <w:sz w:val="24"/>
          <w:szCs w:val="24"/>
          <w:lang w:val="en-US"/>
        </w:rPr>
        <w:t xml:space="preserve"> of the RSV preventive measure</w:t>
      </w:r>
      <w:r w:rsidRPr="00B21236">
        <w:rPr>
          <w:rFonts w:ascii="Times New Roman" w:hAnsi="Times New Roman" w:cs="Times New Roman"/>
          <w:sz w:val="24"/>
          <w:szCs w:val="24"/>
          <w:lang w:val="en-US"/>
        </w:rPr>
        <w:t>.</w:t>
      </w:r>
    </w:p>
    <w:p w14:paraId="56E26B42"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672FB" w:rsidRPr="00B21236">
        <w:rPr>
          <w:rFonts w:ascii="Times New Roman" w:hAnsi="Times New Roman" w:cs="Times New Roman"/>
          <w:sz w:val="24"/>
          <w:szCs w:val="24"/>
          <w:lang w:val="en-US"/>
        </w:rPr>
        <w:t>Relative</w:t>
      </w:r>
    </w:p>
    <w:p w14:paraId="0B93441B" w14:textId="77777777" w:rsidR="00A442E9" w:rsidRPr="00B21236" w:rsidRDefault="006047C3">
      <w:pPr>
        <w:spacing w:after="120" w:line="360" w:lineRule="auto"/>
        <w:jc w:val="both"/>
        <w:rPr>
          <w:rFonts w:ascii="Times New Roman" w:hAnsi="Times New Roman" w:cs="Times New Roman"/>
          <w:b/>
          <w:bCs/>
          <w:sz w:val="24"/>
          <w:szCs w:val="24"/>
          <w:lang w:val="en-US"/>
        </w:rPr>
      </w:pPr>
      <w:r w:rsidRPr="001D5BA7">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 xml:space="preserve">Evidence available </w:t>
      </w:r>
      <w:r w:rsidR="00F95EA8" w:rsidRPr="00B21236">
        <w:rPr>
          <w:rFonts w:ascii="Times New Roman" w:hAnsi="Times New Roman" w:cs="Times New Roman"/>
          <w:i/>
          <w:iCs/>
          <w:sz w:val="24"/>
          <w:szCs w:val="24"/>
          <w:lang w:val="en-US"/>
        </w:rPr>
        <w:t xml:space="preserve">for </w:t>
      </w:r>
      <w:r w:rsidRPr="00B21236">
        <w:rPr>
          <w:rFonts w:ascii="Times New Roman" w:hAnsi="Times New Roman" w:cs="Times New Roman"/>
          <w:i/>
          <w:iCs/>
          <w:sz w:val="24"/>
          <w:szCs w:val="24"/>
          <w:lang w:val="en-US"/>
        </w:rPr>
        <w:t>nirsevimab vs palivizumab</w:t>
      </w:r>
      <w:r w:rsidRPr="00B21236">
        <w:rPr>
          <w:rFonts w:ascii="Times New Roman" w:hAnsi="Times New Roman" w:cs="Times New Roman"/>
          <w:b/>
          <w:bCs/>
          <w:sz w:val="24"/>
          <w:szCs w:val="24"/>
          <w:lang w:val="en-US"/>
        </w:rPr>
        <w:t>.]</w:t>
      </w:r>
    </w:p>
    <w:p w14:paraId="2BA87156" w14:textId="77777777"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For the scoring of nirsevimab versus palivizumab, experts should consider the immunization context of the entire population, not just the palivizumab-eligible population. In this regard, it should be noted that palivizumab is indicated only in preterm or at-risk children, and its efficacy has not been demonstrated in 100% of the population of healthy, preterm children. </w:t>
      </w:r>
    </w:p>
    <w:p w14:paraId="12C5D65E" w14:textId="03A7E1C3" w:rsidR="00D72EFA" w:rsidRPr="00D72EFA" w:rsidRDefault="006047C3" w:rsidP="00765AB4">
      <w:pPr>
        <w:spacing w:after="120" w:line="360" w:lineRule="auto"/>
        <w:jc w:val="both"/>
        <w:rPr>
          <w:lang w:val="en-US"/>
        </w:rPr>
      </w:pPr>
      <w:r w:rsidRPr="00B21236">
        <w:rPr>
          <w:rFonts w:ascii="Times New Roman" w:hAnsi="Times New Roman" w:cs="Times New Roman"/>
          <w:color w:val="000000"/>
          <w:sz w:val="24"/>
          <w:szCs w:val="24"/>
          <w:lang w:val="en-US"/>
        </w:rPr>
        <w:t>The MEDLEY trial (NCT03959488</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{"citationID":"cK6fvEN8","properties":{"formattedCitation":"[9,p.03959488]","plainCitation":"[9,p.03959488]","noteIndex":0},"citationItems":[{"id":69019,"uris":["http://zotero.org/groups/337550/items/4VZHA9VK"],"itemData":{"id":69019,"type":"post-weblog","title":"A Phase 2/3 Randomized, Double-blind, Palivizumab-controlled Study to Evaluate the Safety of MEDI8897, a Monoclonal Antibody With an Extended Half-life Against Respiratory Syncytial Virus, in High-risk Children (MEDLEY), NCT03959488","URL":"https://clinicaltrials.gov/ct2/show/NCT03959488","author":[{"literal":"ClinicalTrials.gov"}],"issued":{"date-parts":[["2022"]]}},"locator":"03959488"}],"schema":"https://github.com/citation-style-language/schema/raw/master/csl-citation.json"}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8E369C">
        <w:rPr>
          <w:rFonts w:ascii="Times New Roman" w:hAnsi="Times New Roman" w:cs="Times New Roman"/>
          <w:sz w:val="24"/>
          <w:lang w:val="en-US"/>
        </w:rPr>
        <w:t>[9,p.03959488]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a phase 2/3 trial, has as its primary objective the comparison of the safety of nirsevimab versus palivizumab in the palivizumab-eligible population of children</w:t>
      </w:r>
      <w:r w:rsidRPr="00B21236">
        <w:rPr>
          <w:rStyle w:val="Refdenotaalpie"/>
          <w:rFonts w:ascii="Times New Roman" w:hAnsi="Times New Roman" w:cs="Times New Roman"/>
          <w:sz w:val="24"/>
          <w:szCs w:val="24"/>
          <w:lang w:val="en-US"/>
        </w:rPr>
        <w:footnoteReference w:id="2"/>
      </w:r>
      <w:r w:rsidRPr="00B21236">
        <w:rPr>
          <w:rFonts w:ascii="Times New Roman" w:hAnsi="Times New Roman" w:cs="Times New Roman"/>
          <w:color w:val="000000"/>
          <w:sz w:val="24"/>
          <w:szCs w:val="24"/>
          <w:lang w:val="en-US"/>
        </w:rPr>
        <w:t xml:space="preserve"> . For this reason, the evidence presented in this section makes an indirect comparison between the results of the phase 2b trial of nirsevimab</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{"citationID":"CE0tNjIY","properties":{"formattedCitation":"[8]","plainCitation":"[8]","noteIndex":0},"citationItems":[{"id":69073,"uris":["http://zotero.org/groups/337550/items/LXEUM8YI"],"itemData":{"id":69073,"type":"article-journal","container-title":"New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8E369C">
        <w:rPr>
          <w:rFonts w:ascii="Times New Roman" w:hAnsi="Times New Roman" w:cs="Times New Roman"/>
          <w:sz w:val="24"/>
          <w:lang w:val="en-US"/>
        </w:rPr>
        <w:t>[8]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(MEDI8897, NCT02878330</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{"citationID":"9vDI3IEB","properties":{"formattedCitation":"[7]","plainCitation":"[7]","noteIndex":0},"citationItems":[{"id":69076,"uris":["http://zotero.org/groups/337550/items/4B8VHGVY"],"itemData":{"id":69076,"type":"post-weblog","note":"submitted: August 22, 2016","title":"A Phase 2b Randomized, Double-Blind, Placebo-controlled Study to Evaluate the Safety and Efficacy of MEDI8897, a Monoclonal Antibody With an Extended Half-life Against Respiratory Syncytial Virus, in Healthy Preterm Infants","URL":"https://clinicaltrials.gov/ct2/show/NCT02878330","author":[{"literal":"ClinicalTrials.gov"}],"issued":{"date-parts":[["2019"]]}}}],"schema":"https://github.com/citation-style-language/schema/raw/master/csl-citation.json"}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8E369C">
        <w:rPr>
          <w:rFonts w:ascii="Times New Roman" w:hAnsi="Times New Roman" w:cs="Times New Roman"/>
          <w:sz w:val="24"/>
          <w:lang w:val="en-US"/>
        </w:rPr>
        <w:t>[7]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and the results of the pivotal trial of palivizumab (The Impact-RSV Study Group, 1998</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{"citationID":"vlHnF68H","properties":{"formattedCitation":"[6]","plainCitation":"[6]","noteIndex":0},"citationItems":[{"id":66947,"uris":["http://zotero.org/groups/337550/items/XKYAI45D"],"itemData":{"id":66947,"type":"article-journal","abstract":"OBJECTIVE: To determine the safety and efficacy of prophylaxis with palivizumab in reducing the incidence of hospitalization because of respiratory syncytial virus (RSV) infection in high-risk infants.\nMETHODS: A randomized, double-blind, placebo-controlled trial was conducted at 139 centers in the United States, the United Kingdom, and Canada. During the 1996 to 1997 RSV season, 1502 children with prematurity (less than or equal to 35 weeks) or bronchopulmonary dysplasia (BPD) were randomized to receive 5 injections of either palivizumab (15 mg/kg) or an equivalent volume of placebo by intramuscular injection every 30 days. The primary endpoint was hospitalization with confirmed RSV infection. Children were followed for 150 days (30 days from the last injection). Those with hospitalization as a result of RSV infection were evaluated for total number of days in the hospital, total days with increased supplemental oxygen, total days with moderate or severe lower respiratory tract illness, and incidence and total days of intensive care and mechanical ventilation. The incidence of hospitalization for respiratory illness not caused by RSV and the incidence of otitis media were also evaluated. The placebo and palivizumab groups were balanced at entry for demographics and RSV risk factors. Ninety-nine percent of children in both groups completed the protocol and approximately 93% received all five scheduled injections.\nRESULTS: Palivizumab prophylaxis resulted in a 55% reduction in hospitalization as a result of RSV (10.6% placebo vs 4.8% palivizumab). Children with prematurity but without BPD had a 78% reduction in RSV hospitalization (8.1% vs 1.8%); children with BPD had a 39% reduction (12.8% vs 7.9%). When gender, entry age, entry weight, BPD, and gestational age were included in a logistic regression model, the effect of prophylaxis with palivizumab remained statistically significant. The palivizumab group had proportionally fewer total RSV hospital days, fewer RSV hospital days with increased oxygen, fewer RSV hospital days with a moderate/severe lower respiratory tract illness, and a lower incidence of intensive care unit admission. Palivizumab was safe and well tolerated. No significant differences were observed in reported adverse events between the two groups. Few children discontinued injections for related adverse events (0.3%). Reactions at the site of injection were uncommon (1.8% placebo vs 2.7% palivizumab); the most frequent reaction was mild and transient erythema. Mild or moderate elevations of aspartate aminotransferase occurred in 1.6% of placebo recipients and 3.6% of palivizumab recipients; for alanine aminotransferase these percentages were 2.0% and 2.3%, respectively. Hepatic and renal adverse events related to the study drug were similar in the two groups.\nCONCLUSIONS: Monthly intramuscular administration of palivizumab is safe and effective for prevention of serious RSV illness in premature children and those with BPD.","container-title":"Pediatrics","ISSN":"0031-4005","issue":"3 Pt 1","journalAbbreviation":"Pediatrics","language":"eng","note":"PMID: 9738173","page":"531-537","source":"PubMed","title":"Palivizumab, a humanized respiratory syncytial virus monoclonal antibody, reduces hospitalization from respiratory syncytial virus infection in high-risk infants. The IMpact-RSV Study Group","volume":"102","author":[{"literal":"IMpact-RSV Study Group"}],"issued":{"date-parts":[["1998"]]}}}],"schema":"https://github.com/citation-style-language/schema/raw/master/csl-citation.json"}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E36543">
        <w:rPr>
          <w:rFonts w:ascii="Times New Roman" w:hAnsi="Times New Roman" w:cs="Times New Roman"/>
          <w:sz w:val="24"/>
          <w:lang w:val="en-US"/>
        </w:rPr>
        <w:t>[6]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r w:rsidR="00765AB4">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t>The main characteristics of each study are as follows</w:t>
      </w:r>
      <w:r w:rsidR="00BB79C7" w:rsidRPr="00B21236">
        <w:rPr>
          <w:rFonts w:ascii="Times New Roman" w:hAnsi="Times New Roman" w:cs="Times New Roman"/>
          <w:color w:val="000000"/>
          <w:sz w:val="24"/>
          <w:szCs w:val="24"/>
          <w:lang w:val="en-US"/>
        </w:rPr>
        <w:t>:</w:t>
      </w:r>
    </w:p>
    <w:p w14:paraId="4489CC93" w14:textId="016E8591" w:rsidR="00A442E9" w:rsidRPr="00B21236" w:rsidRDefault="006047C3">
      <w:pPr>
        <w:spacing w:line="360" w:lineRule="auto"/>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Table (S</w:t>
      </w:r>
      <w:r w:rsidR="00765AB4">
        <w:rPr>
          <w:rFonts w:ascii="Times New Roman" w:hAnsi="Times New Roman" w:cs="Times New Roman"/>
          <w:b/>
          <w:bCs/>
          <w:sz w:val="24"/>
          <w:szCs w:val="24"/>
          <w:lang w:val="en-US"/>
        </w:rPr>
        <w:t>9</w:t>
      </w:r>
      <w:r w:rsidRPr="00B21236">
        <w:rPr>
          <w:rFonts w:ascii="Times New Roman" w:hAnsi="Times New Roman" w:cs="Times New Roman"/>
          <w:b/>
          <w:bCs/>
          <w:sz w:val="24"/>
          <w:szCs w:val="24"/>
          <w:lang w:val="en-US"/>
        </w:rPr>
        <w:t xml:space="preserve">).1. </w:t>
      </w:r>
      <w:r w:rsidR="0029606D" w:rsidRPr="00B21236">
        <w:rPr>
          <w:rFonts w:ascii="Times New Roman" w:hAnsi="Times New Roman" w:cs="Times New Roman"/>
          <w:b/>
          <w:bCs/>
          <w:sz w:val="24"/>
          <w:szCs w:val="24"/>
          <w:lang w:val="en-US"/>
        </w:rPr>
        <w:t>Characteristics of nirsevimab and palivizumab trials conducted in the population of palivizumab-eligible children.</w:t>
      </w:r>
    </w:p>
    <w:tbl>
      <w:tblPr>
        <w:tblStyle w:val="Tabladelista3"/>
        <w:tblW w:w="0" w:type="auto"/>
        <w:tblLook w:val="04A0" w:firstRow="1" w:lastRow="0" w:firstColumn="1" w:lastColumn="0" w:noHBand="0" w:noVBand="1"/>
      </w:tblPr>
      <w:tblGrid>
        <w:gridCol w:w="1980"/>
        <w:gridCol w:w="3540"/>
        <w:gridCol w:w="3540"/>
      </w:tblGrid>
      <w:tr w:rsidR="00F83F8E" w:rsidRPr="00E36543" w14:paraId="5B85B4E9" w14:textId="77777777" w:rsidTr="00F83F8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80" w:type="dxa"/>
          </w:tcPr>
          <w:p w14:paraId="649F0A5F" w14:textId="77777777" w:rsidR="00F83F8E" w:rsidRPr="00B21236" w:rsidRDefault="00F83F8E" w:rsidP="002A5DD8">
            <w:pPr>
              <w:jc w:val="both"/>
              <w:rPr>
                <w:rFonts w:ascii="Times New Roman" w:hAnsi="Times New Roman" w:cs="Times New Roman"/>
                <w:color w:val="000000"/>
                <w:sz w:val="18"/>
                <w:szCs w:val="18"/>
                <w:lang w:val="en-US"/>
              </w:rPr>
            </w:pPr>
          </w:p>
        </w:tc>
        <w:tc>
          <w:tcPr>
            <w:tcW w:w="3540" w:type="dxa"/>
          </w:tcPr>
          <w:p w14:paraId="7579E9E8" w14:textId="6B1FE266" w:rsidR="00A442E9" w:rsidRPr="00B21236" w:rsidRDefault="006047C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sidRPr="00B21236">
              <w:rPr>
                <w:rFonts w:ascii="Times New Roman" w:hAnsi="Times New Roman" w:cs="Times New Roman"/>
                <w:sz w:val="18"/>
                <w:szCs w:val="18"/>
                <w:lang w:val="en-US"/>
              </w:rPr>
              <w:t xml:space="preserve">Nirsevimab </w:t>
            </w:r>
            <w:r w:rsidRPr="00B21236">
              <w:rPr>
                <w:rFonts w:ascii="Times New Roman" w:hAnsi="Times New Roman" w:cs="Times New Roman"/>
                <w:sz w:val="18"/>
                <w:szCs w:val="18"/>
                <w:lang w:val="en-US"/>
              </w:rPr>
              <w:fldChar w:fldCharType="begin"/>
            </w:r>
            <w:r w:rsidR="00FF2E9A">
              <w:rPr>
                <w:rFonts w:ascii="Times New Roman" w:hAnsi="Times New Roman" w:cs="Times New Roman"/>
                <w:sz w:val="18"/>
                <w:szCs w:val="18"/>
                <w:lang w:val="en-US"/>
              </w:rPr>
              <w:instrText xml:space="preserve"> ADDIN ZOTERO_ITEM CSL_CITATION {"citationID":"64TTLOgQ","properties":{"formattedCitation":"[8]","plainCitation":"[8]","noteIndex":0},"citationItems":[{"id":69073,"uris":["http://zotero.org/groups/337550/items/LXEUM8YI"],"itemData":{"id":69073,"type":"article-journal","container-title":"New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P."}],"issued":{"date-parts":[["2020"]]}}}],"schema":"https://github.com/citation-style-language/schema/raw/master/csl-citation.json"} </w:instrText>
            </w:r>
            <w:r w:rsidRPr="00B21236">
              <w:rPr>
                <w:rFonts w:ascii="Times New Roman" w:hAnsi="Times New Roman" w:cs="Times New Roman"/>
                <w:sz w:val="18"/>
                <w:szCs w:val="18"/>
                <w:lang w:val="en-US"/>
              </w:rPr>
              <w:fldChar w:fldCharType="separate"/>
            </w:r>
            <w:r w:rsidR="00FF2E9A" w:rsidRPr="00FF2E9A">
              <w:rPr>
                <w:rFonts w:ascii="Times New Roman" w:hAnsi="Times New Roman" w:cs="Times New Roman"/>
                <w:sz w:val="18"/>
              </w:rPr>
              <w:t>[8]</w:t>
            </w:r>
            <w:r w:rsidRPr="00B21236">
              <w:rPr>
                <w:rFonts w:ascii="Times New Roman" w:hAnsi="Times New Roman" w:cs="Times New Roman"/>
                <w:sz w:val="18"/>
                <w:szCs w:val="18"/>
                <w:lang w:val="en-US"/>
              </w:rPr>
              <w:fldChar w:fldCharType="end"/>
            </w:r>
          </w:p>
          <w:p w14:paraId="610F668F" w14:textId="67096D7E" w:rsidR="00A442E9" w:rsidRPr="00B21236" w:rsidRDefault="006047C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sidRPr="00B21236">
              <w:rPr>
                <w:rFonts w:ascii="Times New Roman" w:hAnsi="Times New Roman" w:cs="Times New Roman"/>
                <w:sz w:val="18"/>
                <w:szCs w:val="18"/>
                <w:lang w:val="en-US"/>
              </w:rPr>
              <w:t>(phase 2b, MEDI8897, NCT02878330</w:t>
            </w:r>
            <w:r w:rsidRPr="00B21236">
              <w:rPr>
                <w:rFonts w:ascii="Times New Roman" w:hAnsi="Times New Roman" w:cs="Times New Roman"/>
                <w:sz w:val="18"/>
                <w:szCs w:val="18"/>
                <w:lang w:val="en-US"/>
              </w:rPr>
              <w:fldChar w:fldCharType="begin"/>
            </w:r>
            <w:r w:rsidR="00FF2E9A">
              <w:rPr>
                <w:rFonts w:ascii="Times New Roman" w:hAnsi="Times New Roman" w:cs="Times New Roman"/>
                <w:sz w:val="18"/>
                <w:szCs w:val="18"/>
                <w:lang w:val="en-US"/>
              </w:rPr>
              <w:instrText xml:space="preserve"> ADDIN ZOTERO_ITEM CSL_CITATION {"citationID":"F2fitAVL","properties":{"formattedCitation":"[7]","plainCitation":"[7]","noteIndex":0},"citationItems":[{"id":69076,"uris":["http://zotero.org/groups/337550/items/4B8VHGVY"],"itemData":{"id":69076,"type":"post-weblog","note":"submitted: August 22, 2016","title":"A Phase 2b Randomized, Double-Blind, Placebo-controlled Study to Evaluate the Safety and Efficacy of MEDI8897, a Monoclonal Antibody With an Extended Half-life Against Respiratory Syncytial Virus, in Healthy Preterm Infants","URL":"https://clinicaltrials.gov/ct2/show/NCT02878330","author":[{"literal":"ClinicalTrials.gov"}],"issued":{"date-parts":[["2019"]]}}}],"schema":"https://github.com/citation-style-language/schema/raw/master/csl-citation.json"} </w:instrText>
            </w:r>
            <w:r w:rsidRPr="00B21236">
              <w:rPr>
                <w:rFonts w:ascii="Times New Roman" w:hAnsi="Times New Roman" w:cs="Times New Roman"/>
                <w:sz w:val="18"/>
                <w:szCs w:val="18"/>
                <w:lang w:val="en-US"/>
              </w:rPr>
              <w:fldChar w:fldCharType="separate"/>
            </w:r>
            <w:r w:rsidR="00FF2E9A" w:rsidRPr="00FF2E9A">
              <w:rPr>
                <w:rFonts w:ascii="Times New Roman" w:hAnsi="Times New Roman" w:cs="Times New Roman"/>
                <w:sz w:val="18"/>
              </w:rPr>
              <w:t>[7]</w:t>
            </w:r>
            <w:r w:rsidRPr="00B21236">
              <w:rPr>
                <w:rFonts w:ascii="Times New Roman" w:hAnsi="Times New Roman" w:cs="Times New Roman"/>
                <w:sz w:val="18"/>
                <w:szCs w:val="18"/>
                <w:lang w:val="en-US"/>
              </w:rPr>
              <w:fldChar w:fldCharType="end"/>
            </w:r>
            <w:r w:rsidRPr="00B21236">
              <w:rPr>
                <w:rFonts w:ascii="Times New Roman" w:hAnsi="Times New Roman" w:cs="Times New Roman"/>
                <w:sz w:val="18"/>
                <w:szCs w:val="18"/>
                <w:lang w:val="en-US"/>
              </w:rPr>
              <w:t>)</w:t>
            </w:r>
          </w:p>
        </w:tc>
        <w:tc>
          <w:tcPr>
            <w:tcW w:w="3540" w:type="dxa"/>
          </w:tcPr>
          <w:p w14:paraId="26DE70C4" w14:textId="77777777" w:rsidR="00A442E9" w:rsidRPr="00B21236" w:rsidRDefault="006047C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sidRPr="00B21236">
              <w:rPr>
                <w:rFonts w:ascii="Times New Roman" w:hAnsi="Times New Roman" w:cs="Times New Roman"/>
                <w:sz w:val="18"/>
                <w:szCs w:val="18"/>
                <w:lang w:val="en-US"/>
              </w:rPr>
              <w:t>Palivizumab</w:t>
            </w:r>
          </w:p>
          <w:p w14:paraId="3E98C97F" w14:textId="3D840D1A" w:rsidR="00A442E9" w:rsidRPr="00B21236" w:rsidRDefault="006047C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sidRPr="00B21236">
              <w:rPr>
                <w:rFonts w:ascii="Times New Roman" w:hAnsi="Times New Roman" w:cs="Times New Roman"/>
                <w:sz w:val="18"/>
                <w:szCs w:val="18"/>
                <w:lang w:val="en-US"/>
              </w:rPr>
              <w:t>(The Impact-RSV Study</w:t>
            </w:r>
            <w:r w:rsidRPr="00B21236">
              <w:rPr>
                <w:rFonts w:ascii="Times New Roman" w:hAnsi="Times New Roman" w:cs="Times New Roman"/>
                <w:sz w:val="18"/>
                <w:szCs w:val="18"/>
                <w:lang w:val="en-US"/>
              </w:rPr>
              <w:fldChar w:fldCharType="begin"/>
            </w:r>
            <w:r w:rsidR="00FF2E9A">
              <w:rPr>
                <w:rFonts w:ascii="Times New Roman" w:hAnsi="Times New Roman" w:cs="Times New Roman"/>
                <w:sz w:val="18"/>
                <w:szCs w:val="18"/>
                <w:lang w:val="en-US"/>
              </w:rPr>
              <w:instrText xml:space="preserve"> ADDIN ZOTERO_ITEM CSL_CITATION {"citationID":"gMtExXEz","properties":{"formattedCitation":"[6]","plainCitation":"[6]","noteIndex":0},"citationItems":[{"id":66947,"uris":["http://zotero.org/groups/337550/items/XKYAI45D"],"itemData":{"id":66947,"type":"article-journal","abstract":"OBJECTIVE: To determine the safety and efficacy of prophylaxis with palivizumab in reducing the incidence of hospitalization because of respiratory syncytial virus (RSV) infection in high-risk infants.\nMETHODS: A randomized, double-blind, placebo-controlled trial was conducted at 139 centers in the United States, the United Kingdom, and Canada. During the 1996 to 1997 RSV season, 1502 children with prematurity (less than or equal to 35 weeks) or bronchopulmonary dysplasia (BPD) were randomized to receive 5 injections of either palivizumab (15 mg/kg) or an equivalent volume of placebo by intramuscular injection every 30 days. The primary endpoint was hospitalization with confirmed RSV infection. Children were followed for 150 days (30 days from the last injection). Those with hospitalization as a result of RSV infection were evaluated for total number of days in the hospital, total days with increased supplemental oxygen, total days with moderate or severe lower respiratory tract illness, and incidence and total days of intensive care and mechanical ventilation. The incidence of hospitalization for respiratory illness not caused by RSV and the incidence of otitis media were also evaluated. The placebo and palivizumab groups were balanced at entry for demographics and RSV risk factors. Ninety-nine percent of children in both groups completed the protocol and approximately 93% received all five scheduled injections.\nRESULTS: Palivizumab prophylaxis resulted in a 55% reduction in hospitalization as a result of RSV (10.6% placebo vs 4.8% palivizumab). Children with prematurity but without BPD had a 78% reduction in RSV hospitalization (8.1% vs 1.8%); children with BPD had a 39% reduction (12.8% vs 7.9%). When gender, entry age, entry weight, BPD, and gestational age were included in a logistic regression model, the effect of prophylaxis with palivizumab remained statistically significant. The palivizumab group had proportionally fewer total RSV hospital days, fewer RSV hospital days with increased oxygen, fewer RSV hospital days with a moderate/severe lower respiratory tract illness, and a lower incidence of intensive care unit admission. Palivizumab was safe and well tolerated. No significant differences were observed in reported adverse events between the two groups. Few children discontinued injections for related adverse events (0.3%). Reactions at the site of injection were uncommon (1.8% placebo vs 2.7% palivizumab); the most frequent reaction was mild and transient erythema. Mild or moderate elevations of aspartate aminotransferase occurred in 1.6% of placebo recipients and 3.6% of palivizumab recipients; for alanine aminotransferase these percentages were 2.0% and 2.3%, respectively. Hepatic and renal adverse events related to the study drug were similar in the two groups.\nCONCLUSIONS: Monthly intramuscular administration of palivizumab is safe and effective for prevention of serious RSV illness in premature children and those with BPD.","container-title":"Pediatrics","ISSN":"0031-4005","issue":"3 Pt 1","journalAbbreviation":"Pediatrics","language":"eng","note":"PMID: 9738173","page":"531-537","source":"PubMed","title":"Palivizumab, a humanized respiratory syncytial virus monoclonal antibody, reduces hospitalization from respiratory syncytial virus infection in high-risk infants. The IMpact-RSV Study Group","volume":"102","author":[{"literal":"IMpact-RSV Study Group"}],"issued":{"date-parts":[["1998"]]}}}],"schema":"https://github.com/citation-style-language/schema/raw/master/csl-citation.json"} </w:instrText>
            </w:r>
            <w:r w:rsidRPr="00B21236">
              <w:rPr>
                <w:rFonts w:ascii="Times New Roman" w:hAnsi="Times New Roman" w:cs="Times New Roman"/>
                <w:sz w:val="18"/>
                <w:szCs w:val="18"/>
                <w:lang w:val="en-US"/>
              </w:rPr>
              <w:fldChar w:fldCharType="separate"/>
            </w:r>
            <w:r w:rsidR="00FF2E9A" w:rsidRPr="008E369C">
              <w:rPr>
                <w:rFonts w:ascii="Times New Roman" w:hAnsi="Times New Roman" w:cs="Times New Roman"/>
                <w:sz w:val="18"/>
                <w:lang w:val="en-US"/>
              </w:rPr>
              <w:t>[6]</w:t>
            </w:r>
            <w:r w:rsidRPr="00B21236">
              <w:rPr>
                <w:rFonts w:ascii="Times New Roman" w:hAnsi="Times New Roman" w:cs="Times New Roman"/>
                <w:sz w:val="18"/>
                <w:szCs w:val="18"/>
                <w:lang w:val="en-US"/>
              </w:rPr>
              <w:fldChar w:fldCharType="end"/>
            </w:r>
            <w:r w:rsidRPr="00B21236">
              <w:rPr>
                <w:rFonts w:ascii="Times New Roman" w:hAnsi="Times New Roman" w:cs="Times New Roman"/>
                <w:sz w:val="18"/>
                <w:szCs w:val="18"/>
                <w:lang w:val="en-US"/>
              </w:rPr>
              <w:t>)</w:t>
            </w:r>
          </w:p>
        </w:tc>
      </w:tr>
      <w:tr w:rsidR="00F83F8E" w:rsidRPr="00E36543" w14:paraId="2E8B70C6" w14:textId="77777777" w:rsidTr="00F83F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0676F31E"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Methodology</w:t>
            </w:r>
          </w:p>
        </w:tc>
        <w:tc>
          <w:tcPr>
            <w:tcW w:w="3540" w:type="dxa"/>
          </w:tcPr>
          <w:p w14:paraId="1C59818B"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Randomized, double-blind, one administration prior to RSV season</w:t>
            </w:r>
          </w:p>
        </w:tc>
        <w:tc>
          <w:tcPr>
            <w:tcW w:w="3540" w:type="dxa"/>
          </w:tcPr>
          <w:p w14:paraId="30CB7B74"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Randomized, double-blinded, 5 administrations every 30 days</w:t>
            </w:r>
          </w:p>
        </w:tc>
      </w:tr>
      <w:tr w:rsidR="00F83F8E" w:rsidRPr="00E36543" w14:paraId="2967A918" w14:textId="77777777" w:rsidTr="00F83F8E">
        <w:tc>
          <w:tcPr>
            <w:cnfStyle w:val="001000000000" w:firstRow="0" w:lastRow="0" w:firstColumn="1" w:lastColumn="0" w:oddVBand="0" w:evenVBand="0" w:oddHBand="0" w:evenHBand="0" w:firstRowFirstColumn="0" w:firstRowLastColumn="0" w:lastRowFirstColumn="0" w:lastRowLastColumn="0"/>
            <w:tcW w:w="1980" w:type="dxa"/>
          </w:tcPr>
          <w:p w14:paraId="094BCF56"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Population</w:t>
            </w:r>
          </w:p>
        </w:tc>
        <w:tc>
          <w:tcPr>
            <w:tcW w:w="3540" w:type="dxa"/>
          </w:tcPr>
          <w:p w14:paraId="3C5DC094"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Healthy preterm infants (29 weeks 0 days to 34 weeks 6 days gestation)</w:t>
            </w:r>
          </w:p>
        </w:tc>
        <w:tc>
          <w:tcPr>
            <w:tcW w:w="3540" w:type="dxa"/>
          </w:tcPr>
          <w:p w14:paraId="73B1B94A"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Premature infants (≤35 weeks) or infants with bronchopulmonary dysplasia</w:t>
            </w:r>
          </w:p>
        </w:tc>
      </w:tr>
      <w:tr w:rsidR="00F83F8E" w:rsidRPr="00E36543" w14:paraId="73AEF98F" w14:textId="77777777" w:rsidTr="00F83F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041E4FB0"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Comparison</w:t>
            </w:r>
          </w:p>
        </w:tc>
        <w:tc>
          <w:tcPr>
            <w:tcW w:w="3540" w:type="dxa"/>
          </w:tcPr>
          <w:p w14:paraId="19E3B389"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 xml:space="preserve">Nirsevimab (50mg) </w:t>
            </w:r>
            <w:r w:rsidRPr="00B21236">
              <w:rPr>
                <w:rFonts w:ascii="Times New Roman" w:hAnsi="Times New Roman" w:cs="Times New Roman"/>
                <w:i/>
                <w:iCs/>
                <w:color w:val="000000"/>
                <w:sz w:val="18"/>
                <w:szCs w:val="18"/>
                <w:lang w:val="en-US"/>
              </w:rPr>
              <w:t xml:space="preserve">vs </w:t>
            </w:r>
            <w:r w:rsidRPr="00B21236">
              <w:rPr>
                <w:rFonts w:ascii="Times New Roman" w:hAnsi="Times New Roman" w:cs="Times New Roman"/>
                <w:color w:val="000000"/>
                <w:sz w:val="18"/>
                <w:szCs w:val="18"/>
                <w:lang w:val="en-US"/>
              </w:rPr>
              <w:t>placebo</w:t>
            </w:r>
          </w:p>
        </w:tc>
        <w:tc>
          <w:tcPr>
            <w:tcW w:w="3540" w:type="dxa"/>
          </w:tcPr>
          <w:p w14:paraId="4F6B42C5"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 xml:space="preserve">Palivizumab (15 mg/kg) </w:t>
            </w:r>
            <w:r w:rsidRPr="00B21236">
              <w:rPr>
                <w:rFonts w:ascii="Times New Roman" w:hAnsi="Times New Roman" w:cs="Times New Roman"/>
                <w:i/>
                <w:iCs/>
                <w:color w:val="000000"/>
                <w:sz w:val="18"/>
                <w:szCs w:val="18"/>
                <w:lang w:val="en-US"/>
              </w:rPr>
              <w:t xml:space="preserve">vs </w:t>
            </w:r>
            <w:r w:rsidRPr="00B21236">
              <w:rPr>
                <w:rFonts w:ascii="Times New Roman" w:hAnsi="Times New Roman" w:cs="Times New Roman"/>
                <w:color w:val="000000"/>
                <w:sz w:val="18"/>
                <w:szCs w:val="18"/>
                <w:lang w:val="en-US"/>
              </w:rPr>
              <w:t>placebo</w:t>
            </w:r>
          </w:p>
        </w:tc>
      </w:tr>
      <w:tr w:rsidR="00F83F8E" w:rsidRPr="00E36543" w14:paraId="7ACAE986" w14:textId="77777777" w:rsidTr="00F83F8E">
        <w:tc>
          <w:tcPr>
            <w:cnfStyle w:val="001000000000" w:firstRow="0" w:lastRow="0" w:firstColumn="1" w:lastColumn="0" w:oddVBand="0" w:evenVBand="0" w:oddHBand="0" w:evenHBand="0" w:firstRowFirstColumn="0" w:firstRowLastColumn="0" w:lastRowFirstColumn="0" w:lastRowLastColumn="0"/>
            <w:tcW w:w="1980" w:type="dxa"/>
          </w:tcPr>
          <w:p w14:paraId="60ED5BA7"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N</w:t>
            </w:r>
          </w:p>
        </w:tc>
        <w:tc>
          <w:tcPr>
            <w:tcW w:w="3540" w:type="dxa"/>
          </w:tcPr>
          <w:p w14:paraId="0CE1F894"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1,453 (969 nirsevimab, 484 placebo)</w:t>
            </w:r>
          </w:p>
        </w:tc>
        <w:tc>
          <w:tcPr>
            <w:tcW w:w="3540" w:type="dxa"/>
          </w:tcPr>
          <w:p w14:paraId="5409F040"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1,502 (1,002 palivizumab, 500 placebo)</w:t>
            </w:r>
          </w:p>
        </w:tc>
      </w:tr>
      <w:tr w:rsidR="00F83F8E" w:rsidRPr="00E36543" w14:paraId="01C80841" w14:textId="77777777" w:rsidTr="00F83F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C52A0B8" w14:textId="31CA9508" w:rsidR="00A442E9" w:rsidRPr="00B21236" w:rsidRDefault="00B01200">
            <w:pPr>
              <w:jc w:val="both"/>
              <w:rPr>
                <w:rFonts w:ascii="Times New Roman" w:hAnsi="Times New Roman" w:cs="Times New Roman"/>
                <w:color w:val="000000"/>
                <w:sz w:val="18"/>
                <w:szCs w:val="18"/>
                <w:lang w:val="en-US"/>
              </w:rPr>
            </w:pPr>
            <w:r>
              <w:rPr>
                <w:rFonts w:ascii="Times New Roman" w:hAnsi="Times New Roman" w:cs="Times New Roman"/>
                <w:color w:val="000000"/>
                <w:sz w:val="18"/>
                <w:szCs w:val="18"/>
                <w:lang w:val="en-US"/>
              </w:rPr>
              <w:t>Efficacy</w:t>
            </w:r>
            <w:r w:rsidRPr="00B21236">
              <w:rPr>
                <w:rFonts w:ascii="Times New Roman" w:hAnsi="Times New Roman" w:cs="Times New Roman"/>
                <w:color w:val="000000"/>
                <w:sz w:val="18"/>
                <w:szCs w:val="18"/>
                <w:lang w:val="en-US"/>
              </w:rPr>
              <w:t xml:space="preserve"> variables</w:t>
            </w:r>
          </w:p>
        </w:tc>
        <w:tc>
          <w:tcPr>
            <w:tcW w:w="3540" w:type="dxa"/>
          </w:tcPr>
          <w:p w14:paraId="28EC61AD"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Primary: medically attended RSV-associated lower respiratory tract infection up to 150 days after dose administration.</w:t>
            </w:r>
          </w:p>
          <w:p w14:paraId="0F6BF17B"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Secondary: hospitalization for RSV-associated lower respiratory tract infection up to 150 days after dose administration</w:t>
            </w:r>
          </w:p>
        </w:tc>
        <w:tc>
          <w:tcPr>
            <w:tcW w:w="3540" w:type="dxa"/>
          </w:tcPr>
          <w:p w14:paraId="3B1BC809"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Main: hospitalization with confirmed RSV infection.</w:t>
            </w:r>
          </w:p>
          <w:p w14:paraId="33D5DEA2" w14:textId="77777777" w:rsidR="00A442E9" w:rsidRPr="00B21236" w:rsidRDefault="006047C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Secondary: incidence of hospitalization for respiratory disease not caused by RSV and incidence of otitis media.</w:t>
            </w:r>
          </w:p>
        </w:tc>
      </w:tr>
    </w:tbl>
    <w:p w14:paraId="2ECAACC4" w14:textId="4AAFB243" w:rsidR="00A442E9" w:rsidRPr="00B21236" w:rsidRDefault="006047C3" w:rsidP="006F17DE">
      <w:pPr>
        <w:spacing w:before="120"/>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 xml:space="preserve">Note: In this table, </w:t>
      </w:r>
      <w:r w:rsidRPr="00220FFE">
        <w:rPr>
          <w:rFonts w:ascii="Times New Roman" w:hAnsi="Times New Roman" w:cs="Times New Roman"/>
          <w:color w:val="000000"/>
          <w:sz w:val="18"/>
          <w:szCs w:val="18"/>
          <w:lang w:val="en-US"/>
        </w:rPr>
        <w:t xml:space="preserve">only the </w:t>
      </w:r>
      <w:r w:rsidR="003A1288">
        <w:rPr>
          <w:rFonts w:ascii="Times New Roman" w:hAnsi="Times New Roman" w:cs="Times New Roman"/>
          <w:color w:val="000000"/>
          <w:sz w:val="18"/>
          <w:szCs w:val="18"/>
          <w:lang w:val="en-US"/>
        </w:rPr>
        <w:t>phase 2b</w:t>
      </w:r>
      <w:r w:rsidR="003A1288" w:rsidRPr="00220FFE">
        <w:rPr>
          <w:rFonts w:ascii="Times New Roman" w:hAnsi="Times New Roman" w:cs="Times New Roman"/>
          <w:color w:val="000000"/>
          <w:sz w:val="18"/>
          <w:szCs w:val="18"/>
          <w:lang w:val="en-US"/>
        </w:rPr>
        <w:t xml:space="preserve"> </w:t>
      </w:r>
      <w:r w:rsidRPr="00220FFE">
        <w:rPr>
          <w:rFonts w:ascii="Times New Roman" w:hAnsi="Times New Roman" w:cs="Times New Roman"/>
          <w:color w:val="000000"/>
          <w:sz w:val="18"/>
          <w:szCs w:val="18"/>
          <w:lang w:val="en-US"/>
        </w:rPr>
        <w:t>trial for nirsevimab has bee</w:t>
      </w:r>
      <w:r w:rsidRPr="0035421E">
        <w:rPr>
          <w:rFonts w:ascii="Times New Roman" w:hAnsi="Times New Roman" w:cs="Times New Roman"/>
          <w:color w:val="000000"/>
          <w:sz w:val="18"/>
          <w:szCs w:val="18"/>
          <w:lang w:val="en-US"/>
        </w:rPr>
        <w:t>n included,</w:t>
      </w:r>
      <w:r w:rsidRPr="00B21236">
        <w:rPr>
          <w:rFonts w:ascii="Times New Roman" w:hAnsi="Times New Roman" w:cs="Times New Roman"/>
          <w:color w:val="000000"/>
          <w:sz w:val="18"/>
          <w:szCs w:val="18"/>
          <w:lang w:val="en-US"/>
        </w:rPr>
        <w:t xml:space="preserve"> and the characteristics of the MELODY trial have not been included. The reason for the exclusion of the MELODY trial in the comparison between nirsevimab and palivizumab is based on the fact that the </w:t>
      </w:r>
      <w:r w:rsidR="00B014B3">
        <w:rPr>
          <w:rFonts w:ascii="Times New Roman" w:hAnsi="Times New Roman" w:cs="Times New Roman"/>
          <w:color w:val="000000"/>
          <w:sz w:val="18"/>
          <w:szCs w:val="18"/>
          <w:lang w:val="en-US"/>
        </w:rPr>
        <w:t>MELODY</w:t>
      </w:r>
      <w:r w:rsidRPr="00B21236">
        <w:rPr>
          <w:rFonts w:ascii="Times New Roman" w:hAnsi="Times New Roman" w:cs="Times New Roman"/>
          <w:color w:val="000000"/>
          <w:sz w:val="18"/>
          <w:szCs w:val="18"/>
          <w:lang w:val="en-US"/>
        </w:rPr>
        <w:t xml:space="preserve"> trial is not comparable to the palivizumab trial, due to the inclusion of different populations. MELODY includes infants born at a gestational age of at least 35 weeks and who were in their first RSV season at the time of the trial, whereas the palivizumab trial includes infants born preterm (≤35 weeks) or with bronchopulmonary dysplasia.</w:t>
      </w:r>
    </w:p>
    <w:p w14:paraId="3052B2B8" w14:textId="77777777" w:rsidR="00A442E9" w:rsidRPr="00B21236" w:rsidRDefault="006047C3">
      <w:pPr>
        <w:spacing w:before="240"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lastRenderedPageBreak/>
        <w:t>The main results are shown below:</w:t>
      </w:r>
    </w:p>
    <w:p w14:paraId="6F9F1CAD" w14:textId="65CC350D"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b/>
          <w:bCs/>
          <w:color w:val="000000"/>
          <w:sz w:val="24"/>
          <w:szCs w:val="24"/>
          <w:lang w:val="en-US"/>
        </w:rPr>
        <w:t>Nirsevimab vs placebo (healthy preterm infants).</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{"citationID":"X1TPzqEp","properties":{"formattedCitation":"[8]","plainCitation":"[8]","noteIndex":0},"citationItems":[{"id":69073,"uris":["http://zotero.org/groups/337550/items/LXEUM8YI"],"itemData":{"id":69073,"type":"article-journal","container-title":"New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FF2E9A">
        <w:rPr>
          <w:rFonts w:ascii="Times New Roman" w:hAnsi="Times New Roman" w:cs="Times New Roman"/>
          <w:sz w:val="24"/>
        </w:rPr>
        <w:t>[8]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461BFEE6" w14:textId="77777777" w:rsidR="00A442E9" w:rsidRPr="00B21236" w:rsidRDefault="006047C3">
      <w:pPr>
        <w:pStyle w:val="Prrafodelista"/>
        <w:numPr>
          <w:ilvl w:val="0"/>
          <w:numId w:val="22"/>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The incidence of </w:t>
      </w:r>
      <w:r w:rsidRPr="00B21236">
        <w:rPr>
          <w:rFonts w:ascii="Times New Roman" w:hAnsi="Times New Roman" w:cs="Times New Roman"/>
          <w:b/>
          <w:bCs/>
          <w:color w:val="000000"/>
          <w:sz w:val="24"/>
          <w:szCs w:val="24"/>
          <w:lang w:val="en-US"/>
        </w:rPr>
        <w:t xml:space="preserve">medically attended </w:t>
      </w:r>
      <w:r w:rsidRPr="00B21236">
        <w:rPr>
          <w:rFonts w:ascii="Times New Roman" w:hAnsi="Times New Roman" w:cs="Times New Roman"/>
          <w:color w:val="000000"/>
          <w:sz w:val="24"/>
          <w:szCs w:val="24"/>
          <w:lang w:val="en-US"/>
        </w:rPr>
        <w:t>RSV-associated lower respiratory tract infection was 70.1% (95% CI, 52.3 to 81.2) lower with nirsevimab prophylaxis than with placebo (2.6% [25 infants] vs. 9.5% [46 infants]; p&lt;0.001).</w:t>
      </w:r>
    </w:p>
    <w:p w14:paraId="3B0EA6AE" w14:textId="77777777" w:rsidR="00A442E9" w:rsidRPr="00B21236" w:rsidRDefault="006047C3">
      <w:pPr>
        <w:pStyle w:val="Prrafodelista"/>
        <w:numPr>
          <w:ilvl w:val="0"/>
          <w:numId w:val="22"/>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The incidence of </w:t>
      </w:r>
      <w:r w:rsidRPr="00B21236">
        <w:rPr>
          <w:rFonts w:ascii="Times New Roman" w:hAnsi="Times New Roman" w:cs="Times New Roman"/>
          <w:b/>
          <w:bCs/>
          <w:color w:val="000000"/>
          <w:sz w:val="24"/>
          <w:szCs w:val="24"/>
          <w:lang w:val="en-US"/>
        </w:rPr>
        <w:t xml:space="preserve">hospitalization </w:t>
      </w:r>
      <w:r w:rsidRPr="00B21236">
        <w:rPr>
          <w:rFonts w:ascii="Times New Roman" w:hAnsi="Times New Roman" w:cs="Times New Roman"/>
          <w:color w:val="000000"/>
          <w:sz w:val="24"/>
          <w:szCs w:val="24"/>
          <w:lang w:val="en-US"/>
        </w:rPr>
        <w:t>for RSV-associated lower respiratory tract infection was 78.4% (95% CI, 51.9 to 90.3) lower with nirsevimab than with placebo (0.8% [8 infants] vs. 4.1% [20 infants]; p&lt;0.001).</w:t>
      </w:r>
    </w:p>
    <w:p w14:paraId="3C1D34FB" w14:textId="023A19A2" w:rsidR="00A442E9" w:rsidRPr="00220FFE" w:rsidRDefault="006047C3">
      <w:pPr>
        <w:pStyle w:val="Prrafodelista"/>
        <w:numPr>
          <w:ilvl w:val="0"/>
          <w:numId w:val="22"/>
        </w:numPr>
        <w:spacing w:after="120" w:line="360" w:lineRule="auto"/>
        <w:jc w:val="both"/>
        <w:rPr>
          <w:rFonts w:ascii="Times New Roman" w:hAnsi="Times New Roman" w:cs="Times New Roman"/>
          <w:color w:val="000000"/>
          <w:sz w:val="24"/>
          <w:szCs w:val="24"/>
          <w:lang w:val="en-US"/>
        </w:rPr>
      </w:pPr>
      <w:r w:rsidRPr="00220FFE">
        <w:rPr>
          <w:rFonts w:ascii="Times New Roman" w:hAnsi="Times New Roman" w:cs="Times New Roman"/>
          <w:color w:val="000000"/>
          <w:sz w:val="24"/>
          <w:szCs w:val="24"/>
          <w:lang w:val="en-US"/>
        </w:rPr>
        <w:t xml:space="preserve">Infants who received nirsevimab had a lower risk of </w:t>
      </w:r>
      <w:r w:rsidRPr="00220FFE">
        <w:rPr>
          <w:rFonts w:ascii="Times New Roman" w:hAnsi="Times New Roman" w:cs="Times New Roman"/>
          <w:b/>
          <w:bCs/>
          <w:color w:val="000000"/>
          <w:sz w:val="24"/>
          <w:szCs w:val="24"/>
          <w:lang w:val="en-US"/>
        </w:rPr>
        <w:t xml:space="preserve">medically attended </w:t>
      </w:r>
      <w:r w:rsidRPr="00220FFE">
        <w:rPr>
          <w:rFonts w:ascii="Times New Roman" w:hAnsi="Times New Roman" w:cs="Times New Roman"/>
          <w:color w:val="000000"/>
          <w:sz w:val="24"/>
          <w:szCs w:val="24"/>
          <w:lang w:val="en-US"/>
        </w:rPr>
        <w:t>RSV-associated lower respiratory tract infection than infants who received placebo (</w:t>
      </w:r>
      <w:r w:rsidR="00BE6F69">
        <w:rPr>
          <w:rFonts w:ascii="Times New Roman" w:hAnsi="Times New Roman" w:cs="Times New Roman"/>
          <w:color w:val="000000"/>
          <w:sz w:val="24"/>
          <w:szCs w:val="24"/>
          <w:lang w:val="en-US"/>
        </w:rPr>
        <w:t>hazard</w:t>
      </w:r>
      <w:r w:rsidRPr="00220FFE">
        <w:rPr>
          <w:rFonts w:ascii="Times New Roman" w:hAnsi="Times New Roman" w:cs="Times New Roman"/>
          <w:color w:val="000000"/>
          <w:sz w:val="24"/>
          <w:szCs w:val="24"/>
          <w:lang w:val="en-US"/>
        </w:rPr>
        <w:t xml:space="preserve"> ratio, 0.26; 95% CI, 0.16 to 0.43), as well as a lower risk of </w:t>
      </w:r>
      <w:r w:rsidRPr="00220FFE">
        <w:rPr>
          <w:rFonts w:ascii="Times New Roman" w:hAnsi="Times New Roman" w:cs="Times New Roman"/>
          <w:b/>
          <w:bCs/>
          <w:color w:val="000000"/>
          <w:sz w:val="24"/>
          <w:szCs w:val="24"/>
          <w:lang w:val="en-US"/>
        </w:rPr>
        <w:t xml:space="preserve">hospitalization </w:t>
      </w:r>
      <w:r w:rsidRPr="00220FFE">
        <w:rPr>
          <w:rFonts w:ascii="Times New Roman" w:hAnsi="Times New Roman" w:cs="Times New Roman"/>
          <w:color w:val="000000"/>
          <w:sz w:val="24"/>
          <w:szCs w:val="24"/>
          <w:lang w:val="en-US"/>
        </w:rPr>
        <w:t>for this condition (</w:t>
      </w:r>
      <w:r w:rsidR="00BE6F69">
        <w:rPr>
          <w:rFonts w:ascii="Times New Roman" w:hAnsi="Times New Roman" w:cs="Times New Roman"/>
          <w:color w:val="000000"/>
          <w:sz w:val="24"/>
          <w:szCs w:val="24"/>
          <w:lang w:val="en-US"/>
        </w:rPr>
        <w:t>hazard</w:t>
      </w:r>
      <w:r w:rsidRPr="00220FFE">
        <w:rPr>
          <w:rFonts w:ascii="Times New Roman" w:hAnsi="Times New Roman" w:cs="Times New Roman"/>
          <w:color w:val="000000"/>
          <w:sz w:val="24"/>
          <w:szCs w:val="24"/>
          <w:lang w:val="en-US"/>
        </w:rPr>
        <w:t xml:space="preserve"> ratio, 0.19; 95% CI, 0.08 to 0.44).</w:t>
      </w:r>
    </w:p>
    <w:p w14:paraId="47865DDF" w14:textId="77777777" w:rsidR="00A442E9" w:rsidRPr="00220FFE" w:rsidRDefault="006047C3">
      <w:pPr>
        <w:pStyle w:val="Prrafodelista"/>
        <w:numPr>
          <w:ilvl w:val="0"/>
          <w:numId w:val="22"/>
        </w:numPr>
        <w:spacing w:after="120" w:line="360" w:lineRule="auto"/>
        <w:jc w:val="both"/>
        <w:rPr>
          <w:rFonts w:ascii="Times New Roman" w:hAnsi="Times New Roman" w:cs="Times New Roman"/>
          <w:color w:val="000000"/>
          <w:sz w:val="24"/>
          <w:szCs w:val="24"/>
          <w:lang w:val="en-US"/>
        </w:rPr>
      </w:pPr>
      <w:r w:rsidRPr="00220FFE">
        <w:rPr>
          <w:rFonts w:ascii="Times New Roman" w:hAnsi="Times New Roman" w:cs="Times New Roman"/>
          <w:color w:val="000000"/>
          <w:sz w:val="24"/>
          <w:szCs w:val="24"/>
          <w:lang w:val="en-US"/>
        </w:rPr>
        <w:t xml:space="preserve">Of the participants </w:t>
      </w:r>
      <w:r w:rsidRPr="00220FFE">
        <w:rPr>
          <w:rFonts w:ascii="Times New Roman" w:hAnsi="Times New Roman" w:cs="Times New Roman"/>
          <w:b/>
          <w:bCs/>
          <w:color w:val="000000"/>
          <w:sz w:val="24"/>
          <w:szCs w:val="24"/>
          <w:lang w:val="en-US"/>
        </w:rPr>
        <w:t xml:space="preserve">hospitalized </w:t>
      </w:r>
      <w:r w:rsidRPr="00220FFE">
        <w:rPr>
          <w:rFonts w:ascii="Times New Roman" w:hAnsi="Times New Roman" w:cs="Times New Roman"/>
          <w:color w:val="000000"/>
          <w:sz w:val="24"/>
          <w:szCs w:val="24"/>
          <w:lang w:val="en-US"/>
        </w:rPr>
        <w:t xml:space="preserve">due to RSV infection, all those who required </w:t>
      </w:r>
      <w:r w:rsidRPr="00220FFE">
        <w:rPr>
          <w:rFonts w:ascii="Times New Roman" w:hAnsi="Times New Roman" w:cs="Times New Roman"/>
          <w:i/>
          <w:iCs/>
          <w:color w:val="000000"/>
          <w:sz w:val="24"/>
          <w:szCs w:val="24"/>
          <w:lang w:val="en-US"/>
        </w:rPr>
        <w:t xml:space="preserve">intensive care </w:t>
      </w:r>
      <w:r w:rsidRPr="00220FFE">
        <w:rPr>
          <w:rFonts w:ascii="Times New Roman" w:hAnsi="Times New Roman" w:cs="Times New Roman"/>
          <w:color w:val="000000"/>
          <w:sz w:val="24"/>
          <w:szCs w:val="24"/>
          <w:lang w:val="en-US"/>
        </w:rPr>
        <w:t xml:space="preserve">(5 participants) or received </w:t>
      </w:r>
      <w:r w:rsidRPr="00220FFE">
        <w:rPr>
          <w:rFonts w:ascii="Times New Roman" w:hAnsi="Times New Roman" w:cs="Times New Roman"/>
          <w:i/>
          <w:iCs/>
          <w:color w:val="000000"/>
          <w:sz w:val="24"/>
          <w:szCs w:val="24"/>
          <w:lang w:val="en-US"/>
        </w:rPr>
        <w:t xml:space="preserve">assisted ventilation </w:t>
      </w:r>
      <w:r w:rsidRPr="00220FFE">
        <w:rPr>
          <w:rFonts w:ascii="Times New Roman" w:hAnsi="Times New Roman" w:cs="Times New Roman"/>
          <w:color w:val="000000"/>
          <w:sz w:val="24"/>
          <w:szCs w:val="24"/>
          <w:lang w:val="en-US"/>
        </w:rPr>
        <w:t>(4 participants) were in the placebo group.</w:t>
      </w:r>
    </w:p>
    <w:p w14:paraId="08CC01F1" w14:textId="77777777" w:rsidR="00A442E9" w:rsidRPr="00220FFE" w:rsidRDefault="006047C3">
      <w:pPr>
        <w:pStyle w:val="Prrafodelista"/>
        <w:numPr>
          <w:ilvl w:val="0"/>
          <w:numId w:val="22"/>
        </w:numPr>
        <w:spacing w:after="120" w:line="360" w:lineRule="auto"/>
        <w:jc w:val="both"/>
        <w:rPr>
          <w:rFonts w:ascii="Times New Roman" w:hAnsi="Times New Roman" w:cs="Times New Roman"/>
          <w:color w:val="000000"/>
          <w:sz w:val="24"/>
          <w:szCs w:val="24"/>
          <w:lang w:val="en-US"/>
        </w:rPr>
      </w:pPr>
      <w:r w:rsidRPr="00220FFE">
        <w:rPr>
          <w:rFonts w:ascii="Times New Roman" w:hAnsi="Times New Roman" w:cs="Times New Roman"/>
          <w:color w:val="000000"/>
          <w:sz w:val="24"/>
          <w:szCs w:val="24"/>
          <w:lang w:val="en-US"/>
        </w:rPr>
        <w:t xml:space="preserve">Among participants who had a </w:t>
      </w:r>
      <w:r w:rsidRPr="00220FFE">
        <w:rPr>
          <w:rFonts w:ascii="Times New Roman" w:hAnsi="Times New Roman" w:cs="Times New Roman"/>
          <w:b/>
          <w:bCs/>
          <w:color w:val="000000"/>
          <w:sz w:val="24"/>
          <w:szCs w:val="24"/>
          <w:lang w:val="en-US"/>
        </w:rPr>
        <w:t xml:space="preserve">medically attended </w:t>
      </w:r>
      <w:r w:rsidRPr="00220FFE">
        <w:rPr>
          <w:rFonts w:ascii="Times New Roman" w:hAnsi="Times New Roman" w:cs="Times New Roman"/>
          <w:color w:val="000000"/>
          <w:sz w:val="24"/>
          <w:szCs w:val="24"/>
          <w:lang w:val="en-US"/>
        </w:rPr>
        <w:t xml:space="preserve">RSV-associated lower respiratory tract infection, a smaller proportion of children in the nirsevimab group (4 [16%]) than in the placebo group (15 [32.6%]) received </w:t>
      </w:r>
      <w:r w:rsidRPr="00220FFE">
        <w:rPr>
          <w:rFonts w:ascii="Times New Roman" w:hAnsi="Times New Roman" w:cs="Times New Roman"/>
          <w:i/>
          <w:iCs/>
          <w:color w:val="000000"/>
          <w:sz w:val="24"/>
          <w:szCs w:val="24"/>
          <w:lang w:val="en-US"/>
        </w:rPr>
        <w:t>supplemental oxygen</w:t>
      </w:r>
      <w:r w:rsidRPr="00220FFE">
        <w:rPr>
          <w:rFonts w:ascii="Times New Roman" w:hAnsi="Times New Roman" w:cs="Times New Roman"/>
          <w:color w:val="000000"/>
          <w:sz w:val="24"/>
          <w:szCs w:val="24"/>
          <w:lang w:val="en-US"/>
        </w:rPr>
        <w:t>.</w:t>
      </w:r>
    </w:p>
    <w:p w14:paraId="15732A6F" w14:textId="5C570778"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b/>
          <w:bCs/>
          <w:color w:val="000000"/>
          <w:sz w:val="24"/>
          <w:szCs w:val="24"/>
          <w:lang w:val="en-US"/>
        </w:rPr>
        <w:t xml:space="preserve">Palivizumab </w:t>
      </w:r>
      <w:r w:rsidRPr="00B21236">
        <w:rPr>
          <w:rFonts w:ascii="Times New Roman" w:hAnsi="Times New Roman" w:cs="Times New Roman"/>
          <w:b/>
          <w:bCs/>
          <w:i/>
          <w:iCs/>
          <w:color w:val="000000"/>
          <w:sz w:val="24"/>
          <w:szCs w:val="24"/>
          <w:lang w:val="en-US"/>
        </w:rPr>
        <w:t xml:space="preserve">vs </w:t>
      </w:r>
      <w:r w:rsidRPr="00B21236">
        <w:rPr>
          <w:rFonts w:ascii="Times New Roman" w:hAnsi="Times New Roman" w:cs="Times New Roman"/>
          <w:b/>
          <w:bCs/>
          <w:color w:val="000000"/>
          <w:sz w:val="24"/>
          <w:szCs w:val="24"/>
          <w:lang w:val="en-US"/>
        </w:rPr>
        <w:t>placebo (preterm infants or infants with bronchopulmonary dysplasia).</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{"citationID":"Y9satMWs","properties":{"formattedCitation":"[6]","plainCitation":"[6]","noteIndex":0},"citationItems":[{"id":66947,"uris":["http://zotero.org/groups/337550/items/XKYAI45D"],"itemData":{"id":66947,"type":"article-journal","abstract":"OBJECTIVE: To determine the safety and efficacy of prophylaxis with palivizumab in reducing the incidence of hospitalization because of respiratory syncytial virus (RSV) infection in high-risk infants.\nMETHODS: A randomized, double-blind, placebo-controlled trial was conducted at 139 centers in the United States, the United Kingdom, and Canada. During the 1996 to 1997 RSV season, 1502 children with prematurity (less than or equal to 35 weeks) or bronchopulmonary dysplasia (BPD) were randomized to receive 5 injections of either palivizumab (15 mg/kg) or an equivalent volume of placebo by intramuscular injection every 30 days. The primary endpoint was hospitalization with confirmed RSV infection. Children were followed for 150 days (30 days from the last injection). Those with hospitalization as a result of RSV infection were evaluated for total number of days in the hospital, total days with increased supplemental oxygen, total days with moderate or severe lower respiratory tract illness, and incidence and total days of intensive care and mechanical ventilation. The incidence of hospitalization for respiratory illness not caused by RSV and the incidence of otitis media were also evaluated. The placebo and palivizumab groups were balanced at entry for demographics and RSV risk factors. Ninety-nine percent of children in both groups completed the protocol and approximately 93% received all five scheduled injections.\nRESULTS: Palivizumab prophylaxis resulted in a 55% reduction in hospitalization as a result of RSV (10.6% placebo vs 4.8% palivizumab). Children with prematurity but without BPD had a 78% reduction in RSV hospitalization (8.1% vs 1.8%); children with BPD had a 39% reduction (12.8% vs 7.9%). When gender, entry age, entry weight, BPD, and gestational age were included in a logistic regression model, the effect of prophylaxis with palivizumab remained statistically significant. The palivizumab group had proportionally fewer total RSV hospital days, fewer RSV hospital days with increased oxygen, fewer RSV hospital days with a moderate/severe lower respiratory tract illness, and a lower incidence of intensive care unit admission. Palivizumab was safe and well tolerated. No significant differences were observed in reported adverse events between the two groups. Few children discontinued injections for related adverse events (0.3%). Reactions at the site of injection were uncommon (1.8% placebo vs 2.7% palivizumab); the most frequent reaction was mild and transient erythema. Mild or moderate elevations of aspartate aminotransferase occurred in 1.6% of placebo recipients and 3.6% of palivizumab recipients; for alanine aminotransferase these percentages were 2.0% and 2.3%, respectively. Hepatic and renal adverse events related to the study drug were similar in the two groups.\nCONCLUSIONS: Monthly intramuscular administration of palivizumab is safe and effective for prevention of serious RSV illness in premature children and those with BPD.","container-title":"Pediatrics","ISSN":"0031-4005","issue":"3 Pt 1","journalAbbreviation":"Pediatrics","language":"eng","note":"PMID: 9738173","page":"531-537","source":"PubMed","title":"Palivizumab, a humanized respiratory syncytial virus monoclonal antibody, reduces hospitalization from respiratory syncytial virus infection in high-risk infants. The IMpact-RSV Study Group","volume":"102","author":[{"literal":"IMpact-RSV Study Group"}],"issued":{"date-parts":[["1998"]]}}}],"schema":"https://github.com/citation-style-language/schema/raw/master/csl-citation.json"}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8E369C">
        <w:rPr>
          <w:rFonts w:ascii="Times New Roman" w:hAnsi="Times New Roman" w:cs="Times New Roman"/>
          <w:sz w:val="24"/>
          <w:lang w:val="en-US"/>
        </w:rPr>
        <w:t>[6]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7E2F9A6B" w14:textId="77777777" w:rsidR="00A442E9" w:rsidRPr="00B21236" w:rsidRDefault="006047C3">
      <w:pPr>
        <w:pStyle w:val="Prrafodelista"/>
        <w:numPr>
          <w:ilvl w:val="0"/>
          <w:numId w:val="23"/>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Prophylaxis with palivizumab resulted in a 55% reduction in RSV </w:t>
      </w:r>
      <w:r w:rsidRPr="00B21236">
        <w:rPr>
          <w:rFonts w:ascii="Times New Roman" w:hAnsi="Times New Roman" w:cs="Times New Roman"/>
          <w:b/>
          <w:bCs/>
          <w:color w:val="000000"/>
          <w:sz w:val="24"/>
          <w:szCs w:val="24"/>
          <w:lang w:val="en-US"/>
        </w:rPr>
        <w:t xml:space="preserve">hospitalizations </w:t>
      </w:r>
      <w:r w:rsidRPr="00B21236">
        <w:rPr>
          <w:rFonts w:ascii="Times New Roman" w:hAnsi="Times New Roman" w:cs="Times New Roman"/>
          <w:color w:val="000000"/>
          <w:sz w:val="24"/>
          <w:szCs w:val="24"/>
          <w:lang w:val="en-US"/>
        </w:rPr>
        <w:t>(4.8% palivizumab vs. 10.6% placebo, p=0.00004).</w:t>
      </w:r>
    </w:p>
    <w:p w14:paraId="0344009F" w14:textId="77777777" w:rsidR="00A442E9" w:rsidRPr="00B21236" w:rsidRDefault="006047C3">
      <w:pPr>
        <w:pStyle w:val="Prrafodelista"/>
        <w:numPr>
          <w:ilvl w:val="0"/>
          <w:numId w:val="23"/>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Infants with prematurity but without bronchopulmonary dysplasia had a 78% reduction in RSV </w:t>
      </w:r>
      <w:r w:rsidRPr="00B21236">
        <w:rPr>
          <w:rFonts w:ascii="Times New Roman" w:hAnsi="Times New Roman" w:cs="Times New Roman"/>
          <w:b/>
          <w:bCs/>
          <w:color w:val="000000"/>
          <w:sz w:val="24"/>
          <w:szCs w:val="24"/>
          <w:lang w:val="en-US"/>
        </w:rPr>
        <w:t xml:space="preserve">hospitalization </w:t>
      </w:r>
      <w:r w:rsidRPr="00B21236">
        <w:rPr>
          <w:rFonts w:ascii="Times New Roman" w:hAnsi="Times New Roman" w:cs="Times New Roman"/>
          <w:color w:val="000000"/>
          <w:sz w:val="24"/>
          <w:szCs w:val="24"/>
          <w:lang w:val="en-US"/>
        </w:rPr>
        <w:t xml:space="preserve">(1.8%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8.1%, p&lt;0.001).</w:t>
      </w:r>
    </w:p>
    <w:p w14:paraId="62D89014" w14:textId="77777777" w:rsidR="00A442E9" w:rsidRPr="00B21236" w:rsidRDefault="006047C3">
      <w:pPr>
        <w:pStyle w:val="Prrafodelista"/>
        <w:numPr>
          <w:ilvl w:val="0"/>
          <w:numId w:val="23"/>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Children with bronchopulmonary dysplasia had a 39% reduction (7.9%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12.8%, p=0.038).</w:t>
      </w:r>
    </w:p>
    <w:p w14:paraId="291C3193" w14:textId="52FF19BB" w:rsidR="00A442E9" w:rsidRPr="00B21236" w:rsidRDefault="006047C3" w:rsidP="002A2117">
      <w:pPr>
        <w:spacing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In the palivizumab group, proportionally fewer total RSV hospital days (36.4 palivizumab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62.6 placebo, per 100 children, p&lt;0.001), fewer RSV hospital days with oxygen augmentation (30.3 vs. 50.6, p&lt;0.001), and fewer RSV hospital days for moderate/severe lower respiratory tract disease (29.6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47.4, p&lt;0.001)</w:t>
      </w:r>
      <w:r w:rsidR="0094336E">
        <w:rPr>
          <w:rFonts w:ascii="Times New Roman" w:hAnsi="Times New Roman" w:cs="Times New Roman"/>
          <w:color w:val="000000"/>
          <w:sz w:val="24"/>
          <w:szCs w:val="24"/>
          <w:lang w:val="en-US"/>
        </w:rPr>
        <w:t xml:space="preserve"> were observed</w:t>
      </w:r>
      <w:r w:rsidRPr="00B21236">
        <w:rPr>
          <w:rFonts w:ascii="Times New Roman" w:hAnsi="Times New Roman" w:cs="Times New Roman"/>
          <w:color w:val="000000"/>
          <w:sz w:val="24"/>
          <w:szCs w:val="24"/>
          <w:lang w:val="en-US"/>
        </w:rPr>
        <w:t>.</w:t>
      </w:r>
    </w:p>
    <w:p w14:paraId="06B90CDC" w14:textId="2F0278C9" w:rsidR="00A442E9" w:rsidRPr="00B21236" w:rsidRDefault="00FC76D9" w:rsidP="00FC76D9">
      <w:pPr>
        <w:pStyle w:val="Ttulo2"/>
        <w:spacing w:before="240" w:after="0" w:line="360" w:lineRule="auto"/>
        <w:rPr>
          <w:rFonts w:cs="Times New Roman"/>
          <w:szCs w:val="24"/>
          <w:lang w:val="en-US"/>
        </w:rPr>
      </w:pPr>
      <w:bookmarkStart w:id="5" w:name="_Toc135731176"/>
      <w:r>
        <w:rPr>
          <w:rFonts w:cs="Times New Roman"/>
          <w:szCs w:val="24"/>
          <w:lang w:val="en-US"/>
        </w:rPr>
        <w:lastRenderedPageBreak/>
        <w:t xml:space="preserve">Criterion </w:t>
      </w:r>
      <w:r w:rsidR="00A651F3">
        <w:rPr>
          <w:rFonts w:cs="Times New Roman"/>
          <w:szCs w:val="24"/>
          <w:lang w:val="en-US"/>
        </w:rPr>
        <w:t xml:space="preserve">14. </w:t>
      </w:r>
      <w:r w:rsidR="00A22A91" w:rsidRPr="00B21236">
        <w:rPr>
          <w:rFonts w:cs="Times New Roman"/>
          <w:szCs w:val="24"/>
          <w:lang w:val="en-US"/>
        </w:rPr>
        <w:t>Serious adverse events</w:t>
      </w:r>
      <w:bookmarkEnd w:id="5"/>
    </w:p>
    <w:p w14:paraId="042F1138" w14:textId="20E3000A"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DD3172" w:rsidRPr="00B21236">
        <w:rPr>
          <w:rFonts w:ascii="Times New Roman" w:hAnsi="Times New Roman" w:cs="Times New Roman"/>
          <w:sz w:val="24"/>
          <w:szCs w:val="24"/>
          <w:lang w:val="en-US"/>
        </w:rPr>
        <w:t xml:space="preserve">Serious adverse events occurring in </w:t>
      </w:r>
      <w:r w:rsidR="00556D74">
        <w:rPr>
          <w:rFonts w:ascii="Times New Roman" w:hAnsi="Times New Roman" w:cs="Times New Roman"/>
          <w:sz w:val="24"/>
          <w:szCs w:val="24"/>
          <w:lang w:val="en-US"/>
        </w:rPr>
        <w:t>people</w:t>
      </w:r>
      <w:r w:rsidR="00DD3172" w:rsidRPr="00B21236">
        <w:rPr>
          <w:rFonts w:ascii="Times New Roman" w:hAnsi="Times New Roman" w:cs="Times New Roman"/>
          <w:sz w:val="24"/>
          <w:szCs w:val="24"/>
          <w:lang w:val="en-US"/>
        </w:rPr>
        <w:t xml:space="preserve"> receiving the preventive measure</w:t>
      </w:r>
      <w:r w:rsidRPr="00B21236">
        <w:rPr>
          <w:rFonts w:ascii="Times New Roman" w:hAnsi="Times New Roman" w:cs="Times New Roman"/>
          <w:sz w:val="24"/>
          <w:szCs w:val="24"/>
          <w:lang w:val="en-US"/>
        </w:rPr>
        <w:t>.</w:t>
      </w:r>
    </w:p>
    <w:p w14:paraId="1CB434CA"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0AC19850" w14:textId="77777777" w:rsidR="00A442E9" w:rsidRPr="00B21236" w:rsidRDefault="006047C3">
      <w:pPr>
        <w:spacing w:before="240"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Available evidence nirsevimab vs palivizumab</w:t>
      </w:r>
      <w:r w:rsidRPr="00B21236">
        <w:rPr>
          <w:rFonts w:ascii="Times New Roman" w:hAnsi="Times New Roman" w:cs="Times New Roman"/>
          <w:b/>
          <w:bCs/>
          <w:sz w:val="24"/>
          <w:szCs w:val="24"/>
          <w:lang w:val="en-US"/>
        </w:rPr>
        <w:t>].</w:t>
      </w:r>
    </w:p>
    <w:p w14:paraId="3FFCF32E" w14:textId="42155FE7" w:rsidR="00A442E9" w:rsidRPr="00B21236" w:rsidRDefault="006047C3">
      <w:pPr>
        <w:spacing w:after="120" w:line="360" w:lineRule="auto"/>
        <w:jc w:val="both"/>
        <w:rPr>
          <w:rFonts w:ascii="Times New Roman" w:hAnsi="Times New Roman" w:cs="Times New Roman"/>
          <w:sz w:val="24"/>
          <w:szCs w:val="24"/>
          <w:lang w:val="en-US"/>
        </w:rPr>
      </w:pPr>
      <w:r w:rsidRPr="00581274">
        <w:rPr>
          <w:rFonts w:ascii="Times New Roman" w:hAnsi="Times New Roman" w:cs="Times New Roman"/>
          <w:color w:val="000000"/>
          <w:sz w:val="24"/>
          <w:szCs w:val="24"/>
          <w:lang w:val="en-US"/>
        </w:rPr>
        <w:t>The MEDLEY</w:t>
      </w:r>
      <w:r w:rsidRPr="00581274">
        <w:rPr>
          <w:rFonts w:ascii="Times New Roman" w:hAnsi="Times New Roman" w:cs="Times New Roman"/>
          <w:color w:val="000000"/>
          <w:sz w:val="24"/>
          <w:szCs w:val="24"/>
          <w:lang w:val="en-US"/>
        </w:rPr>
        <w:fldChar w:fldCharType="begin"/>
      </w:r>
      <w:r w:rsidR="00FF2E9A" w:rsidRPr="00581274">
        <w:rPr>
          <w:rFonts w:ascii="Times New Roman" w:hAnsi="Times New Roman" w:cs="Times New Roman"/>
          <w:color w:val="000000"/>
          <w:sz w:val="24"/>
          <w:szCs w:val="24"/>
          <w:lang w:val="en-US"/>
        </w:rPr>
        <w:instrText xml:space="preserve"> ADDIN ZOTERO_ITEM CSL_CITATION {"citationID":"piB0Okql","properties":{"formattedCitation":"[13]","plainCitation":"[13]","noteIndex":0},"citationItems":[{"id":69097,"uris":["http://zotero.org/groups/337550/items/VJEHBJL3"],"itemData":{"id":69097,"type":"article-journal","container-title":"New England Journal of Medicine","DOI":"10.1056/NEJMc2112186","ISSN":"0028-4793","issue":"9","note":"publisher: Massachusetts Medical Society\n_eprint: https://doi.org/10.1056/NEJMc2112186","page":"892-894","source":"Taylor and Francis+NEJM","title":"Safety of Nirsevimab for RSV in Infants with Heart or Lung Disease or Prematurity","volume":"386","author":[{"family":"Domachowske","given":"Joseph"},{"family":"Madhi","given":"Shabir A."},{"family":"Simões","given":"Eric A.F."},{"family":"Atanasova","given":"Victoria"},{"family":"Cabañas","given":"Fernando"},{"family":"Furuno","given":"Kenji"},{"family":"Garcia-Garcia","given":"Maria L."},{"family":"Grantina","given":"Ineta"},{"family":"Nguyen","given":"Kim A."},{"family":"Brooks","given":"Dennis"},{"family":"Chang","given":"Yue"},{"family":"Leach","given":"Amanda"},{"family":"Takas","given":"Therese"},{"family":"Yuan","given":"Yuan"},{"family":"Griffin","given":"M. Pamela"},{"family":"Mankad","given":"Vaishali S."},{"family":"Villafana","given":"Tonya"}],"issued":{"date-parts":[["2022"]]}}}],"schema":"https://github.com/citation-style-language/schema/raw/master/csl-citation.json"} </w:instrText>
      </w:r>
      <w:r w:rsidRPr="00581274">
        <w:rPr>
          <w:rFonts w:ascii="Times New Roman" w:hAnsi="Times New Roman" w:cs="Times New Roman"/>
          <w:color w:val="000000"/>
          <w:sz w:val="24"/>
          <w:szCs w:val="24"/>
          <w:lang w:val="en-US"/>
        </w:rPr>
        <w:fldChar w:fldCharType="separate"/>
      </w:r>
      <w:r w:rsidR="00FF2E9A" w:rsidRPr="00581274">
        <w:rPr>
          <w:rFonts w:ascii="Times New Roman" w:hAnsi="Times New Roman" w:cs="Times New Roman"/>
          <w:sz w:val="24"/>
          <w:lang w:val="en-US"/>
        </w:rPr>
        <w:t>[13]</w:t>
      </w:r>
      <w:r w:rsidRPr="00581274">
        <w:rPr>
          <w:rFonts w:ascii="Times New Roman" w:hAnsi="Times New Roman" w:cs="Times New Roman"/>
          <w:color w:val="000000"/>
          <w:sz w:val="24"/>
          <w:szCs w:val="24"/>
          <w:lang w:val="en-US"/>
        </w:rPr>
        <w:fldChar w:fldCharType="end"/>
      </w:r>
      <w:r w:rsidRPr="00581274">
        <w:rPr>
          <w:rFonts w:ascii="Times New Roman" w:hAnsi="Times New Roman" w:cs="Times New Roman"/>
          <w:color w:val="000000"/>
          <w:sz w:val="24"/>
          <w:szCs w:val="24"/>
          <w:lang w:val="en-US"/>
        </w:rPr>
        <w:t xml:space="preserve"> (NCT03959488</w:t>
      </w:r>
      <w:r w:rsidRPr="00581274">
        <w:rPr>
          <w:rFonts w:ascii="Times New Roman" w:hAnsi="Times New Roman" w:cs="Times New Roman"/>
          <w:color w:val="000000"/>
          <w:sz w:val="24"/>
          <w:szCs w:val="24"/>
          <w:lang w:val="en-US"/>
        </w:rPr>
        <w:fldChar w:fldCharType="begin"/>
      </w:r>
      <w:r w:rsidR="00FF2E9A" w:rsidRPr="00581274">
        <w:rPr>
          <w:rFonts w:ascii="Times New Roman" w:hAnsi="Times New Roman" w:cs="Times New Roman"/>
          <w:color w:val="000000"/>
          <w:sz w:val="24"/>
          <w:szCs w:val="24"/>
          <w:lang w:val="en-US"/>
        </w:rPr>
        <w:instrText xml:space="preserve"> ADDIN ZOTERO_ITEM CSL_CITATION {"citationID":"0SZuK8eO","properties":{"formattedCitation":"[9,p.03959488]","plainCitation":"[9,p.03959488]","noteIndex":0},"citationItems":[{"id":69019,"uris":["http://zotero.org/groups/337550/items/4VZHA9VK"],"itemData":{"id":69019,"type":"post-weblog","title":"A Phase 2/3 Randomized, Double-blind, Palivizumab-controlled Study to Evaluate the Safety of MEDI8897, a Monoclonal Antibody With an Extended Half-life Against Respiratory Syncytial Virus, in High-risk Children (MEDLEY), NCT03959488","URL":"https://clinicaltrials.gov/ct2/show/NCT03959488","author":[{"literal":"ClinicalTrials.gov"}],"issued":{"date-parts":[["2022"]]}},"locator":"03959488"}],"schema":"https://github.com/citation-style-language/schema/raw/master/csl-citation.json"} </w:instrText>
      </w:r>
      <w:r w:rsidRPr="00581274">
        <w:rPr>
          <w:rFonts w:ascii="Times New Roman" w:hAnsi="Times New Roman" w:cs="Times New Roman"/>
          <w:color w:val="000000"/>
          <w:sz w:val="24"/>
          <w:szCs w:val="24"/>
          <w:lang w:val="en-US"/>
        </w:rPr>
        <w:fldChar w:fldCharType="separate"/>
      </w:r>
      <w:r w:rsidR="00FF2E9A" w:rsidRPr="00581274">
        <w:rPr>
          <w:rFonts w:ascii="Times New Roman" w:hAnsi="Times New Roman" w:cs="Times New Roman"/>
          <w:sz w:val="24"/>
          <w:lang w:val="en-US"/>
        </w:rPr>
        <w:t>[9,p.03959488]</w:t>
      </w:r>
      <w:r w:rsidRPr="00581274">
        <w:rPr>
          <w:rFonts w:ascii="Times New Roman" w:hAnsi="Times New Roman" w:cs="Times New Roman"/>
          <w:color w:val="000000"/>
          <w:sz w:val="24"/>
          <w:szCs w:val="24"/>
          <w:lang w:val="en-US"/>
        </w:rPr>
        <w:fldChar w:fldCharType="end"/>
      </w:r>
      <w:r w:rsidRPr="00581274">
        <w:rPr>
          <w:rFonts w:ascii="Times New Roman" w:hAnsi="Times New Roman" w:cs="Times New Roman"/>
          <w:color w:val="000000"/>
          <w:sz w:val="24"/>
          <w:szCs w:val="24"/>
          <w:lang w:val="en-US"/>
        </w:rPr>
        <w:t xml:space="preserve">) is a randomized, double-blind trial of </w:t>
      </w:r>
      <w:r w:rsidRPr="002C7FB2">
        <w:rPr>
          <w:rFonts w:ascii="Times New Roman" w:hAnsi="Times New Roman" w:cs="Times New Roman"/>
          <w:color w:val="000000"/>
          <w:sz w:val="24"/>
          <w:szCs w:val="24"/>
          <w:lang w:val="en-US"/>
        </w:rPr>
        <w:t>925</w:t>
      </w:r>
      <w:r w:rsidRPr="00581274">
        <w:rPr>
          <w:rFonts w:ascii="Times New Roman" w:hAnsi="Times New Roman" w:cs="Times New Roman"/>
          <w:color w:val="000000"/>
          <w:sz w:val="24"/>
          <w:szCs w:val="24"/>
          <w:lang w:val="en-US"/>
        </w:rPr>
        <w:t xml:space="preserve"> children </w:t>
      </w:r>
      <w:r w:rsidRPr="002C7FB2">
        <w:rPr>
          <w:rFonts w:ascii="Times New Roman" w:hAnsi="Times New Roman" w:cs="Times New Roman"/>
          <w:color w:val="000000"/>
          <w:sz w:val="24"/>
          <w:szCs w:val="24"/>
          <w:lang w:val="en-US"/>
        </w:rPr>
        <w:t>(</w:t>
      </w:r>
      <w:r w:rsidR="00581274" w:rsidRPr="002C7FB2">
        <w:rPr>
          <w:rFonts w:ascii="Times New Roman" w:hAnsi="Times New Roman" w:cs="Times New Roman"/>
          <w:color w:val="000000"/>
          <w:sz w:val="24"/>
          <w:szCs w:val="24"/>
          <w:lang w:val="en-US"/>
        </w:rPr>
        <w:t xml:space="preserve">615 </w:t>
      </w:r>
      <w:r w:rsidRPr="002C7FB2">
        <w:rPr>
          <w:rFonts w:ascii="Times New Roman" w:hAnsi="Times New Roman" w:cs="Times New Roman"/>
          <w:color w:val="000000"/>
          <w:sz w:val="24"/>
          <w:szCs w:val="24"/>
          <w:lang w:val="en-US"/>
        </w:rPr>
        <w:t>nirsevimab</w:t>
      </w:r>
      <w:r w:rsidRPr="00581274">
        <w:rPr>
          <w:rFonts w:ascii="Times New Roman" w:hAnsi="Times New Roman" w:cs="Times New Roman"/>
          <w:color w:val="000000"/>
          <w:sz w:val="24"/>
          <w:szCs w:val="24"/>
          <w:lang w:val="en-US"/>
        </w:rPr>
        <w:t xml:space="preserve">, </w:t>
      </w:r>
      <w:r w:rsidR="00581274" w:rsidRPr="00581274">
        <w:rPr>
          <w:rFonts w:ascii="Times New Roman" w:hAnsi="Times New Roman" w:cs="Times New Roman"/>
          <w:color w:val="000000"/>
          <w:sz w:val="24"/>
          <w:szCs w:val="24"/>
          <w:lang w:val="en-US"/>
        </w:rPr>
        <w:t xml:space="preserve">310 </w:t>
      </w:r>
      <w:r w:rsidRPr="00581274">
        <w:rPr>
          <w:rFonts w:ascii="Times New Roman" w:hAnsi="Times New Roman" w:cs="Times New Roman"/>
          <w:color w:val="000000"/>
          <w:sz w:val="24"/>
          <w:szCs w:val="24"/>
          <w:lang w:val="en-US"/>
        </w:rPr>
        <w:t>palivizumab)</w:t>
      </w:r>
      <w:r w:rsidRPr="00B21236">
        <w:rPr>
          <w:rFonts w:ascii="Times New Roman" w:hAnsi="Times New Roman" w:cs="Times New Roman"/>
          <w:color w:val="000000"/>
          <w:sz w:val="24"/>
          <w:szCs w:val="24"/>
          <w:lang w:val="en-US"/>
        </w:rPr>
        <w:t xml:space="preserve"> comparing the safety (published results</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{"citationID":"1ZnqmJLu","properties":{"formattedCitation":"[13]","plainCitation":"[13]","noteIndex":0},"citationItems":[{"id":69097,"uris":["http://zotero.org/groups/337550/items/VJEHBJL3"],"itemData":{"id":69097,"type":"article-journal","container-title":"New England Journal of Medicine","DOI":"10.1056/NEJMc2112186","ISSN":"0028-4793","issue":"9","note":"publisher: Massachusetts Medical Society\n_eprint: https://doi.org/10.1056/NEJMc2112186","page":"892-894","source":"Taylor and Francis+NEJM","title":"Safety of Nirsevimab for RSV in Infants with Heart or Lung Disease or Prematurity","volume":"386","author":[{"family":"Domachowske","given":"Joseph"},{"family":"Madhi","given":"Shabir A."},{"family":"Simões","given":"Eric A.F."},{"family":"Atanasova","given":"Victoria"},{"family":"Cabañas","given":"Fernando"},{"family":"Furuno","given":"Kenji"},{"family":"Garcia-Garcia","given":"Maria L."},{"family":"Grantina","given":"Ineta"},{"family":"Nguyen","given":"Kim A."},{"family":"Brooks","given":"Dennis"},{"family":"Chang","given":"Yue"},{"family":"Leach","given":"Amanda"},{"family":"Takas","given":"Therese"},{"family":"Yuan","given":"Yuan"},{"family":"Griffin","given":"M. Pamela"},{"family":"Mankad","given":"Vaishali S."},{"family":"Villafana","given":"Tonya"}],"issued":{"date-parts":[["2022"]]}}}],"schema":"https://github.com/citation-style-language/schema/raw/master/csl-citation.json"}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8E369C">
        <w:rPr>
          <w:rFonts w:ascii="Times New Roman" w:hAnsi="Times New Roman" w:cs="Times New Roman"/>
          <w:sz w:val="24"/>
          <w:lang w:val="en-US"/>
        </w:rPr>
        <w:t>[13]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and efficacy (non-inferiority test) of nirsevimab </w:t>
      </w:r>
      <w:r w:rsidRPr="00B21236">
        <w:rPr>
          <w:rFonts w:ascii="Times New Roman" w:hAnsi="Times New Roman" w:cs="Times New Roman"/>
          <w:i/>
          <w:iCs/>
          <w:color w:val="000000"/>
          <w:sz w:val="24"/>
          <w:szCs w:val="24"/>
          <w:lang w:val="en-US"/>
        </w:rPr>
        <w:t xml:space="preserve">versus </w:t>
      </w:r>
      <w:r w:rsidRPr="00B21236">
        <w:rPr>
          <w:rFonts w:ascii="Times New Roman" w:hAnsi="Times New Roman" w:cs="Times New Roman"/>
          <w:color w:val="000000"/>
          <w:sz w:val="24"/>
          <w:szCs w:val="24"/>
          <w:lang w:val="en-US"/>
        </w:rPr>
        <w:t xml:space="preserve">palivizumab in the palivizumab-eligible population, separated into two cohorts: (i) preterm; (ii) with congenital heart disease (CHD) or chronic lung disease (CLD). </w:t>
      </w:r>
      <w:r w:rsidRPr="00B21236">
        <w:rPr>
          <w:rStyle w:val="normaltextrun"/>
          <w:rFonts w:ascii="Times New Roman" w:hAnsi="Times New Roman" w:cs="Times New Roman"/>
          <w:color w:val="000000"/>
          <w:sz w:val="24"/>
          <w:szCs w:val="24"/>
          <w:shd w:val="clear" w:color="auto" w:fill="FFFFFF"/>
          <w:lang w:val="en-US"/>
        </w:rPr>
        <w:t xml:space="preserve">Their results demonstrated that nirsevimab has a similar safety and tolerability profile when compared to palivizumab when administered to infants with CHD, CLD or prematurity facing their first RSV season. </w:t>
      </w:r>
      <w:r w:rsidRPr="0091355B">
        <w:rPr>
          <w:rFonts w:ascii="Times New Roman" w:hAnsi="Times New Roman" w:cs="Times New Roman"/>
          <w:color w:val="000000"/>
          <w:sz w:val="24"/>
          <w:szCs w:val="24"/>
          <w:lang w:val="en-US"/>
        </w:rPr>
        <w:t>Serious adverse events were reported in 5.3% of preterm infants receiving nirsevimab and 6.9% of those receiving palivizumab. In children with CHD and CLD, these percentages were 20.4% and 19.2%, respectively</w:t>
      </w:r>
      <w:r w:rsidRPr="00B21236">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{"citationID":"p8J1OJtn","properties":{"formattedCitation":"[13]","plainCitation":"[13]","noteIndex":0},"citationItems":[{"id":69097,"uris":["http://zotero.org/groups/337550/items/VJEHBJL3"],"itemData":{"id":69097,"type":"article-journal","container-title":"New England Journal of Medicine","DOI":"10.1056/NEJMc2112186","ISSN":"0028-4793","issue":"9","note":"publisher: Massachusetts Medical Society\n_eprint: https://doi.org/10.1056/NEJMc2112186","page":"892-894","source":"Taylor and Francis+NEJM","title":"Safety of Nirsevimab for RSV in Infants with Heart or Lung Disease or Prematurity","volume":"386","author":[{"family":"Domachowske","given":"Joseph"},{"family":"Madhi","given":"Shabir A."},{"family":"Simões","given":"Eric A.F."},{"family":"Atanasova","given":"Victoria"},{"family":"Cabañas","given":"Fernando"},{"family":"Furuno","given":"Kenji"},{"family":"Garcia-Garcia","given":"Maria L."},{"family":"Grantina","given":"Ineta"},{"family":"Nguyen","given":"Kim A."},{"family":"Brooks","given":"Dennis"},{"family":"Chang","given":"Yue"},{"family":"Leach","given":"Amanda"},{"family":"Takas","given":"Therese"},{"family":"Yuan","given":"Yuan"},{"family":"Griffin","given":"M. Pamela"},{"family":"Mankad","given":"Vaishali S."},{"family":"Villafana","given":"Tonya"}],"issued":{"date-parts":[["2022"]]}}}],"schema":"https://github.com/citation-style-language/schema/raw/master/csl-citation.json"}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E36543">
        <w:rPr>
          <w:rFonts w:ascii="Times New Roman" w:hAnsi="Times New Roman" w:cs="Times New Roman"/>
          <w:sz w:val="24"/>
          <w:lang w:val="en-US"/>
        </w:rPr>
        <w:t>[13]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Reported deaths were not related to nirsevimab or palivizumab</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{"citationID":"M59OqY5n","properties":{"formattedCitation":"[13]","plainCitation":"[13]","noteIndex":0},"citationItems":[{"id":69097,"uris":["http://zotero.org/groups/337550/items/VJEHBJL3"],"itemData":{"id":69097,"type":"article-journal","container-title":"New England Journal of Medicine","DOI":"10.1056/NEJMc2112186","ISSN":"0028-4793","issue":"9","note":"publisher: Massachusetts Medical Society\n_eprint: https://doi.org/10.1056/NEJMc2112186","page":"892-894","source":"Taylor and Francis+NEJM","title":"Safety of Nirsevimab for RSV in Infants with Heart or Lung Disease or Prematurity","volume":"386","author":[{"family":"Domachowske","given":"Joseph"},{"family":"Madhi","given":"Shabir A."},{"family":"Simões","given":"Eric A.F."},{"family":"Atanasova","given":"Victoria"},{"family":"Cabañas","given":"Fernando"},{"family":"Furuno","given":"Kenji"},{"family":"Garcia-Garcia","given":"Maria L."},{"family":"Grantina","given":"Ineta"},{"family":"Nguyen","given":"Kim A."},{"family":"Brooks","given":"Dennis"},{"family":"Chang","given":"Yue"},{"family":"Leach","given":"Amanda"},{"family":"Takas","given":"Therese"},{"family":"Yuan","given":"Yuan"},{"family":"Griffin","given":"M. Pamela"},{"family":"Mankad","given":"Vaishali S."},{"family":"Villafana","given":"Tonya"}],"issued":{"date-parts":[["2022"]]}}}],"schema":"https://github.com/citation-style-language/schema/raw/master/csl-citation.json"}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E36543">
        <w:rPr>
          <w:rFonts w:ascii="Times New Roman" w:hAnsi="Times New Roman" w:cs="Times New Roman"/>
          <w:sz w:val="24"/>
          <w:lang w:val="en-US"/>
        </w:rPr>
        <w:t>[13]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6609F570" w14:textId="2F963751" w:rsidR="00A442E9" w:rsidRPr="00B21236" w:rsidRDefault="00A651F3" w:rsidP="00A651F3">
      <w:pPr>
        <w:pStyle w:val="Ttulo2"/>
        <w:spacing w:before="240" w:after="0" w:line="360" w:lineRule="auto"/>
        <w:rPr>
          <w:rFonts w:cs="Times New Roman"/>
          <w:szCs w:val="24"/>
          <w:lang w:val="en-US"/>
        </w:rPr>
      </w:pPr>
      <w:bookmarkStart w:id="6" w:name="_Toc135731177"/>
      <w:r>
        <w:rPr>
          <w:rFonts w:cs="Times New Roman"/>
          <w:szCs w:val="24"/>
          <w:lang w:val="en-US"/>
        </w:rPr>
        <w:t xml:space="preserve">Criterion 15. </w:t>
      </w:r>
      <w:r w:rsidR="00DF3F90" w:rsidRPr="00B21236">
        <w:rPr>
          <w:rFonts w:cs="Times New Roman"/>
          <w:szCs w:val="24"/>
          <w:lang w:val="en-US"/>
        </w:rPr>
        <w:t>Mild adverse events</w:t>
      </w:r>
      <w:bookmarkEnd w:id="6"/>
    </w:p>
    <w:p w14:paraId="2719BFB4" w14:textId="31C4C9DB"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BA52E4" w:rsidRPr="00B21236">
        <w:rPr>
          <w:rFonts w:ascii="Times New Roman" w:hAnsi="Times New Roman" w:cs="Times New Roman"/>
          <w:sz w:val="24"/>
          <w:szCs w:val="24"/>
          <w:lang w:val="en-US"/>
        </w:rPr>
        <w:t xml:space="preserve">Mild adverse </w:t>
      </w:r>
      <w:r w:rsidR="00785CE2" w:rsidRPr="00B21236">
        <w:rPr>
          <w:rFonts w:ascii="Times New Roman" w:hAnsi="Times New Roman" w:cs="Times New Roman"/>
          <w:sz w:val="24"/>
          <w:szCs w:val="24"/>
          <w:lang w:val="en-US"/>
        </w:rPr>
        <w:t xml:space="preserve">events </w:t>
      </w:r>
      <w:r w:rsidR="00BA52E4" w:rsidRPr="00B21236">
        <w:rPr>
          <w:rFonts w:ascii="Times New Roman" w:hAnsi="Times New Roman" w:cs="Times New Roman"/>
          <w:sz w:val="24"/>
          <w:szCs w:val="24"/>
          <w:lang w:val="en-US"/>
        </w:rPr>
        <w:t xml:space="preserve">occurring in </w:t>
      </w:r>
      <w:r w:rsidR="000941C6">
        <w:rPr>
          <w:rFonts w:ascii="Times New Roman" w:hAnsi="Times New Roman" w:cs="Times New Roman"/>
          <w:sz w:val="24"/>
          <w:szCs w:val="24"/>
          <w:lang w:val="en-US"/>
        </w:rPr>
        <w:t>people</w:t>
      </w:r>
      <w:r w:rsidR="00BA52E4" w:rsidRPr="00B21236">
        <w:rPr>
          <w:rFonts w:ascii="Times New Roman" w:hAnsi="Times New Roman" w:cs="Times New Roman"/>
          <w:sz w:val="24"/>
          <w:szCs w:val="24"/>
          <w:lang w:val="en-US"/>
        </w:rPr>
        <w:t xml:space="preserve"> receiving the preventive measure</w:t>
      </w:r>
      <w:r w:rsidRPr="00B21236">
        <w:rPr>
          <w:rFonts w:ascii="Times New Roman" w:hAnsi="Times New Roman" w:cs="Times New Roman"/>
          <w:sz w:val="24"/>
          <w:szCs w:val="24"/>
          <w:lang w:val="en-US"/>
        </w:rPr>
        <w:t>.</w:t>
      </w:r>
    </w:p>
    <w:p w14:paraId="21DC1317"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75AA73A7" w14:textId="77777777" w:rsidR="00A442E9" w:rsidRPr="00B21236" w:rsidRDefault="006047C3">
      <w:pPr>
        <w:spacing w:before="240"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Available evidence nirsevimab vs palivizumab</w:t>
      </w:r>
      <w:r w:rsidRPr="00B21236">
        <w:rPr>
          <w:rFonts w:ascii="Times New Roman" w:hAnsi="Times New Roman" w:cs="Times New Roman"/>
          <w:b/>
          <w:bCs/>
          <w:sz w:val="24"/>
          <w:szCs w:val="24"/>
          <w:lang w:val="en-US"/>
        </w:rPr>
        <w:t>].</w:t>
      </w:r>
    </w:p>
    <w:p w14:paraId="2723C1CF" w14:textId="0ADEB554" w:rsidR="00A442E9" w:rsidRDefault="006047C3">
      <w:pPr>
        <w:spacing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65.0% </w:t>
      </w:r>
      <w:r w:rsidRPr="00B21236">
        <w:rPr>
          <w:rFonts w:ascii="Times New Roman" w:hAnsi="Times New Roman" w:cs="Times New Roman"/>
          <w:i/>
          <w:iCs/>
          <w:color w:val="000000"/>
          <w:sz w:val="24"/>
          <w:szCs w:val="24"/>
          <w:lang w:val="en-US"/>
        </w:rPr>
        <w:t xml:space="preserve">versus </w:t>
      </w:r>
      <w:r w:rsidRPr="00B21236">
        <w:rPr>
          <w:rFonts w:ascii="Times New Roman" w:hAnsi="Times New Roman" w:cs="Times New Roman"/>
          <w:color w:val="000000"/>
          <w:sz w:val="24"/>
          <w:szCs w:val="24"/>
          <w:lang w:val="en-US"/>
        </w:rPr>
        <w:t xml:space="preserve">66.0% of preterm infants treated with </w:t>
      </w:r>
      <w:r w:rsidR="00462DE6">
        <w:rPr>
          <w:rFonts w:ascii="Times New Roman" w:hAnsi="Times New Roman" w:cs="Times New Roman"/>
          <w:color w:val="000000"/>
          <w:sz w:val="24"/>
          <w:szCs w:val="24"/>
          <w:lang w:val="en-US"/>
        </w:rPr>
        <w:t>palivizumab</w:t>
      </w:r>
      <w:r w:rsidR="00462DE6" w:rsidRPr="00B21236">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t xml:space="preserve">and </w:t>
      </w:r>
      <w:r w:rsidR="00462DE6">
        <w:rPr>
          <w:rFonts w:ascii="Times New Roman" w:hAnsi="Times New Roman" w:cs="Times New Roman"/>
          <w:color w:val="000000"/>
          <w:sz w:val="24"/>
          <w:szCs w:val="24"/>
          <w:lang w:val="en-US"/>
        </w:rPr>
        <w:t>nirsevimab</w:t>
      </w:r>
      <w:r w:rsidRPr="00B21236">
        <w:rPr>
          <w:rFonts w:ascii="Times New Roman" w:hAnsi="Times New Roman" w:cs="Times New Roman"/>
          <w:color w:val="000000"/>
          <w:sz w:val="24"/>
          <w:szCs w:val="24"/>
          <w:lang w:val="en-US"/>
        </w:rPr>
        <w:t xml:space="preserve">, respectively, had any type of adverse event. In the </w:t>
      </w:r>
      <w:r w:rsidR="00C31C20">
        <w:rPr>
          <w:rFonts w:ascii="Times New Roman" w:hAnsi="Times New Roman" w:cs="Times New Roman"/>
          <w:color w:val="000000"/>
          <w:sz w:val="24"/>
          <w:szCs w:val="24"/>
          <w:lang w:val="en-US"/>
        </w:rPr>
        <w:t>CHD</w:t>
      </w:r>
      <w:r w:rsidRPr="00B21236">
        <w:rPr>
          <w:rFonts w:ascii="Times New Roman" w:hAnsi="Times New Roman" w:cs="Times New Roman"/>
          <w:color w:val="000000"/>
          <w:sz w:val="24"/>
          <w:szCs w:val="24"/>
          <w:lang w:val="en-US"/>
        </w:rPr>
        <w:t>-</w:t>
      </w:r>
      <w:r w:rsidR="00C31C20">
        <w:rPr>
          <w:rFonts w:ascii="Times New Roman" w:hAnsi="Times New Roman" w:cs="Times New Roman"/>
          <w:color w:val="000000"/>
          <w:sz w:val="24"/>
          <w:szCs w:val="24"/>
          <w:lang w:val="en-US"/>
        </w:rPr>
        <w:t>CLD</w:t>
      </w:r>
      <w:r w:rsidRPr="00B21236">
        <w:rPr>
          <w:rFonts w:ascii="Times New Roman" w:hAnsi="Times New Roman" w:cs="Times New Roman"/>
          <w:color w:val="000000"/>
          <w:sz w:val="24"/>
          <w:szCs w:val="24"/>
          <w:lang w:val="en-US"/>
        </w:rPr>
        <w:t xml:space="preserve"> cohort, these percentages were 73.5% and 71.2%, respectively. Of these, only 1.9% (</w:t>
      </w:r>
      <w:r w:rsidR="00CC7394">
        <w:rPr>
          <w:rFonts w:ascii="Times New Roman" w:hAnsi="Times New Roman" w:cs="Times New Roman"/>
          <w:color w:val="000000"/>
          <w:sz w:val="24"/>
          <w:szCs w:val="24"/>
          <w:lang w:val="en-US"/>
        </w:rPr>
        <w:t>palivizumab</w:t>
      </w:r>
      <w:r w:rsidRPr="00B21236">
        <w:rPr>
          <w:rFonts w:ascii="Times New Roman" w:hAnsi="Times New Roman" w:cs="Times New Roman"/>
          <w:color w:val="000000"/>
          <w:sz w:val="24"/>
          <w:szCs w:val="24"/>
          <w:lang w:val="en-US"/>
        </w:rPr>
        <w:t>) and 1.5% (</w:t>
      </w:r>
      <w:r w:rsidR="00CC7394">
        <w:rPr>
          <w:rFonts w:ascii="Times New Roman" w:hAnsi="Times New Roman" w:cs="Times New Roman"/>
          <w:color w:val="000000"/>
          <w:sz w:val="24"/>
          <w:szCs w:val="24"/>
          <w:lang w:val="en-US"/>
        </w:rPr>
        <w:t>nirsevimab</w:t>
      </w:r>
      <w:r w:rsidRPr="00B21236">
        <w:rPr>
          <w:rFonts w:ascii="Times New Roman" w:hAnsi="Times New Roman" w:cs="Times New Roman"/>
          <w:color w:val="000000"/>
          <w:sz w:val="24"/>
          <w:szCs w:val="24"/>
          <w:lang w:val="en-US"/>
        </w:rPr>
        <w:t xml:space="preserve">) were considered related to the preventive measure in the preterm cohort (2.0% and 1.9% in the </w:t>
      </w:r>
      <w:r w:rsidR="00C31C20">
        <w:rPr>
          <w:rFonts w:ascii="Times New Roman" w:hAnsi="Times New Roman" w:cs="Times New Roman"/>
          <w:color w:val="000000"/>
          <w:sz w:val="24"/>
          <w:szCs w:val="24"/>
          <w:lang w:val="en-US"/>
        </w:rPr>
        <w:t>CHD</w:t>
      </w:r>
      <w:r w:rsidRPr="00B21236">
        <w:rPr>
          <w:rFonts w:ascii="Times New Roman" w:hAnsi="Times New Roman" w:cs="Times New Roman"/>
          <w:color w:val="000000"/>
          <w:sz w:val="24"/>
          <w:szCs w:val="24"/>
          <w:lang w:val="en-US"/>
        </w:rPr>
        <w:t>-</w:t>
      </w:r>
      <w:r w:rsidR="00C31C20">
        <w:rPr>
          <w:rFonts w:ascii="Times New Roman" w:hAnsi="Times New Roman" w:cs="Times New Roman"/>
          <w:color w:val="000000"/>
          <w:sz w:val="24"/>
          <w:szCs w:val="24"/>
          <w:lang w:val="en-US"/>
        </w:rPr>
        <w:t>CLD</w:t>
      </w:r>
      <w:r w:rsidRPr="00B21236">
        <w:rPr>
          <w:rFonts w:ascii="Times New Roman" w:hAnsi="Times New Roman" w:cs="Times New Roman"/>
          <w:color w:val="000000"/>
          <w:sz w:val="24"/>
          <w:szCs w:val="24"/>
          <w:lang w:val="en-US"/>
        </w:rPr>
        <w:t xml:space="preserve"> cohort, respectively). The most common adverse events (&lt;10% of infants in either arm of the trial) are detailed below:</w:t>
      </w:r>
    </w:p>
    <w:p w14:paraId="1D0027E1" w14:textId="77777777" w:rsidR="00B11D62" w:rsidRDefault="00B11D62">
      <w:pPr>
        <w:spacing w:line="360" w:lineRule="auto"/>
        <w:jc w:val="both"/>
        <w:rPr>
          <w:rFonts w:ascii="Times New Roman" w:hAnsi="Times New Roman" w:cs="Times New Roman"/>
          <w:color w:val="000000"/>
          <w:sz w:val="24"/>
          <w:szCs w:val="24"/>
          <w:lang w:val="en-US"/>
        </w:rPr>
      </w:pPr>
    </w:p>
    <w:p w14:paraId="5BF6B40B" w14:textId="77777777" w:rsidR="00B11D62" w:rsidRDefault="00B11D62">
      <w:pPr>
        <w:spacing w:line="360" w:lineRule="auto"/>
        <w:jc w:val="both"/>
        <w:rPr>
          <w:rFonts w:ascii="Times New Roman" w:hAnsi="Times New Roman" w:cs="Times New Roman"/>
          <w:color w:val="000000"/>
          <w:sz w:val="24"/>
          <w:szCs w:val="24"/>
          <w:lang w:val="en-US"/>
        </w:rPr>
      </w:pPr>
    </w:p>
    <w:p w14:paraId="3E042AD3" w14:textId="77777777" w:rsidR="00B11D62" w:rsidRPr="00B21236" w:rsidRDefault="00B11D62">
      <w:pPr>
        <w:spacing w:line="360" w:lineRule="auto"/>
        <w:jc w:val="both"/>
        <w:rPr>
          <w:rFonts w:ascii="Times New Roman" w:hAnsi="Times New Roman" w:cs="Times New Roman"/>
          <w:color w:val="000000"/>
          <w:sz w:val="24"/>
          <w:szCs w:val="24"/>
          <w:lang w:val="en-US"/>
        </w:rPr>
      </w:pPr>
    </w:p>
    <w:p w14:paraId="21CEEAA8" w14:textId="2E58BE27" w:rsidR="00A442E9" w:rsidRPr="00B21236" w:rsidRDefault="006047C3">
      <w:pPr>
        <w:spacing w:line="360" w:lineRule="auto"/>
        <w:jc w:val="both"/>
        <w:rPr>
          <w:rFonts w:ascii="Times New Roman" w:hAnsi="Times New Roman" w:cs="Times New Roman"/>
          <w:b/>
          <w:bCs/>
          <w:color w:val="000000"/>
          <w:sz w:val="24"/>
          <w:szCs w:val="24"/>
          <w:lang w:val="en-US"/>
        </w:rPr>
      </w:pPr>
      <w:r w:rsidRPr="00B21236">
        <w:rPr>
          <w:rFonts w:ascii="Times New Roman" w:hAnsi="Times New Roman" w:cs="Times New Roman"/>
          <w:b/>
          <w:bCs/>
          <w:color w:val="000000"/>
          <w:sz w:val="24"/>
          <w:szCs w:val="24"/>
          <w:lang w:val="en-US"/>
        </w:rPr>
        <w:lastRenderedPageBreak/>
        <w:t>Table (S</w:t>
      </w:r>
      <w:r w:rsidR="00A651F3">
        <w:rPr>
          <w:rFonts w:ascii="Times New Roman" w:hAnsi="Times New Roman" w:cs="Times New Roman"/>
          <w:b/>
          <w:bCs/>
          <w:color w:val="000000"/>
          <w:sz w:val="24"/>
          <w:szCs w:val="24"/>
          <w:lang w:val="en-US"/>
        </w:rPr>
        <w:t>9</w:t>
      </w:r>
      <w:r w:rsidRPr="00B21236">
        <w:rPr>
          <w:rFonts w:ascii="Times New Roman" w:hAnsi="Times New Roman" w:cs="Times New Roman"/>
          <w:b/>
          <w:bCs/>
          <w:color w:val="000000"/>
          <w:sz w:val="24"/>
          <w:szCs w:val="24"/>
          <w:lang w:val="en-US"/>
        </w:rPr>
        <w:t xml:space="preserve">).2. </w:t>
      </w:r>
      <w:r w:rsidR="000E0611" w:rsidRPr="00B21236">
        <w:rPr>
          <w:rFonts w:ascii="Times New Roman" w:hAnsi="Times New Roman" w:cs="Times New Roman"/>
          <w:b/>
          <w:bCs/>
          <w:color w:val="000000"/>
          <w:sz w:val="24"/>
          <w:szCs w:val="24"/>
          <w:lang w:val="en-US"/>
        </w:rPr>
        <w:t>Mild adverse events, nirsevimab vs. palivizumab</w:t>
      </w:r>
    </w:p>
    <w:tbl>
      <w:tblPr>
        <w:tblStyle w:val="Tabladelista4-nfasis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1477"/>
        <w:gridCol w:w="1263"/>
        <w:gridCol w:w="1269"/>
        <w:gridCol w:w="1256"/>
        <w:gridCol w:w="1269"/>
        <w:gridCol w:w="1257"/>
        <w:gridCol w:w="1269"/>
      </w:tblGrid>
      <w:tr w:rsidR="00811064" w:rsidRPr="00B21236" w14:paraId="56C46548" w14:textId="77777777" w:rsidTr="008110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3" w:type="dxa"/>
            <w:vMerge w:val="restart"/>
            <w:tcBorders>
              <w:top w:val="none" w:sz="0" w:space="0" w:color="auto"/>
              <w:left w:val="none" w:sz="0" w:space="0" w:color="auto"/>
              <w:bottom w:val="none" w:sz="0" w:space="0" w:color="auto"/>
            </w:tcBorders>
            <w:shd w:val="clear" w:color="auto" w:fill="000000" w:themeFill="text1"/>
          </w:tcPr>
          <w:p w14:paraId="1A0CFB50" w14:textId="77777777" w:rsidR="00A442E9" w:rsidRPr="00B21236" w:rsidRDefault="006047C3">
            <w:pPr>
              <w:jc w:val="both"/>
              <w:rPr>
                <w:rFonts w:ascii="Times New Roman" w:hAnsi="Times New Roman" w:cs="Times New Roman"/>
                <w:sz w:val="18"/>
                <w:szCs w:val="18"/>
                <w:lang w:val="en-US"/>
              </w:rPr>
            </w:pPr>
            <w:r w:rsidRPr="00B21236">
              <w:rPr>
                <w:rFonts w:ascii="Times New Roman" w:hAnsi="Times New Roman" w:cs="Times New Roman"/>
                <w:sz w:val="18"/>
                <w:szCs w:val="18"/>
                <w:lang w:val="en-US"/>
              </w:rPr>
              <w:t>Adverse Events</w:t>
            </w:r>
          </w:p>
        </w:tc>
        <w:tc>
          <w:tcPr>
            <w:tcW w:w="7587" w:type="dxa"/>
            <w:gridSpan w:val="6"/>
            <w:tcBorders>
              <w:top w:val="none" w:sz="0" w:space="0" w:color="auto"/>
              <w:bottom w:val="none" w:sz="0" w:space="0" w:color="auto"/>
              <w:right w:val="none" w:sz="0" w:space="0" w:color="auto"/>
            </w:tcBorders>
            <w:shd w:val="clear" w:color="auto" w:fill="000000" w:themeFill="text1"/>
          </w:tcPr>
          <w:p w14:paraId="7F11DC17" w14:textId="77777777" w:rsidR="00A442E9" w:rsidRPr="00B21236" w:rsidRDefault="006047C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sidRPr="00B21236">
              <w:rPr>
                <w:rFonts w:ascii="Times New Roman" w:hAnsi="Times New Roman" w:cs="Times New Roman"/>
                <w:sz w:val="18"/>
                <w:szCs w:val="18"/>
                <w:lang w:val="en-US"/>
              </w:rPr>
              <w:t>% of patients</w:t>
            </w:r>
          </w:p>
        </w:tc>
      </w:tr>
      <w:tr w:rsidR="00811064" w:rsidRPr="00B21236" w14:paraId="408DBF4F" w14:textId="77777777" w:rsidTr="00811064">
        <w:tc>
          <w:tcPr>
            <w:cnfStyle w:val="001000000000" w:firstRow="0" w:lastRow="0" w:firstColumn="1" w:lastColumn="0" w:oddVBand="0" w:evenVBand="0" w:oddHBand="0" w:evenHBand="0" w:firstRowFirstColumn="0" w:firstRowLastColumn="0" w:lastRowFirstColumn="0" w:lastRowLastColumn="0"/>
            <w:tcW w:w="1473" w:type="dxa"/>
            <w:vMerge/>
            <w:shd w:val="clear" w:color="auto" w:fill="000000" w:themeFill="text1"/>
          </w:tcPr>
          <w:p w14:paraId="476E6D46" w14:textId="77777777" w:rsidR="00811064" w:rsidRPr="00B21236" w:rsidRDefault="00811064" w:rsidP="002A5DD8">
            <w:pPr>
              <w:jc w:val="both"/>
              <w:rPr>
                <w:rFonts w:ascii="Times New Roman" w:hAnsi="Times New Roman" w:cs="Times New Roman"/>
                <w:color w:val="FFFFFF" w:themeColor="background1"/>
                <w:sz w:val="18"/>
                <w:szCs w:val="18"/>
                <w:lang w:val="en-US"/>
              </w:rPr>
            </w:pPr>
          </w:p>
        </w:tc>
        <w:tc>
          <w:tcPr>
            <w:tcW w:w="2533" w:type="dxa"/>
            <w:gridSpan w:val="2"/>
            <w:shd w:val="clear" w:color="auto" w:fill="000000" w:themeFill="text1"/>
          </w:tcPr>
          <w:p w14:paraId="6B3548C0"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FFFF" w:themeColor="background1"/>
                <w:sz w:val="18"/>
                <w:szCs w:val="18"/>
                <w:lang w:val="en-US"/>
              </w:rPr>
            </w:pPr>
            <w:r w:rsidRPr="00B21236">
              <w:rPr>
                <w:rFonts w:ascii="Times New Roman" w:hAnsi="Times New Roman" w:cs="Times New Roman"/>
                <w:b/>
                <w:bCs/>
                <w:color w:val="FFFFFF" w:themeColor="background1"/>
                <w:sz w:val="18"/>
                <w:szCs w:val="18"/>
                <w:lang w:val="en-US"/>
              </w:rPr>
              <w:t>Preemies</w:t>
            </w:r>
          </w:p>
        </w:tc>
        <w:tc>
          <w:tcPr>
            <w:tcW w:w="2526" w:type="dxa"/>
            <w:gridSpan w:val="2"/>
            <w:shd w:val="clear" w:color="auto" w:fill="000000" w:themeFill="text1"/>
          </w:tcPr>
          <w:p w14:paraId="7634EB40" w14:textId="12110011" w:rsidR="00A442E9" w:rsidRPr="00B21236" w:rsidRDefault="00C31C2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FFFF" w:themeColor="background1"/>
                <w:sz w:val="18"/>
                <w:szCs w:val="18"/>
                <w:lang w:val="en-US"/>
              </w:rPr>
            </w:pPr>
            <w:r>
              <w:rPr>
                <w:rFonts w:ascii="Times New Roman" w:hAnsi="Times New Roman" w:cs="Times New Roman"/>
                <w:b/>
                <w:bCs/>
                <w:color w:val="FFFFFF" w:themeColor="background1"/>
                <w:sz w:val="18"/>
                <w:szCs w:val="18"/>
                <w:lang w:val="en-US"/>
              </w:rPr>
              <w:t>CHD</w:t>
            </w:r>
          </w:p>
        </w:tc>
        <w:tc>
          <w:tcPr>
            <w:tcW w:w="2528" w:type="dxa"/>
            <w:gridSpan w:val="2"/>
            <w:shd w:val="clear" w:color="auto" w:fill="000000" w:themeFill="text1"/>
          </w:tcPr>
          <w:p w14:paraId="6732000B" w14:textId="0653276F" w:rsidR="00A442E9" w:rsidRPr="00B21236" w:rsidRDefault="00C31C2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FFFFFF" w:themeColor="background1"/>
                <w:sz w:val="18"/>
                <w:szCs w:val="18"/>
                <w:lang w:val="en-US"/>
              </w:rPr>
            </w:pPr>
            <w:r>
              <w:rPr>
                <w:rFonts w:ascii="Times New Roman" w:hAnsi="Times New Roman" w:cs="Times New Roman"/>
                <w:b/>
                <w:bCs/>
                <w:color w:val="FFFFFF" w:themeColor="background1"/>
                <w:sz w:val="18"/>
                <w:szCs w:val="18"/>
                <w:lang w:val="en-US"/>
              </w:rPr>
              <w:t>CLD</w:t>
            </w:r>
          </w:p>
        </w:tc>
      </w:tr>
      <w:tr w:rsidR="00811064" w:rsidRPr="00B21236" w14:paraId="4CF0FC9F" w14:textId="77777777" w:rsidTr="00811064">
        <w:tc>
          <w:tcPr>
            <w:cnfStyle w:val="001000000000" w:firstRow="0" w:lastRow="0" w:firstColumn="1" w:lastColumn="0" w:oddVBand="0" w:evenVBand="0" w:oddHBand="0" w:evenHBand="0" w:firstRowFirstColumn="0" w:firstRowLastColumn="0" w:lastRowFirstColumn="0" w:lastRowLastColumn="0"/>
            <w:tcW w:w="1473" w:type="dxa"/>
            <w:shd w:val="clear" w:color="auto" w:fill="BFBFBF" w:themeFill="background1" w:themeFillShade="BF"/>
          </w:tcPr>
          <w:p w14:paraId="18F100A9" w14:textId="77777777" w:rsidR="00811064" w:rsidRPr="00B21236" w:rsidRDefault="00811064" w:rsidP="002A5DD8">
            <w:pPr>
              <w:jc w:val="both"/>
              <w:rPr>
                <w:rFonts w:ascii="Times New Roman" w:hAnsi="Times New Roman" w:cs="Times New Roman"/>
                <w:color w:val="000000"/>
                <w:sz w:val="18"/>
                <w:szCs w:val="18"/>
                <w:lang w:val="en-US"/>
              </w:rPr>
            </w:pPr>
          </w:p>
        </w:tc>
        <w:tc>
          <w:tcPr>
            <w:tcW w:w="1264" w:type="dxa"/>
            <w:shd w:val="clear" w:color="auto" w:fill="BFBFBF" w:themeFill="background1" w:themeFillShade="BF"/>
          </w:tcPr>
          <w:p w14:paraId="04388156"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18"/>
                <w:szCs w:val="18"/>
                <w:lang w:val="en-US"/>
              </w:rPr>
            </w:pPr>
            <w:r w:rsidRPr="00B21236">
              <w:rPr>
                <w:rFonts w:ascii="Times New Roman" w:hAnsi="Times New Roman" w:cs="Times New Roman"/>
                <w:b/>
                <w:bCs/>
                <w:color w:val="000000"/>
                <w:sz w:val="18"/>
                <w:szCs w:val="18"/>
                <w:lang w:val="en-US"/>
              </w:rPr>
              <w:t xml:space="preserve">Nirsevimab </w:t>
            </w:r>
          </w:p>
        </w:tc>
        <w:tc>
          <w:tcPr>
            <w:tcW w:w="1269" w:type="dxa"/>
            <w:shd w:val="clear" w:color="auto" w:fill="BFBFBF" w:themeFill="background1" w:themeFillShade="BF"/>
          </w:tcPr>
          <w:p w14:paraId="06C683D5"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18"/>
                <w:szCs w:val="18"/>
                <w:lang w:val="en-US"/>
              </w:rPr>
            </w:pPr>
            <w:r w:rsidRPr="00B21236">
              <w:rPr>
                <w:rFonts w:ascii="Times New Roman" w:hAnsi="Times New Roman" w:cs="Times New Roman"/>
                <w:b/>
                <w:bCs/>
                <w:color w:val="000000"/>
                <w:sz w:val="18"/>
                <w:szCs w:val="18"/>
                <w:lang w:val="en-US"/>
              </w:rPr>
              <w:t>Palivizumab</w:t>
            </w:r>
          </w:p>
        </w:tc>
        <w:tc>
          <w:tcPr>
            <w:tcW w:w="1257" w:type="dxa"/>
            <w:shd w:val="clear" w:color="auto" w:fill="BFBFBF" w:themeFill="background1" w:themeFillShade="BF"/>
          </w:tcPr>
          <w:p w14:paraId="08BC2FB7"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18"/>
                <w:szCs w:val="18"/>
                <w:lang w:val="en-US"/>
              </w:rPr>
            </w:pPr>
            <w:r w:rsidRPr="00B21236">
              <w:rPr>
                <w:rFonts w:ascii="Times New Roman" w:hAnsi="Times New Roman" w:cs="Times New Roman"/>
                <w:b/>
                <w:bCs/>
                <w:color w:val="000000"/>
                <w:sz w:val="18"/>
                <w:szCs w:val="18"/>
                <w:lang w:val="en-US"/>
              </w:rPr>
              <w:t xml:space="preserve">Nirsevimab </w:t>
            </w:r>
          </w:p>
        </w:tc>
        <w:tc>
          <w:tcPr>
            <w:tcW w:w="1269" w:type="dxa"/>
            <w:shd w:val="clear" w:color="auto" w:fill="BFBFBF" w:themeFill="background1" w:themeFillShade="BF"/>
          </w:tcPr>
          <w:p w14:paraId="367F2ED6"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18"/>
                <w:szCs w:val="18"/>
                <w:lang w:val="en-US"/>
              </w:rPr>
            </w:pPr>
            <w:r w:rsidRPr="00B21236">
              <w:rPr>
                <w:rFonts w:ascii="Times New Roman" w:hAnsi="Times New Roman" w:cs="Times New Roman"/>
                <w:b/>
                <w:bCs/>
                <w:color w:val="000000"/>
                <w:sz w:val="18"/>
                <w:szCs w:val="18"/>
                <w:lang w:val="en-US"/>
              </w:rPr>
              <w:t>Palivizumab</w:t>
            </w:r>
          </w:p>
        </w:tc>
        <w:tc>
          <w:tcPr>
            <w:tcW w:w="1258" w:type="dxa"/>
            <w:shd w:val="clear" w:color="auto" w:fill="BFBFBF" w:themeFill="background1" w:themeFillShade="BF"/>
          </w:tcPr>
          <w:p w14:paraId="483499CA"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18"/>
                <w:szCs w:val="18"/>
                <w:lang w:val="en-US"/>
              </w:rPr>
            </w:pPr>
            <w:r w:rsidRPr="00B21236">
              <w:rPr>
                <w:rFonts w:ascii="Times New Roman" w:hAnsi="Times New Roman" w:cs="Times New Roman"/>
                <w:b/>
                <w:bCs/>
                <w:color w:val="000000"/>
                <w:sz w:val="18"/>
                <w:szCs w:val="18"/>
                <w:lang w:val="en-US"/>
              </w:rPr>
              <w:t xml:space="preserve">Nirsevimab </w:t>
            </w:r>
          </w:p>
        </w:tc>
        <w:tc>
          <w:tcPr>
            <w:tcW w:w="1270" w:type="dxa"/>
            <w:shd w:val="clear" w:color="auto" w:fill="BFBFBF" w:themeFill="background1" w:themeFillShade="BF"/>
          </w:tcPr>
          <w:p w14:paraId="24FCB041"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18"/>
                <w:szCs w:val="18"/>
                <w:lang w:val="en-US"/>
              </w:rPr>
            </w:pPr>
            <w:r w:rsidRPr="00B21236">
              <w:rPr>
                <w:rFonts w:ascii="Times New Roman" w:hAnsi="Times New Roman" w:cs="Times New Roman"/>
                <w:b/>
                <w:bCs/>
                <w:color w:val="000000"/>
                <w:sz w:val="18"/>
                <w:szCs w:val="18"/>
                <w:lang w:val="en-US"/>
              </w:rPr>
              <w:t>Palivizumab</w:t>
            </w:r>
          </w:p>
        </w:tc>
      </w:tr>
      <w:tr w:rsidR="00811064" w:rsidRPr="00B21236" w14:paraId="3BA43E47" w14:textId="77777777" w:rsidTr="00811064">
        <w:tc>
          <w:tcPr>
            <w:cnfStyle w:val="001000000000" w:firstRow="0" w:lastRow="0" w:firstColumn="1" w:lastColumn="0" w:oddVBand="0" w:evenVBand="0" w:oddHBand="0" w:evenHBand="0" w:firstRowFirstColumn="0" w:firstRowLastColumn="0" w:lastRowFirstColumn="0" w:lastRowLastColumn="0"/>
            <w:tcW w:w="1473" w:type="dxa"/>
          </w:tcPr>
          <w:p w14:paraId="0D02673D"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Cold</w:t>
            </w:r>
          </w:p>
        </w:tc>
        <w:tc>
          <w:tcPr>
            <w:tcW w:w="1264" w:type="dxa"/>
            <w:shd w:val="clear" w:color="auto" w:fill="auto"/>
          </w:tcPr>
          <w:p w14:paraId="303F366D"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6,3</w:t>
            </w:r>
          </w:p>
        </w:tc>
        <w:tc>
          <w:tcPr>
            <w:tcW w:w="1269" w:type="dxa"/>
            <w:shd w:val="clear" w:color="auto" w:fill="auto"/>
          </w:tcPr>
          <w:p w14:paraId="0417ADF9"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11,8</w:t>
            </w:r>
          </w:p>
        </w:tc>
        <w:tc>
          <w:tcPr>
            <w:tcW w:w="1257" w:type="dxa"/>
            <w:shd w:val="clear" w:color="auto" w:fill="auto"/>
          </w:tcPr>
          <w:p w14:paraId="1B79C9AE"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17,1</w:t>
            </w:r>
          </w:p>
        </w:tc>
        <w:tc>
          <w:tcPr>
            <w:tcW w:w="1269" w:type="dxa"/>
            <w:shd w:val="clear" w:color="auto" w:fill="auto"/>
          </w:tcPr>
          <w:p w14:paraId="2A3ACFBC"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9,1</w:t>
            </w:r>
          </w:p>
        </w:tc>
        <w:tc>
          <w:tcPr>
            <w:tcW w:w="1258" w:type="dxa"/>
            <w:shd w:val="clear" w:color="auto" w:fill="auto"/>
          </w:tcPr>
          <w:p w14:paraId="2D4029A1"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6,8</w:t>
            </w:r>
          </w:p>
        </w:tc>
        <w:tc>
          <w:tcPr>
            <w:tcW w:w="1270" w:type="dxa"/>
            <w:shd w:val="clear" w:color="auto" w:fill="auto"/>
          </w:tcPr>
          <w:p w14:paraId="1189C029"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8,8</w:t>
            </w:r>
          </w:p>
        </w:tc>
      </w:tr>
      <w:tr w:rsidR="00811064" w:rsidRPr="00B21236" w14:paraId="423D12C4" w14:textId="77777777" w:rsidTr="00811064">
        <w:tc>
          <w:tcPr>
            <w:cnfStyle w:val="001000000000" w:firstRow="0" w:lastRow="0" w:firstColumn="1" w:lastColumn="0" w:oddVBand="0" w:evenVBand="0" w:oddHBand="0" w:evenHBand="0" w:firstRowFirstColumn="0" w:firstRowLastColumn="0" w:lastRowFirstColumn="0" w:lastRowLastColumn="0"/>
            <w:tcW w:w="1473" w:type="dxa"/>
          </w:tcPr>
          <w:p w14:paraId="6C9DA0FC"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Diarrhea</w:t>
            </w:r>
          </w:p>
        </w:tc>
        <w:tc>
          <w:tcPr>
            <w:tcW w:w="1264" w:type="dxa"/>
            <w:shd w:val="clear" w:color="auto" w:fill="auto"/>
          </w:tcPr>
          <w:p w14:paraId="7635D74F"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1,6</w:t>
            </w:r>
          </w:p>
        </w:tc>
        <w:tc>
          <w:tcPr>
            <w:tcW w:w="1269" w:type="dxa"/>
            <w:shd w:val="clear" w:color="auto" w:fill="auto"/>
          </w:tcPr>
          <w:p w14:paraId="0A91E3F8"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2,9</w:t>
            </w:r>
          </w:p>
        </w:tc>
        <w:tc>
          <w:tcPr>
            <w:tcW w:w="1257" w:type="dxa"/>
            <w:shd w:val="clear" w:color="auto" w:fill="auto"/>
          </w:tcPr>
          <w:p w14:paraId="19E354B9"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7,1</w:t>
            </w:r>
          </w:p>
        </w:tc>
        <w:tc>
          <w:tcPr>
            <w:tcW w:w="1269" w:type="dxa"/>
            <w:shd w:val="clear" w:color="auto" w:fill="auto"/>
          </w:tcPr>
          <w:p w14:paraId="4135F674"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2,1</w:t>
            </w:r>
          </w:p>
        </w:tc>
        <w:tc>
          <w:tcPr>
            <w:tcW w:w="1258" w:type="dxa"/>
            <w:shd w:val="clear" w:color="auto" w:fill="auto"/>
          </w:tcPr>
          <w:p w14:paraId="4E3C914A"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1,9</w:t>
            </w:r>
          </w:p>
        </w:tc>
        <w:tc>
          <w:tcPr>
            <w:tcW w:w="1270" w:type="dxa"/>
            <w:shd w:val="clear" w:color="auto" w:fill="auto"/>
          </w:tcPr>
          <w:p w14:paraId="049E92DC"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1,9</w:t>
            </w:r>
          </w:p>
        </w:tc>
      </w:tr>
      <w:tr w:rsidR="00811064" w:rsidRPr="00B21236" w14:paraId="7875260C" w14:textId="77777777" w:rsidTr="00811064">
        <w:tc>
          <w:tcPr>
            <w:cnfStyle w:val="001000000000" w:firstRow="0" w:lastRow="0" w:firstColumn="1" w:lastColumn="0" w:oddVBand="0" w:evenVBand="0" w:oddHBand="0" w:evenHBand="0" w:firstRowFirstColumn="0" w:firstRowLastColumn="0" w:lastRowFirstColumn="0" w:lastRowLastColumn="0"/>
            <w:tcW w:w="1473" w:type="dxa"/>
          </w:tcPr>
          <w:p w14:paraId="5274C6A1"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Pyrexia</w:t>
            </w:r>
          </w:p>
        </w:tc>
        <w:tc>
          <w:tcPr>
            <w:tcW w:w="1264" w:type="dxa"/>
            <w:shd w:val="clear" w:color="auto" w:fill="auto"/>
          </w:tcPr>
          <w:p w14:paraId="64F4FDFB"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12,5</w:t>
            </w:r>
          </w:p>
        </w:tc>
        <w:tc>
          <w:tcPr>
            <w:tcW w:w="1269" w:type="dxa"/>
            <w:shd w:val="clear" w:color="auto" w:fill="auto"/>
          </w:tcPr>
          <w:p w14:paraId="25C06AD0"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8,8</w:t>
            </w:r>
          </w:p>
        </w:tc>
        <w:tc>
          <w:tcPr>
            <w:tcW w:w="1257" w:type="dxa"/>
            <w:shd w:val="clear" w:color="auto" w:fill="auto"/>
          </w:tcPr>
          <w:p w14:paraId="61CE853A"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18,6</w:t>
            </w:r>
          </w:p>
        </w:tc>
        <w:tc>
          <w:tcPr>
            <w:tcW w:w="1269" w:type="dxa"/>
            <w:shd w:val="clear" w:color="auto" w:fill="auto"/>
          </w:tcPr>
          <w:p w14:paraId="4AD9EFD7"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9,1</w:t>
            </w:r>
          </w:p>
        </w:tc>
        <w:tc>
          <w:tcPr>
            <w:tcW w:w="1258" w:type="dxa"/>
            <w:shd w:val="clear" w:color="auto" w:fill="auto"/>
          </w:tcPr>
          <w:p w14:paraId="25D2E8EB"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8,2</w:t>
            </w:r>
          </w:p>
        </w:tc>
        <w:tc>
          <w:tcPr>
            <w:tcW w:w="1270" w:type="dxa"/>
            <w:shd w:val="clear" w:color="auto" w:fill="auto"/>
          </w:tcPr>
          <w:p w14:paraId="273E42BC"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5,9</w:t>
            </w:r>
          </w:p>
        </w:tc>
      </w:tr>
      <w:tr w:rsidR="00811064" w:rsidRPr="00B21236" w14:paraId="73769F84" w14:textId="77777777" w:rsidTr="00811064">
        <w:tc>
          <w:tcPr>
            <w:cnfStyle w:val="001000000000" w:firstRow="0" w:lastRow="0" w:firstColumn="1" w:lastColumn="0" w:oddVBand="0" w:evenVBand="0" w:oddHBand="0" w:evenHBand="0" w:firstRowFirstColumn="0" w:firstRowLastColumn="0" w:lastRowFirstColumn="0" w:lastRowLastColumn="0"/>
            <w:tcW w:w="1473" w:type="dxa"/>
          </w:tcPr>
          <w:p w14:paraId="1A92E517"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Rhinitis</w:t>
            </w:r>
          </w:p>
        </w:tc>
        <w:tc>
          <w:tcPr>
            <w:tcW w:w="1264" w:type="dxa"/>
            <w:shd w:val="clear" w:color="auto" w:fill="auto"/>
          </w:tcPr>
          <w:p w14:paraId="106B5F14"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20,3</w:t>
            </w:r>
          </w:p>
        </w:tc>
        <w:tc>
          <w:tcPr>
            <w:tcW w:w="1269" w:type="dxa"/>
            <w:shd w:val="clear" w:color="auto" w:fill="auto"/>
          </w:tcPr>
          <w:p w14:paraId="022B2CD4"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16,2</w:t>
            </w:r>
          </w:p>
        </w:tc>
        <w:tc>
          <w:tcPr>
            <w:tcW w:w="1257" w:type="dxa"/>
            <w:shd w:val="clear" w:color="auto" w:fill="auto"/>
          </w:tcPr>
          <w:p w14:paraId="4D637B16"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8,6</w:t>
            </w:r>
          </w:p>
        </w:tc>
        <w:tc>
          <w:tcPr>
            <w:tcW w:w="1269" w:type="dxa"/>
            <w:shd w:val="clear" w:color="auto" w:fill="auto"/>
          </w:tcPr>
          <w:p w14:paraId="7C75CC10"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3,0</w:t>
            </w:r>
          </w:p>
        </w:tc>
        <w:tc>
          <w:tcPr>
            <w:tcW w:w="1258" w:type="dxa"/>
            <w:shd w:val="clear" w:color="auto" w:fill="auto"/>
          </w:tcPr>
          <w:p w14:paraId="4E22872F"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12,9</w:t>
            </w:r>
          </w:p>
        </w:tc>
        <w:tc>
          <w:tcPr>
            <w:tcW w:w="1270" w:type="dxa"/>
            <w:shd w:val="clear" w:color="auto" w:fill="auto"/>
          </w:tcPr>
          <w:p w14:paraId="1DA8FC34"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8,8</w:t>
            </w:r>
          </w:p>
        </w:tc>
      </w:tr>
      <w:tr w:rsidR="00811064" w:rsidRPr="00B21236" w14:paraId="4EF783FD" w14:textId="77777777" w:rsidTr="00811064">
        <w:tc>
          <w:tcPr>
            <w:cnfStyle w:val="001000000000" w:firstRow="0" w:lastRow="0" w:firstColumn="1" w:lastColumn="0" w:oddVBand="0" w:evenVBand="0" w:oddHBand="0" w:evenHBand="0" w:firstRowFirstColumn="0" w:firstRowLastColumn="0" w:lastRowFirstColumn="0" w:lastRowLastColumn="0"/>
            <w:tcW w:w="1473" w:type="dxa"/>
          </w:tcPr>
          <w:p w14:paraId="76E02078" w14:textId="38ABB971" w:rsidR="00A442E9" w:rsidRPr="00B21236" w:rsidRDefault="00D849EA">
            <w:pPr>
              <w:jc w:val="both"/>
              <w:rPr>
                <w:rFonts w:ascii="Times New Roman" w:hAnsi="Times New Roman" w:cs="Times New Roman"/>
                <w:color w:val="000000"/>
                <w:sz w:val="18"/>
                <w:szCs w:val="18"/>
                <w:lang w:val="en-US"/>
              </w:rPr>
            </w:pPr>
            <w:r>
              <w:rPr>
                <w:rFonts w:ascii="Times New Roman" w:hAnsi="Times New Roman" w:cs="Times New Roman"/>
                <w:color w:val="000000"/>
                <w:sz w:val="18"/>
                <w:szCs w:val="18"/>
                <w:lang w:val="en-US"/>
              </w:rPr>
              <w:t>URTI</w:t>
            </w:r>
          </w:p>
        </w:tc>
        <w:tc>
          <w:tcPr>
            <w:tcW w:w="1264" w:type="dxa"/>
            <w:shd w:val="clear" w:color="auto" w:fill="auto"/>
          </w:tcPr>
          <w:p w14:paraId="0F4A83AC"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14,1</w:t>
            </w:r>
          </w:p>
        </w:tc>
        <w:tc>
          <w:tcPr>
            <w:tcW w:w="1269" w:type="dxa"/>
            <w:shd w:val="clear" w:color="auto" w:fill="auto"/>
          </w:tcPr>
          <w:p w14:paraId="38AA1C80"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13,2</w:t>
            </w:r>
          </w:p>
        </w:tc>
        <w:tc>
          <w:tcPr>
            <w:tcW w:w="1257" w:type="dxa"/>
            <w:shd w:val="clear" w:color="auto" w:fill="auto"/>
          </w:tcPr>
          <w:p w14:paraId="71142B1F"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18,6</w:t>
            </w:r>
          </w:p>
        </w:tc>
        <w:tc>
          <w:tcPr>
            <w:tcW w:w="1269" w:type="dxa"/>
            <w:shd w:val="clear" w:color="auto" w:fill="auto"/>
          </w:tcPr>
          <w:p w14:paraId="2DC72F30"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27,3</w:t>
            </w:r>
          </w:p>
        </w:tc>
        <w:tc>
          <w:tcPr>
            <w:tcW w:w="1258" w:type="dxa"/>
            <w:shd w:val="clear" w:color="auto" w:fill="auto"/>
          </w:tcPr>
          <w:p w14:paraId="4D69FFB5"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12,9</w:t>
            </w:r>
          </w:p>
        </w:tc>
        <w:tc>
          <w:tcPr>
            <w:tcW w:w="1270" w:type="dxa"/>
            <w:shd w:val="clear" w:color="auto" w:fill="auto"/>
          </w:tcPr>
          <w:p w14:paraId="7683903A"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11,8</w:t>
            </w:r>
          </w:p>
        </w:tc>
      </w:tr>
      <w:tr w:rsidR="00811064" w:rsidRPr="00B21236" w14:paraId="18CBC6B6" w14:textId="77777777" w:rsidTr="00811064">
        <w:tc>
          <w:tcPr>
            <w:cnfStyle w:val="001000000000" w:firstRow="0" w:lastRow="0" w:firstColumn="1" w:lastColumn="0" w:oddVBand="0" w:evenVBand="0" w:oddHBand="0" w:evenHBand="0" w:firstRowFirstColumn="0" w:firstRowLastColumn="0" w:lastRowFirstColumn="0" w:lastRowLastColumn="0"/>
            <w:tcW w:w="1473" w:type="dxa"/>
          </w:tcPr>
          <w:p w14:paraId="3040FA3B" w14:textId="77777777" w:rsidR="00A442E9" w:rsidRPr="00B21236" w:rsidRDefault="006047C3">
            <w:pPr>
              <w:jc w:val="both"/>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Nasopharyngitis</w:t>
            </w:r>
          </w:p>
        </w:tc>
        <w:tc>
          <w:tcPr>
            <w:tcW w:w="1264" w:type="dxa"/>
            <w:shd w:val="clear" w:color="auto" w:fill="auto"/>
          </w:tcPr>
          <w:p w14:paraId="47CC7855"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7,8</w:t>
            </w:r>
          </w:p>
        </w:tc>
        <w:tc>
          <w:tcPr>
            <w:tcW w:w="1269" w:type="dxa"/>
            <w:shd w:val="clear" w:color="auto" w:fill="auto"/>
          </w:tcPr>
          <w:p w14:paraId="0A3138FD"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19,1</w:t>
            </w:r>
          </w:p>
        </w:tc>
        <w:tc>
          <w:tcPr>
            <w:tcW w:w="1257" w:type="dxa"/>
            <w:shd w:val="clear" w:color="auto" w:fill="auto"/>
          </w:tcPr>
          <w:p w14:paraId="1D63E8CD"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5,7</w:t>
            </w:r>
          </w:p>
        </w:tc>
        <w:tc>
          <w:tcPr>
            <w:tcW w:w="1269" w:type="dxa"/>
            <w:shd w:val="clear" w:color="auto" w:fill="auto"/>
          </w:tcPr>
          <w:p w14:paraId="1CE6BE5E"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6,1</w:t>
            </w:r>
          </w:p>
        </w:tc>
        <w:tc>
          <w:tcPr>
            <w:tcW w:w="1258" w:type="dxa"/>
            <w:shd w:val="clear" w:color="auto" w:fill="auto"/>
          </w:tcPr>
          <w:p w14:paraId="5B21D0F9"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9,5</w:t>
            </w:r>
          </w:p>
        </w:tc>
        <w:tc>
          <w:tcPr>
            <w:tcW w:w="1270" w:type="dxa"/>
            <w:shd w:val="clear" w:color="auto" w:fill="auto"/>
          </w:tcPr>
          <w:p w14:paraId="3B5ABC78" w14:textId="77777777" w:rsidR="00A442E9" w:rsidRPr="00B21236" w:rsidRDefault="006047C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lang w:val="en-US"/>
              </w:rPr>
            </w:pPr>
            <w:r w:rsidRPr="00B21236">
              <w:rPr>
                <w:rFonts w:ascii="Times New Roman" w:hAnsi="Times New Roman" w:cs="Times New Roman"/>
                <w:color w:val="000000"/>
                <w:sz w:val="18"/>
                <w:szCs w:val="18"/>
                <w:lang w:val="en-US"/>
              </w:rPr>
              <w:t>23,5</w:t>
            </w:r>
          </w:p>
        </w:tc>
      </w:tr>
    </w:tbl>
    <w:p w14:paraId="20A18F0B" w14:textId="1EE5BEB8" w:rsidR="000E0611" w:rsidRPr="00B21236" w:rsidRDefault="006047C3" w:rsidP="00D849EA">
      <w:pPr>
        <w:spacing w:before="120" w:after="120" w:line="240" w:lineRule="auto"/>
        <w:jc w:val="both"/>
        <w:rPr>
          <w:rFonts w:ascii="Times New Roman" w:hAnsi="Times New Roman" w:cs="Times New Roman"/>
          <w:sz w:val="24"/>
          <w:szCs w:val="24"/>
          <w:lang w:val="en-US"/>
        </w:rPr>
      </w:pPr>
      <w:r w:rsidRPr="00B21236">
        <w:rPr>
          <w:rFonts w:ascii="Times New Roman" w:hAnsi="Times New Roman" w:cs="Times New Roman"/>
          <w:color w:val="000000"/>
          <w:sz w:val="18"/>
          <w:szCs w:val="18"/>
          <w:lang w:val="en-US"/>
        </w:rPr>
        <w:t>Notes: Data based on the MEDLEY trial. URTI: upper respiratory tract infection. CHD: congenital heart disease. CLD: chronic lung disease.</w:t>
      </w:r>
    </w:p>
    <w:p w14:paraId="432FBB1D" w14:textId="48B0FAB9" w:rsidR="00A442E9" w:rsidRPr="00B21236" w:rsidRDefault="00B11D62" w:rsidP="00B11D62">
      <w:pPr>
        <w:pStyle w:val="Ttulo2"/>
        <w:spacing w:before="240" w:after="0" w:line="360" w:lineRule="auto"/>
        <w:rPr>
          <w:rFonts w:cs="Times New Roman"/>
          <w:szCs w:val="24"/>
          <w:lang w:val="en-US"/>
        </w:rPr>
      </w:pPr>
      <w:bookmarkStart w:id="7" w:name="_Toc135731178"/>
      <w:r>
        <w:rPr>
          <w:rFonts w:cs="Times New Roman"/>
          <w:szCs w:val="24"/>
          <w:lang w:val="en-US"/>
        </w:rPr>
        <w:t xml:space="preserve">Criterion </w:t>
      </w:r>
      <w:r w:rsidR="00E07768">
        <w:rPr>
          <w:rFonts w:cs="Times New Roman"/>
          <w:szCs w:val="24"/>
          <w:lang w:val="en-US"/>
        </w:rPr>
        <w:t xml:space="preserve">20. </w:t>
      </w:r>
      <w:r w:rsidR="007266EA" w:rsidRPr="00B21236">
        <w:rPr>
          <w:rFonts w:cs="Times New Roman"/>
          <w:szCs w:val="24"/>
          <w:lang w:val="en-US"/>
        </w:rPr>
        <w:t>Monetary cost of the preventive measure</w:t>
      </w:r>
      <w:bookmarkEnd w:id="7"/>
    </w:p>
    <w:p w14:paraId="192A0CEC" w14:textId="648A5CC3"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[Definition of the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83594" w:rsidRPr="00B21236">
        <w:rPr>
          <w:rFonts w:ascii="Times New Roman" w:hAnsi="Times New Roman" w:cs="Times New Roman"/>
          <w:sz w:val="24"/>
          <w:szCs w:val="24"/>
          <w:lang w:val="en-US"/>
        </w:rPr>
        <w:t>Acquisition cost of the preventive measure</w:t>
      </w:r>
      <w:r w:rsidR="0068107C">
        <w:rPr>
          <w:rFonts w:ascii="Times New Roman" w:hAnsi="Times New Roman" w:cs="Times New Roman"/>
          <w:sz w:val="24"/>
          <w:szCs w:val="24"/>
          <w:lang w:val="en-US"/>
        </w:rPr>
        <w:t>, in monetary terms</w:t>
      </w:r>
      <w:r w:rsidRPr="00B21236">
        <w:rPr>
          <w:rFonts w:ascii="Times New Roman" w:hAnsi="Times New Roman" w:cs="Times New Roman"/>
          <w:sz w:val="24"/>
          <w:szCs w:val="24"/>
          <w:lang w:val="en-US"/>
        </w:rPr>
        <w:t>.</w:t>
      </w:r>
    </w:p>
    <w:p w14:paraId="7D3E74D9"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83594" w:rsidRPr="00B21236">
        <w:rPr>
          <w:rFonts w:ascii="Times New Roman" w:hAnsi="Times New Roman" w:cs="Times New Roman"/>
          <w:sz w:val="24"/>
          <w:szCs w:val="24"/>
          <w:lang w:val="en-US"/>
        </w:rPr>
        <w:t>Relative</w:t>
      </w:r>
    </w:p>
    <w:p w14:paraId="6015B519"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3BD15B1F" w14:textId="3D77DC8C"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Nirsevimab is not yet authorized in Europe and the United States, therefore, it is not marketed in Spain (or in any other country), so its acquisition price is still unknown. Nirsevimab is intended for the protection of all children under 12 months of age (healthy, premature, and with some health problem) who are going to face their first RSV season. For this MCDA, we will assume a purchase price in line with the cost of immunization of other innovative vaccines. In addition, we assume a cost for its administration of 6,53€ (1 dose</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{"citationID":"LgBc69Dj","properties":{"formattedCitation":"[19,20]","plainCitation":"[19,20]","noteIndex":0},"citationItems":[{"id":66705,"uris":["http://zotero.org/groups/337550/items/MJ9JHQNG"],"itemData":{"id":66705,"type":"article-journal","abstract":"OBJECTIVES: To assess the cost effectiveness of palivizumab for prevention of severe respiratory syncytial virus (RSV) disease in high-risk infants in Spain, incorporating country-specific observational hospitalisation data.\nMETHODS: An existing decision tree model, designed using data from a large international clinical trial of palivizumab versus no prophylaxis, was updated to include Spanish observational hospitalisation data. The analysis was performed for preterm children born at or before 32 weeks gestational age, who are at high risk of developing severe RSV disease requiring hospitalisation. Data sources included published literature, official price/tariff lists and national population statistics. The primary perspective of the study was that of the Spanish National Health Service in 2006.\nRESULTS: The base-case analysis included the direct medical costs associated with palivizumab prophylaxis and hospital care for RSV infections. Use of palivizumab produces an undiscounted incremental cost-effectiveness ratio (ICER) of euro6,142 per quality-adjusted life-year (QALY), and a discounted ICER of euro12,814/QALY.\nCONCLUSION: Palivizumab provides a cost-effective method of prophylaxis against severe RSV disease requiring hospitalisation among preterm infants in Spain.","container-title":"The European journal of health economics: HEPAC: health economics in prevention and care","DOI":"10.1007/s10198-009-0206-x","ISSN":"1618-7601","issue":"1","journalAbbreviation":"Eur J Health Econ","language":"eng","note":"PMID: 19967425\nPMCID: PMC2816247","page":"105-115","source":"PubMed","title":"Cost effectiveness of palivizumab in Spain: an analysis using observational data","title-short":"Cost effectiveness of palivizumab in Spain","volume":"11","author":[{"family":"Nuijten","given":"Mark J."},{"family":"Wittenberg","given":"Wolfgang"}],"issued":{"date-parts":[["2010"]]}}},{"id":69265,"uris":["http://zotero.org/groups/337550/items/9TLNSWJE"],"itemData":{"id":69265,"type":"post-weblog","title":"Actualización de rentas con el IPC general (sistema IPC base 2021) para periodos anuales completos","URL":"https://www.ine.es/calcula/","author":[{"family":"INE","given":""}],"issued":{"date-parts":[["2022"]]}}}],"schema":"https://github.com/citation-style-language/schema/raw/master/csl-citation.json"}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E36543">
        <w:rPr>
          <w:rFonts w:ascii="Times New Roman" w:hAnsi="Times New Roman" w:cs="Times New Roman"/>
          <w:sz w:val="24"/>
          <w:lang w:val="en-US"/>
        </w:rPr>
        <w:t>[19,20]</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The target population of the strategy is 341,315 children (children born in Spain in 2020</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{"citationID":"tEedaFXt","properties":{"formattedCitation":"[21]","plainCitation":"[21]","noteIndex":0},"citationItems":[{"id":69032,"uris":["http://zotero.org/groups/337550/items/BBUTFGTE"],"itemData":{"id":69032,"type":"post-weblog","title":"Movimiento natural de la población: Nacimientos","URL":"https://www.ine.es/dyngs/INEbase/es/operacion.htm?c=Estadistica_C&amp;cid=1254736177007&amp;menu=ultiDatos&amp;idp=1254735573002","author":[{"family":"INE","given":""}],"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[21]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7412016B" w14:textId="429AA6EC"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The cost of palivizumab, assuming 5 doses of 100mg </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{"citationID":"ekjuPDcs","properties":{"formattedCitation":"[14]","plainCitation":"[14]","noteIndex":0},"citationItems":[{"id":69029,"uris":["http://zotero.org/groups/337550/items/NSPEATJ5"],"itemData":{"id":69029,"type":"post-weblog","title":"Ficha técnica de palivizumab (Synagis®)","URL":"https://cima.aemps.es/cima/dochtml/ft/199117004/FT_199117004.html","author":[{"family":"Agencia Española de Medicamentos y Productos Sanitarios (AEMPS)","given":""}],"issued":{"date-parts":[["2022"]]}}}],"schema":"https://github.com/citation-style-language/schema/raw/master/csl-citation.json"}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[14]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at the reported </w:t>
      </w:r>
      <w:r w:rsidR="00B658CF">
        <w:rPr>
          <w:rFonts w:ascii="Times New Roman" w:hAnsi="Times New Roman" w:cs="Times New Roman"/>
          <w:color w:val="000000"/>
          <w:sz w:val="24"/>
          <w:szCs w:val="24"/>
          <w:lang w:val="en-US"/>
        </w:rPr>
        <w:t>Sales Price</w:t>
      </w:r>
      <w:r w:rsidRPr="00B21236">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{"citationID":"q558vHkr","properties":{"formattedCitation":"[22]","plainCitation":"[22]","noteIndex":0},"citationItems":[{"id":68849,"uris":["http://zotero.org/groups/337550/items/DR4QQIVU"],"itemData":{"id":68849,"type":"post-weblog","title":"Base de datos de medicamentos - PVL","URL":"https://botplusweb.portalfarma.com/","author":[{"family":"BotPlus","given":""}],"issued":{"date-parts":[["2022"]]}}}],"schema":"https://github.com/citation-style-language/schema/raw/master/csl-citation.json"}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[22]</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is €4,248.20 plus an administration cost of €32.65 (5 administrations</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{"citationID":"bThyktFQ","properties":{"formattedCitation":"[19,20]","plainCitation":"[19,20]","noteIndex":0},"citationItems":[{"id":66705,"uris":["http://zotero.org/groups/337550/items/MJ9JHQNG"],"itemData":{"id":66705,"type":"article-journal","abstract":"OBJECTIVES: To assess the cost effectiveness of palivizumab for prevention of severe respiratory syncytial virus (RSV) disease in high-risk infants in Spain, incorporating country-specific observational hospitalisation data.\nMETHODS: An existing decision tree model, designed using data from a large international clinical trial of palivizumab versus no prophylaxis, was updated to include Spanish observational hospitalisation data. The analysis was performed for preterm children born at or before 32 weeks gestational age, who are at high risk of developing severe RSV disease requiring hospitalisation. Data sources included published literature, official price/tariff lists and national population statistics. The primary perspective of the study was that of the Spanish National Health Service in 2006.\nRESULTS: The base-case analysis included the direct medical costs associated with palivizumab prophylaxis and hospital care for RSV infections. Use of palivizumab produces an undiscounted incremental cost-effectiveness ratio (ICER) of euro6,142 per quality-adjusted life-year (QALY), and a discounted ICER of euro12,814/QALY.\nCONCLUSION: Palivizumab provides a cost-effective method of prophylaxis against severe RSV disease requiring hospitalisation among preterm infants in Spain.","container-title":"The European journal of health economics: HEPAC: health economics in prevention and care","DOI":"10.1007/s10198-009-0206-x","ISSN":"1618-7601","issue":"1","journalAbbreviation":"Eur J Health Econ","language":"eng","note":"PMID: 19967425\nPMCID: PMC2816247","page":"105-115","source":"PubMed","title":"Cost effectiveness of palivizumab in Spain: an analysis using observational data","title-short":"Cost effectiveness of palivizumab in Spain","volume":"11","author":[{"family":"Nuijten","given":"Mark J."},{"family":"Wittenberg","given":"Wolfgang"}],"issued":{"date-parts":[["2010"]]}}},{"id":69265,"uris":["http://zotero.org/groups/337550/items/9TLNSWJE"],"itemData":{"id":69265,"type":"post-weblog","title":"Actualización de rentas con el IPC general (sistema IPC base 2021) para periodos anuales completos","URL":"https://www.ine.es/calcula/","author":[{"family":"INE","given":""}],"issued":{"date-parts":[["2022"]]}}}],"schema":"https://github.com/citation-style-language/schema/raw/master/csl-citation.json"}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E36543">
        <w:rPr>
          <w:rFonts w:ascii="Times New Roman" w:hAnsi="Times New Roman" w:cs="Times New Roman"/>
          <w:sz w:val="24"/>
          <w:lang w:val="en-US"/>
        </w:rPr>
        <w:t>[19,20]</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Palivizumab is indicated for premature children and/or children under 2 years of age with cardiopulmonary diseases requiring hospitalization, which is estimated at 4.7% of the population (n=16,042), however, the drug is currently administered to only 1.42% of the population (n=4,847). Considering these population ranges (n=4,847 to 16,042) and the cost of acquisition and administration of palivizumab (4,280.85 euros), the cost of the palivizumab prevention strategy ranges from 20.7 to 68.7 million euros per year.</w:t>
      </w:r>
    </w:p>
    <w:p w14:paraId="6EFA2245" w14:textId="709A09F2" w:rsidR="00A442E9" w:rsidRPr="00B21236" w:rsidRDefault="00680F08" w:rsidP="00680F08">
      <w:pPr>
        <w:pStyle w:val="Ttulo2"/>
        <w:spacing w:before="240" w:after="0" w:line="360" w:lineRule="auto"/>
        <w:rPr>
          <w:rFonts w:cs="Times New Roman"/>
          <w:szCs w:val="24"/>
          <w:lang w:val="en-US"/>
        </w:rPr>
      </w:pPr>
      <w:bookmarkStart w:id="8" w:name="_Toc135731179"/>
      <w:r>
        <w:rPr>
          <w:rFonts w:cs="Times New Roman"/>
          <w:szCs w:val="24"/>
          <w:lang w:val="en-US"/>
        </w:rPr>
        <w:t xml:space="preserve">Criterion 21. </w:t>
      </w:r>
      <w:r w:rsidR="006047C3" w:rsidRPr="00B21236">
        <w:rPr>
          <w:rFonts w:cs="Times New Roman"/>
          <w:szCs w:val="24"/>
          <w:lang w:val="en-US"/>
        </w:rPr>
        <w:t xml:space="preserve">Cost of the </w:t>
      </w:r>
      <w:r w:rsidR="00875B4E" w:rsidRPr="00B21236">
        <w:rPr>
          <w:rFonts w:cs="Times New Roman"/>
          <w:szCs w:val="24"/>
          <w:lang w:val="en-US"/>
        </w:rPr>
        <w:t xml:space="preserve">disease </w:t>
      </w:r>
      <w:r w:rsidR="00D04000" w:rsidRPr="00B21236">
        <w:rPr>
          <w:rFonts w:cs="Times New Roman"/>
          <w:szCs w:val="24"/>
          <w:lang w:val="en-US"/>
        </w:rPr>
        <w:t xml:space="preserve">on the </w:t>
      </w:r>
      <w:r w:rsidR="00CB55EA" w:rsidRPr="00B21236">
        <w:rPr>
          <w:rFonts w:cs="Times New Roman"/>
          <w:szCs w:val="24"/>
          <w:lang w:val="en-US"/>
        </w:rPr>
        <w:t xml:space="preserve">health </w:t>
      </w:r>
      <w:r w:rsidR="00D04000" w:rsidRPr="00B21236">
        <w:rPr>
          <w:rFonts w:cs="Times New Roman"/>
          <w:szCs w:val="24"/>
          <w:lang w:val="en-US"/>
        </w:rPr>
        <w:t xml:space="preserve">system </w:t>
      </w:r>
      <w:r w:rsidR="00CB55EA" w:rsidRPr="00B21236">
        <w:rPr>
          <w:rFonts w:cs="Times New Roman"/>
          <w:szCs w:val="24"/>
          <w:lang w:val="en-US"/>
        </w:rPr>
        <w:t>(excludes acquisition cost)</w:t>
      </w:r>
      <w:bookmarkEnd w:id="8"/>
    </w:p>
    <w:p w14:paraId="0D01B312" w14:textId="31D3CFB2"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471547" w:rsidRPr="00B21236">
        <w:rPr>
          <w:rFonts w:ascii="Times New Roman" w:hAnsi="Times New Roman" w:cs="Times New Roman"/>
          <w:sz w:val="24"/>
          <w:szCs w:val="24"/>
          <w:lang w:val="en-US"/>
        </w:rPr>
        <w:t xml:space="preserve">Costs </w:t>
      </w:r>
      <w:r w:rsidR="00702905" w:rsidRPr="00B21236">
        <w:rPr>
          <w:rFonts w:ascii="Times New Roman" w:hAnsi="Times New Roman" w:cs="Times New Roman"/>
          <w:sz w:val="24"/>
          <w:szCs w:val="24"/>
          <w:lang w:val="en-US"/>
        </w:rPr>
        <w:t xml:space="preserve">avoided by the use of the preventive measure, </w:t>
      </w:r>
      <w:r w:rsidR="00E80B59" w:rsidRPr="00B21236">
        <w:rPr>
          <w:rFonts w:ascii="Times New Roman" w:hAnsi="Times New Roman" w:cs="Times New Roman"/>
          <w:sz w:val="24"/>
          <w:szCs w:val="24"/>
          <w:lang w:val="en-US"/>
        </w:rPr>
        <w:t xml:space="preserve">in relation to the use of </w:t>
      </w:r>
      <w:r w:rsidR="00471547" w:rsidRPr="00B21236">
        <w:rPr>
          <w:rFonts w:ascii="Times New Roman" w:hAnsi="Times New Roman" w:cs="Times New Roman"/>
          <w:sz w:val="24"/>
          <w:szCs w:val="24"/>
          <w:lang w:val="en-US"/>
        </w:rPr>
        <w:t xml:space="preserve">health resources (primary care, specialized care, emergencies and hospitalizations) of </w:t>
      </w:r>
      <w:r w:rsidR="005072ED">
        <w:rPr>
          <w:rFonts w:ascii="Times New Roman" w:hAnsi="Times New Roman" w:cs="Times New Roman"/>
          <w:sz w:val="24"/>
          <w:szCs w:val="24"/>
          <w:lang w:val="en-US"/>
        </w:rPr>
        <w:t>people</w:t>
      </w:r>
      <w:r w:rsidR="00471547" w:rsidRPr="00B21236">
        <w:rPr>
          <w:rFonts w:ascii="Times New Roman" w:hAnsi="Times New Roman" w:cs="Times New Roman"/>
          <w:sz w:val="24"/>
          <w:szCs w:val="24"/>
          <w:lang w:val="en-US"/>
        </w:rPr>
        <w:t xml:space="preserve"> infected with RSV</w:t>
      </w:r>
      <w:r w:rsidR="00044DBF" w:rsidRPr="00B21236">
        <w:rPr>
          <w:rFonts w:ascii="Times New Roman" w:hAnsi="Times New Roman" w:cs="Times New Roman"/>
          <w:sz w:val="24"/>
          <w:szCs w:val="24"/>
          <w:lang w:val="en-US"/>
        </w:rPr>
        <w:t>, excluding the cost of acquiring the measure</w:t>
      </w:r>
      <w:r w:rsidRPr="00B21236">
        <w:rPr>
          <w:rFonts w:ascii="Times New Roman" w:hAnsi="Times New Roman" w:cs="Times New Roman"/>
          <w:sz w:val="24"/>
          <w:szCs w:val="24"/>
          <w:lang w:val="en-US"/>
        </w:rPr>
        <w:t>.</w:t>
      </w:r>
    </w:p>
    <w:p w14:paraId="153F72B6"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3E207A4C"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lastRenderedPageBreak/>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7838DB01" w14:textId="77777777"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For the comparison between </w:t>
      </w:r>
      <w:r w:rsidRPr="00B21236">
        <w:rPr>
          <w:rFonts w:ascii="Times New Roman" w:hAnsi="Times New Roman" w:cs="Times New Roman"/>
          <w:b/>
          <w:bCs/>
          <w:color w:val="000000"/>
          <w:sz w:val="24"/>
          <w:szCs w:val="24"/>
          <w:lang w:val="en-US"/>
        </w:rPr>
        <w:t>nirsevimab and palivizumab</w:t>
      </w:r>
      <w:r w:rsidRPr="00B21236">
        <w:rPr>
          <w:rFonts w:ascii="Times New Roman" w:hAnsi="Times New Roman" w:cs="Times New Roman"/>
          <w:color w:val="000000"/>
          <w:sz w:val="24"/>
          <w:szCs w:val="24"/>
          <w:lang w:val="en-US"/>
        </w:rPr>
        <w:t>, no specific evidence is available for this criterion. Therefore, it should be scored by trying to assume to what extent the relative improvement in health produced by nirsevimab would translate into a lower consumption of health care resources compared to palivizumab, in terms of visits to primary care, specialized care, emergencies, and hospitalizations.</w:t>
      </w:r>
    </w:p>
    <w:p w14:paraId="3836AE99" w14:textId="690DD163" w:rsidR="00A442E9" w:rsidRPr="00B21236" w:rsidRDefault="006047C3">
      <w:pPr>
        <w:spacing w:after="120" w:line="360" w:lineRule="auto"/>
        <w:jc w:val="both"/>
        <w:rPr>
          <w:rFonts w:ascii="Times New Roman" w:hAnsi="Times New Roman" w:cs="Times New Roman"/>
          <w:sz w:val="24"/>
          <w:szCs w:val="24"/>
          <w:lang w:val="en-US"/>
        </w:rPr>
      </w:pPr>
      <w:r w:rsidRPr="00632943">
        <w:rPr>
          <w:rFonts w:ascii="Times New Roman" w:hAnsi="Times New Roman" w:cs="Times New Roman"/>
          <w:color w:val="000000"/>
          <w:sz w:val="24"/>
          <w:szCs w:val="24"/>
          <w:lang w:val="en-US"/>
        </w:rPr>
        <w:t>What is known is that the annual direct healthcare cost of all children ≤12 months requiring medical care for RSV in Spain is between 31.8 and 49.1 million € (M€) depending on the definition used to determine RSV cases</w:t>
      </w:r>
      <w:r w:rsidRPr="00632943">
        <w:rPr>
          <w:rStyle w:val="Refdenotaalpie"/>
          <w:rFonts w:ascii="Times New Roman" w:hAnsi="Times New Roman" w:cs="Times New Roman"/>
          <w:sz w:val="24"/>
          <w:szCs w:val="24"/>
          <w:lang w:val="en-US"/>
        </w:rPr>
        <w:footnoteReference w:id="3"/>
      </w:r>
      <w:r w:rsidRPr="00632943">
        <w:rPr>
          <w:rFonts w:ascii="Times New Roman" w:hAnsi="Times New Roman" w:cs="Times New Roman"/>
          <w:color w:val="000000"/>
          <w:sz w:val="24"/>
          <w:szCs w:val="24"/>
          <w:lang w:val="en-US"/>
        </w:rPr>
        <w:t xml:space="preserve"> . This cost represents 78% and 83% of the total direct health care cost for children &lt;5 years, respectively, and is mainly due to the higher cost of hospitalization (22.5 M€ </w:t>
      </w:r>
      <w:r w:rsidRPr="00632943">
        <w:rPr>
          <w:rFonts w:ascii="Times New Roman" w:hAnsi="Times New Roman" w:cs="Times New Roman"/>
          <w:i/>
          <w:iCs/>
          <w:color w:val="000000"/>
          <w:sz w:val="24"/>
          <w:szCs w:val="24"/>
          <w:lang w:val="en-US"/>
        </w:rPr>
        <w:t xml:space="preserve">vs. </w:t>
      </w:r>
      <w:r w:rsidRPr="00632943">
        <w:rPr>
          <w:rFonts w:ascii="Times New Roman" w:hAnsi="Times New Roman" w:cs="Times New Roman"/>
          <w:color w:val="000000"/>
          <w:sz w:val="24"/>
          <w:szCs w:val="24"/>
          <w:lang w:val="en-US"/>
        </w:rPr>
        <w:t>33.9 M€).</w:t>
      </w:r>
      <w:r w:rsidRPr="00632943">
        <w:rPr>
          <w:rFonts w:ascii="Times New Roman" w:hAnsi="Times New Roman" w:cs="Times New Roman"/>
          <w:color w:val="000000"/>
          <w:sz w:val="24"/>
          <w:szCs w:val="24"/>
          <w:lang w:val="en-US"/>
        </w:rPr>
        <w:fldChar w:fldCharType="begin"/>
      </w:r>
      <w:r w:rsidR="00ED08E2">
        <w:rPr>
          <w:rFonts w:ascii="Times New Roman" w:hAnsi="Times New Roman" w:cs="Times New Roman"/>
          <w:color w:val="000000"/>
          <w:sz w:val="24"/>
          <w:szCs w:val="24"/>
          <w:lang w:val="en-US"/>
        </w:rPr>
        <w:instrText xml:space="preserve"> ADDIN ZOTERO_ITEM CSL_CITATION {"citationID":"U6gHqOBQ","properties":{"formattedCitation":"[23,24]","plainCitation":"[23,24]","noteIndex":0},"citationItems":[{"id":74000,"uris":["http://zotero.org/groups/337550/items/XA6355IM"],"itemData":{"id":74000,"type":"article-journal","abstract":"Respiratory syncytial virus (RSV) infection is a major cause of morbidity in children. However, its disease burden remains poorly understood, particularly outside of the hospital setting. Our study aimed to estimate the burden of medically attended acute lower respiratory infection (ALRI) cases potentially related to RSV in Spanish children. Longitudinal data from September 2017 to June 2018 of 51,292 children aged &lt; 5 years old from the National Healthcare System (NHS) of two Spanish regions were used. Three case definitions were considered: (a) RSV-specific; (b) RSV-specific and unspecified acute bronchiolitis (RSV-specific and Bronchiolitis), and; (c) RSV-specific and unspecified ALRI (RSV-specific and ALRI). A total of 3460 medically attended ALRI cases potentially due to RSV were identified, of which 257 (7.4%), 164 (4.7%), and 3039 (87.8%) coded with RSV-specific, unspecific bronchiolitis, and unspecific ALRI codes, respectively. Medically attended RSV-specific and ALRI cases per 1000 children was 134.4 in the first year of life, 119.4 in the second, and 35.3 between 2 and 5 years old. Most cases were observed in otherwise healthy children (93.1%). Mean direct healthcare cost per medically attended RSV-specific and ALRI case was €1753 in the first year of life, €896 in the second, and €683 between 2 and 5 years old. Hospitalization was the main driver of these costs, accounting for 55.6%, 38.0% and 33.4%, in each respective age group. In RSV-specific cases, mean direct healthcare cost per medically attended case was higher, mostly due to hospitalization: €3362 in the first year of life (72.9% from hospitalizations), €3252 in the second (72.1%), and €3514 between 2 and 5 years old (74.2%). These findings suggest that hospitalization data alone will underestimate the RSV infections requiring medical care, as will relying only on RSV-specific codes. RSV testing and codification must be improved and preventive solutions adopted, to protect all infants, particularly during the first year of life.","container-title":"BMC Infectious Diseases","DOI":"10.1186/s12879-022-07745-0","ISSN":"1471-2334","issue":"1","journalAbbreviation":"BMC Infectious Diseases","page":"759","source":"BioMed Central","title":"Clinical and economic burden of respiratory syncytial virus in Spanish children: the BARI study","title-short":"Clinical and economic burden of respiratory syncytial virus in Spanish children","volume":"22","author":[{"family":"Martinón-Torres","given":"F."},{"family":"Carmo","given":"M."},{"family":"Platero","given":"L."},{"family":"Drago","given":"G."},{"family":"López-Belmonte","given":"J. L."},{"family":"Bangert","given":"M."},{"family":"Díez-Domingo","given":"J."},{"family":"Garcés-Sánchez","given":"M."}],"issued":{"date-parts":[["2022"]]}}},{"id":"GLQTyvtO/4mwxb13n","uris":["http://zotero.org/groups/2141613/items/VQGH4IQL"],"itemData":{"id":77140,"type":"webpage","title":"Datos del padrón continuo","author":[{"literal":"Instituto Nacional de Estadística"}],"issued":{"date-parts":[["2021"]]}},"label":"page"}],"schema":"https://github.com/citation-style-language/schema/raw/master/csl-citation.json"} </w:instrText>
      </w:r>
      <w:r w:rsidRPr="00632943">
        <w:rPr>
          <w:rFonts w:ascii="Times New Roman" w:hAnsi="Times New Roman" w:cs="Times New Roman"/>
          <w:color w:val="000000"/>
          <w:sz w:val="24"/>
          <w:szCs w:val="24"/>
          <w:lang w:val="en-US"/>
        </w:rPr>
        <w:fldChar w:fldCharType="separate"/>
      </w:r>
      <w:r w:rsidR="00ED08E2" w:rsidRPr="00ED08E2">
        <w:rPr>
          <w:rFonts w:ascii="Times New Roman" w:hAnsi="Times New Roman" w:cs="Times New Roman"/>
          <w:sz w:val="24"/>
        </w:rPr>
        <w:t>[23,24]</w:t>
      </w:r>
      <w:r w:rsidRPr="00632943">
        <w:rPr>
          <w:rFonts w:ascii="Times New Roman" w:hAnsi="Times New Roman" w:cs="Times New Roman"/>
          <w:color w:val="000000"/>
          <w:sz w:val="24"/>
          <w:szCs w:val="24"/>
          <w:lang w:val="en-US"/>
        </w:rPr>
        <w:fldChar w:fldCharType="end"/>
      </w:r>
      <w:r w:rsidRPr="00632943">
        <w:rPr>
          <w:rFonts w:ascii="Times New Roman" w:hAnsi="Times New Roman" w:cs="Times New Roman"/>
          <w:color w:val="000000"/>
          <w:sz w:val="24"/>
          <w:szCs w:val="24"/>
          <w:lang w:val="en-US"/>
        </w:rPr>
        <w:t>.</w:t>
      </w:r>
    </w:p>
    <w:p w14:paraId="197570A2" w14:textId="3DC1D2F3" w:rsidR="00A442E9" w:rsidRPr="00B21236" w:rsidRDefault="00801E29" w:rsidP="00801E29">
      <w:pPr>
        <w:pStyle w:val="Ttulo2"/>
        <w:spacing w:before="240" w:after="0" w:line="360" w:lineRule="auto"/>
        <w:rPr>
          <w:rFonts w:cs="Times New Roman"/>
          <w:szCs w:val="24"/>
          <w:lang w:val="en-US"/>
        </w:rPr>
      </w:pPr>
      <w:bookmarkStart w:id="9" w:name="_Toc135731180"/>
      <w:r>
        <w:rPr>
          <w:rFonts w:cs="Times New Roman"/>
          <w:szCs w:val="24"/>
          <w:lang w:val="en-US"/>
        </w:rPr>
        <w:t xml:space="preserve">Criterion 22. </w:t>
      </w:r>
      <w:r w:rsidR="006047C3" w:rsidRPr="00B21236">
        <w:rPr>
          <w:rFonts w:cs="Times New Roman"/>
          <w:szCs w:val="24"/>
          <w:lang w:val="en-US"/>
        </w:rPr>
        <w:t>Productivity cost: absenteeism</w:t>
      </w:r>
      <w:bookmarkEnd w:id="9"/>
      <w:r w:rsidR="006047C3" w:rsidRPr="00B21236">
        <w:rPr>
          <w:rFonts w:cs="Times New Roman"/>
          <w:szCs w:val="24"/>
          <w:lang w:val="en-US"/>
        </w:rPr>
        <w:t xml:space="preserve"> </w:t>
      </w:r>
    </w:p>
    <w:p w14:paraId="496EC05B"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[Definition of the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8F41DF" w:rsidRPr="00B21236">
        <w:rPr>
          <w:rFonts w:ascii="Times New Roman" w:hAnsi="Times New Roman" w:cs="Times New Roman"/>
          <w:sz w:val="24"/>
          <w:szCs w:val="24"/>
          <w:lang w:val="en-US"/>
        </w:rPr>
        <w:t xml:space="preserve">Indirect </w:t>
      </w:r>
      <w:r w:rsidR="00150E05" w:rsidRPr="00B21236">
        <w:rPr>
          <w:rFonts w:ascii="Times New Roman" w:hAnsi="Times New Roman" w:cs="Times New Roman"/>
          <w:sz w:val="24"/>
          <w:szCs w:val="24"/>
          <w:lang w:val="en-US"/>
        </w:rPr>
        <w:t xml:space="preserve">costs </w:t>
      </w:r>
      <w:r w:rsidR="00404CCB" w:rsidRPr="00B21236">
        <w:rPr>
          <w:rFonts w:ascii="Times New Roman" w:hAnsi="Times New Roman" w:cs="Times New Roman"/>
          <w:sz w:val="24"/>
          <w:szCs w:val="24"/>
          <w:lang w:val="en-US"/>
        </w:rPr>
        <w:t xml:space="preserve">avoided </w:t>
      </w:r>
      <w:r w:rsidR="008F41DF" w:rsidRPr="00B21236">
        <w:rPr>
          <w:rFonts w:ascii="Times New Roman" w:hAnsi="Times New Roman" w:cs="Times New Roman"/>
          <w:sz w:val="24"/>
          <w:szCs w:val="24"/>
          <w:lang w:val="en-US"/>
        </w:rPr>
        <w:t xml:space="preserve">to the system </w:t>
      </w:r>
      <w:r w:rsidR="00150E05" w:rsidRPr="00B21236">
        <w:rPr>
          <w:rFonts w:ascii="Times New Roman" w:hAnsi="Times New Roman" w:cs="Times New Roman"/>
          <w:sz w:val="24"/>
          <w:szCs w:val="24"/>
          <w:lang w:val="en-US"/>
        </w:rPr>
        <w:t xml:space="preserve">due to </w:t>
      </w:r>
      <w:r w:rsidR="00C73F0C" w:rsidRPr="00B21236">
        <w:rPr>
          <w:rFonts w:ascii="Times New Roman" w:hAnsi="Times New Roman" w:cs="Times New Roman"/>
          <w:sz w:val="24"/>
          <w:szCs w:val="24"/>
          <w:lang w:val="en-US"/>
        </w:rPr>
        <w:t xml:space="preserve">caregiver </w:t>
      </w:r>
      <w:r w:rsidR="00B874B9" w:rsidRPr="00B21236">
        <w:rPr>
          <w:rFonts w:ascii="Times New Roman" w:hAnsi="Times New Roman" w:cs="Times New Roman"/>
          <w:sz w:val="24"/>
          <w:szCs w:val="24"/>
          <w:lang w:val="en-US"/>
        </w:rPr>
        <w:t xml:space="preserve">absenteeism </w:t>
      </w:r>
      <w:r w:rsidR="00C73F0C" w:rsidRPr="00B21236">
        <w:rPr>
          <w:rFonts w:ascii="Times New Roman" w:hAnsi="Times New Roman" w:cs="Times New Roman"/>
          <w:sz w:val="24"/>
          <w:szCs w:val="24"/>
          <w:lang w:val="en-US"/>
        </w:rPr>
        <w:t xml:space="preserve">as a result of </w:t>
      </w:r>
      <w:r w:rsidR="00E80B59" w:rsidRPr="00B21236">
        <w:rPr>
          <w:rFonts w:ascii="Times New Roman" w:hAnsi="Times New Roman" w:cs="Times New Roman"/>
          <w:sz w:val="24"/>
          <w:szCs w:val="24"/>
          <w:lang w:val="en-US"/>
        </w:rPr>
        <w:t>using the preventive measure</w:t>
      </w:r>
      <w:r w:rsidRPr="00B21236">
        <w:rPr>
          <w:rFonts w:ascii="Times New Roman" w:hAnsi="Times New Roman" w:cs="Times New Roman"/>
          <w:sz w:val="24"/>
          <w:szCs w:val="24"/>
          <w:lang w:val="en-US"/>
        </w:rPr>
        <w:t>.</w:t>
      </w:r>
    </w:p>
    <w:p w14:paraId="38D6442B"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0F01E8AF"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p>
    <w:p w14:paraId="57484ADA" w14:textId="4C566A9F"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No specific evidence is available for this criterion. Therefore, it must be assumed to what extent the relative improvement in health produced by nirsevimab versus palivizumab could be reflected in a lower level of work absenteeism. </w:t>
      </w:r>
    </w:p>
    <w:p w14:paraId="0B6C7FC4" w14:textId="2F3E2A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What is documented is that, according to a US study, the overall work productivity loss, absenteeism and presenteeism of mothers of infants ≤12 months preterm</w:t>
      </w:r>
      <w:r w:rsidRPr="00B21236">
        <w:rPr>
          <w:rStyle w:val="Refdenotaalpie"/>
          <w:rFonts w:ascii="Times New Roman" w:hAnsi="Times New Roman" w:cs="Times New Roman"/>
          <w:sz w:val="24"/>
          <w:szCs w:val="24"/>
          <w:lang w:val="en-US"/>
        </w:rPr>
        <w:footnoteReference w:id="4"/>
      </w:r>
      <w:r w:rsidRPr="00B21236">
        <w:rPr>
          <w:rFonts w:ascii="Times New Roman" w:hAnsi="Times New Roman" w:cs="Times New Roman"/>
          <w:color w:val="000000"/>
          <w:sz w:val="24"/>
          <w:szCs w:val="24"/>
          <w:lang w:val="en-US"/>
        </w:rPr>
        <w:t xml:space="preserve"> hospitalized for RSV infection was 91% (total productivity), 73% (absenteeism) and 64% (presenteeism) at hospital discharge and 31% (total productivity), 16% (absenteeism) and 23% (presenteeism) at one month of hospital discharge</w:t>
      </w:r>
      <w:r w:rsidRPr="00B21236">
        <w:rPr>
          <w:rFonts w:ascii="Times New Roman" w:hAnsi="Times New Roman" w:cs="Times New Roman"/>
          <w:color w:val="000000"/>
          <w:sz w:val="24"/>
          <w:szCs w:val="24"/>
          <w:lang w:val="en-US"/>
        </w:rPr>
        <w:fldChar w:fldCharType="begin"/>
      </w:r>
      <w:r w:rsidR="00ED08E2">
        <w:rPr>
          <w:rFonts w:ascii="Times New Roman" w:hAnsi="Times New Roman" w:cs="Times New Roman"/>
          <w:color w:val="000000"/>
          <w:sz w:val="24"/>
          <w:szCs w:val="24"/>
          <w:lang w:val="en-US"/>
        </w:rPr>
        <w:instrText xml:space="preserve"> ADDIN ZOTERO_ITEM CSL_CITATION {"citationID":"CbXmmb9O","properties":{"formattedCitation":"[25]","plainCitation":"[25]","noteIndex":0},"citationItems":[{"id":"GLQTyvtO/ISWR93YQ","uris":["http://zotero.org/groups/2141613/items/URQ3X2UI"],"itemData":{"id":72000,"type":"article-journal","abstract":"This study assessed the impact of respiratory syncytial virus–confirmed hospitalizations (RSVH) on caregivers of high-risk preterm infants. Caregivers for infants born at 29 to 35 weeks’ gestational age and hospitalized for confirmed RSV disease responded to measures of self-rated and perceived infant stress (1-7; 7 = very stressful), perceived infant health (0-100; 100 = best imaginable health), and productivity impairment. Data were collected at hospital discharge through 1 month post-discharge. Caregiver responses indicated high stress levels, poor health, and productivity loss were reported at discharge; however, steady improvements were seen through 1 month postdischarge: caregiver-rated stress (from 6 to 2), infant stress (5 to 1), caregiver-perceived infant health (64 to 84), and productivity loss (mothers: 91% to 31%; fathers: 81% to 18%). Qualitative results indicated emotional impact, family routine disruption, financial concerns, and medical concerns persisted at 1 month post-discharge. This study found the caregiver burden of RSVH persists at least 1 month beyond discharge.","container-title":"Clinical Pediatrics","DOI":"10.1177/0009922819843639","ISSN":"0009-9228, 1938-2707","issue":"8","journalAbbreviation":"Clin Pediatr (Phila)","language":"en","page":"837-850","source":"DOI.org (Crossref)","title":"Impact of Respiratory Syncytial Virus–Confirmed Hospitalizations on Caregivers of US Preterm Infants","volume":"58","author":[{"family":"Pokrzywinski","given":"Robin M."},{"family":"Swett","given":"Laura L."},{"family":"Pannaraj","given":"Pia S."},{"family":"Yi","given":"Jumi"},{"family":"Pavilack","given":"Melissa S."},{"family":"Kumar","given":"Veena R."},{"family":"McLaurin","given":"Kimmie K."}],"issued":{"date-parts":[["2019"]]}},"label":"page"}],"schema":"https://github.com/citation-style-language/schema/raw/master/csl-citation.json"}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8E369C">
        <w:rPr>
          <w:rFonts w:ascii="Times New Roman" w:hAnsi="Times New Roman" w:cs="Times New Roman"/>
          <w:sz w:val="24"/>
          <w:lang w:val="en-US"/>
        </w:rPr>
        <w:t>[25]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In Spain, it has been estimated that indirect costs account for approximately 15.9% of total costs. In other countries, these costs would range from 5.9% to 31.9% of total costs.</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{"citationID":"pAVxbNTP","properties":{"formattedCitation":"[26]","plainCitation":"[26]","noteIndex":0},"citationItems":[{"id":66961,"uris":["http://zotero.org/groups/337550/items/U3RNKASU"],"itemData":{"id":66961,"type":"article-journal","abstract":"BACKGROUND: How pediatricians manage bronchiolitis and the derived total costs (direct and indirect) in the emergency department (ED) have not been fully characterized. The aim of the present study is to calculate those costs in a European country.\nMETHODS: A prospective and observational study, including 10 EDs of tertiary hospitals throughout Spain and during the bronchiolitis season 2010-2011, was performed. Every ED recruited children on random days of the week (3 days per week; always including one non-working day per every week). Recruitment aimed at a total sample size of 600 children. Direct (diagnostic procedures, time spent in the ED and medication) and indirect costs (work hours lost by parents, babysitting, travels, and meals) were collected. Comparisons between bronchiolitis caused by respiratory syncytial virus (RSV) and non-RSV bronchiolitis, as well as costs across severity categories were performed with the Kruskal-Wallis test. A multiple regression model was built to assess the influence of several of the studied factors on the total costs, including a RSV positive test and episode severity as independent variables; and gender, age, attending nursery school, preterm birth, low birth weight, smoker mother during pregnancy, and current smoker father as covariates.\nRESULTS: From the 664 recruited children, direct mean costs were €213.2 ± 91.8 and indirect ones were €35.9 ± 55.3; the total costs being €249.2 ± 122.9. Costs were significantly higher in children positive to RSV and rose with increased severity. Those associations were maintained in the multiple regression analysis.\nCONCLUSIONS: Although relatively low at the individual level (€249.2, mean total cost) the costs for just the ED expenses of bronchiolitis in Spain would add up to about €20 million per year.","container-title":"Pediatric Pulmonology","DOI":"10.1002/ppul.22906","ISSN":"1099-0496","issue":"10","journalAbbreviation":"Pediatr Pulmonol","language":"eng","note":"PMID: 24167120","page":"1011-1019","source":"PubMed","title":"Pediatricians' attitudes and costs of bronchiolitis in the emergency department: a prospective multicentre study","title-short":"Pediatricians' attitudes and costs of bronchiolitis in the emergency department","volume":"49","author":[{"family":"Garcia-Marcos","given":"Luis"},{"family":"Valverde-Molina","given":"José"},{"family":"Pavlovic-Nesic","given":"Svetlana"},{"family":"Claret-Teruel","given":"Gemma"},{"family":"Peñalba-Citores","given":"Ana C."},{"family":"Nehme-Álvarez","given":"Daniel"},{"family":"Korta-Murua","given":"Javier"},{"family":"Sánchez-Etxaniz","given":"Jesus"},{"family":"Alonso-Salas","given":"Maria T."},{"family":"Campos-Calleja","given":"Carmen"},{"family":"Fernández-Villar","given":"Andrés"},{"family":"Rodríguez-Suarez","given":"Julian"},{"literal":"BCOST group"}],"issued":{"date-parts":[["2014"]]}}}],"schema":"https://github.com/citation-style-language/schema/raw/master/csl-citation.json"}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E36543">
        <w:rPr>
          <w:rFonts w:ascii="Times New Roman" w:hAnsi="Times New Roman" w:cs="Times New Roman"/>
          <w:sz w:val="24"/>
          <w:lang w:val="en-US"/>
        </w:rPr>
        <w:t>[26]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r w:rsidR="0066545D" w:rsidRPr="00B21236">
        <w:rPr>
          <w:rFonts w:ascii="Times New Roman" w:hAnsi="Times New Roman" w:cs="Times New Roman"/>
          <w:sz w:val="24"/>
          <w:szCs w:val="24"/>
          <w:lang w:val="en-US"/>
        </w:rPr>
        <w:t xml:space="preserve">  </w:t>
      </w:r>
    </w:p>
    <w:p w14:paraId="097E97DD" w14:textId="305415B5" w:rsidR="00A442E9" w:rsidRPr="00B21236" w:rsidRDefault="001B720E" w:rsidP="001B720E">
      <w:pPr>
        <w:pStyle w:val="Ttulo2"/>
        <w:spacing w:before="240" w:after="0" w:line="360" w:lineRule="auto"/>
        <w:rPr>
          <w:rFonts w:cs="Times New Roman"/>
          <w:szCs w:val="24"/>
          <w:lang w:val="en-US"/>
        </w:rPr>
      </w:pPr>
      <w:bookmarkStart w:id="10" w:name="_Toc135731181"/>
      <w:r>
        <w:rPr>
          <w:rFonts w:cs="Times New Roman"/>
          <w:szCs w:val="24"/>
          <w:lang w:val="en-US"/>
        </w:rPr>
        <w:lastRenderedPageBreak/>
        <w:t xml:space="preserve">Criterion 23. </w:t>
      </w:r>
      <w:r w:rsidR="006047C3" w:rsidRPr="00B21236">
        <w:rPr>
          <w:rFonts w:cs="Times New Roman"/>
          <w:szCs w:val="24"/>
          <w:lang w:val="en-US"/>
        </w:rPr>
        <w:t xml:space="preserve">Cost of the disease on the patient </w:t>
      </w:r>
      <w:r w:rsidR="00EB3CEB" w:rsidRPr="00B21236">
        <w:rPr>
          <w:rFonts w:cs="Times New Roman"/>
          <w:szCs w:val="24"/>
          <w:lang w:val="en-US"/>
        </w:rPr>
        <w:t>(out-of-pocket expenses)</w:t>
      </w:r>
      <w:bookmarkEnd w:id="10"/>
    </w:p>
    <w:p w14:paraId="5894A9B0" w14:textId="1726CB1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CA7740" w:rsidRPr="00B21236">
        <w:rPr>
          <w:rFonts w:ascii="Times New Roman" w:hAnsi="Times New Roman" w:cs="Times New Roman"/>
          <w:sz w:val="24"/>
          <w:szCs w:val="24"/>
          <w:lang w:val="en-US"/>
        </w:rPr>
        <w:t xml:space="preserve">Out-of-pocket costs </w:t>
      </w:r>
      <w:r w:rsidR="008B34A5" w:rsidRPr="00B21236">
        <w:rPr>
          <w:rFonts w:ascii="Times New Roman" w:hAnsi="Times New Roman" w:cs="Times New Roman"/>
          <w:sz w:val="24"/>
          <w:szCs w:val="24"/>
          <w:lang w:val="en-US"/>
        </w:rPr>
        <w:t xml:space="preserve">avoided </w:t>
      </w:r>
      <w:r w:rsidR="00B909CE" w:rsidRPr="00B21236">
        <w:rPr>
          <w:rFonts w:ascii="Times New Roman" w:hAnsi="Times New Roman" w:cs="Times New Roman"/>
          <w:sz w:val="24"/>
          <w:szCs w:val="24"/>
          <w:lang w:val="en-US"/>
        </w:rPr>
        <w:t xml:space="preserve">(need for treatment or use of health resources) through </w:t>
      </w:r>
      <w:r w:rsidR="008B34A5" w:rsidRPr="00B21236">
        <w:rPr>
          <w:rFonts w:ascii="Times New Roman" w:hAnsi="Times New Roman" w:cs="Times New Roman"/>
          <w:sz w:val="24"/>
          <w:szCs w:val="24"/>
          <w:lang w:val="en-US"/>
        </w:rPr>
        <w:t xml:space="preserve">implementation of the preventive measure, </w:t>
      </w:r>
      <w:r w:rsidR="00CA7740" w:rsidRPr="00B21236">
        <w:rPr>
          <w:rFonts w:ascii="Times New Roman" w:hAnsi="Times New Roman" w:cs="Times New Roman"/>
          <w:sz w:val="24"/>
          <w:szCs w:val="24"/>
          <w:lang w:val="en-US"/>
        </w:rPr>
        <w:t xml:space="preserve">to RSV-infected </w:t>
      </w:r>
      <w:r w:rsidR="00CA6CCF">
        <w:rPr>
          <w:rFonts w:ascii="Times New Roman" w:hAnsi="Times New Roman" w:cs="Times New Roman"/>
          <w:sz w:val="24"/>
          <w:szCs w:val="24"/>
          <w:lang w:val="en-US"/>
        </w:rPr>
        <w:t>people</w:t>
      </w:r>
      <w:r w:rsidR="00CA7740" w:rsidRPr="00B21236">
        <w:rPr>
          <w:rFonts w:ascii="Times New Roman" w:hAnsi="Times New Roman" w:cs="Times New Roman"/>
          <w:sz w:val="24"/>
          <w:szCs w:val="24"/>
          <w:lang w:val="en-US"/>
        </w:rPr>
        <w:t xml:space="preserve"> or their caregivers</w:t>
      </w:r>
      <w:r w:rsidRPr="00B21236">
        <w:rPr>
          <w:rFonts w:ascii="Times New Roman" w:hAnsi="Times New Roman" w:cs="Times New Roman"/>
          <w:sz w:val="24"/>
          <w:szCs w:val="24"/>
          <w:lang w:val="en-US"/>
        </w:rPr>
        <w:t>.</w:t>
      </w:r>
    </w:p>
    <w:p w14:paraId="5A3EABD0"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398D1B19" w14:textId="3E490653"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No specific evidence is available for this criterion. Therefore, it must be assumed to what extent the relative improvement in health produced by nirsevimab would translate into lower out-of-pocket costs compared with palivizumab. </w:t>
      </w:r>
    </w:p>
    <w:p w14:paraId="755550C4" w14:textId="4118CDAD"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A North American study estimated average out-of-pocket expenses of $643 for hospitalized preterm infants and $214.42 for hospitalized term infants. These expenses consist of transportation, parking, food, day care, and other expenses.</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{"citationID":"lgMPE35N","properties":{"formattedCitation":"[27]","plainCitation":"[27]","noteIndex":0},"citationItems":[{"id":66930,"uris":["http://zotero.org/groups/337550/items/SPPNDSYL"],"itemData":{"id":66930,"type":"article-journal","abstract":"Objective: The objective of this study was to quantify time spent plus out-of-pocket costs associated with conﬁrmed respiratory syncytial virus (RSV) hospitalization of infants not prophylaxed against RSV.","container-title":"Value in Health","DOI":"10.1046/j.1524-4733.2003.00220.x","ISSN":"10983015","issue":"2","journalAbbreviation":"Value in Health","language":"en","page":"100-106","source":"DOI.org (Crossref)","title":"Time and Out-of-Pocket Costs Associated with Respiratory Syncytial Virus Hospitalization of Infants","volume":"6","author":[{"family":"Leader","given":"Shelah"},{"family":"Yang","given":"Harry"},{"family":"DeVincenzo","given":"John"},{"family":"Jacobson","given":"Phillip"},{"family":"Marcin","given":"James P."},{"family":"Murray","given":"Dennis L."}],"issued":{"date-parts":[["2003"]]}}}],"schema":"https://github.com/citation-style-language/schema/raw/master/csl-citation.json"}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E36543">
        <w:rPr>
          <w:rFonts w:ascii="Times New Roman" w:hAnsi="Times New Roman" w:cs="Times New Roman"/>
          <w:sz w:val="24"/>
          <w:lang w:val="en-US"/>
        </w:rPr>
        <w:t>[27]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0DB29109" w14:textId="4282387A" w:rsidR="00A442E9" w:rsidRPr="00B21236" w:rsidRDefault="00B346CB" w:rsidP="00B346CB">
      <w:pPr>
        <w:pStyle w:val="Ttulo2"/>
        <w:spacing w:before="240" w:after="0" w:line="360" w:lineRule="auto"/>
        <w:rPr>
          <w:rFonts w:cs="Times New Roman"/>
          <w:szCs w:val="24"/>
          <w:lang w:val="en-US"/>
        </w:rPr>
      </w:pPr>
      <w:bookmarkStart w:id="11" w:name="_Toc135731182"/>
      <w:r>
        <w:rPr>
          <w:rFonts w:cs="Times New Roman"/>
          <w:szCs w:val="24"/>
          <w:lang w:val="en-US"/>
        </w:rPr>
        <w:t xml:space="preserve">Criterion 24. </w:t>
      </w:r>
      <w:r w:rsidR="006047C3" w:rsidRPr="00B21236">
        <w:rPr>
          <w:rFonts w:cs="Times New Roman"/>
          <w:szCs w:val="24"/>
          <w:lang w:val="en-US"/>
        </w:rPr>
        <w:t xml:space="preserve">Impact on </w:t>
      </w:r>
      <w:r w:rsidR="00AF6269" w:rsidRPr="00B21236">
        <w:rPr>
          <w:rFonts w:cs="Times New Roman"/>
          <w:szCs w:val="24"/>
          <w:lang w:val="en-US"/>
        </w:rPr>
        <w:t>health inequity</w:t>
      </w:r>
      <w:bookmarkEnd w:id="11"/>
    </w:p>
    <w:p w14:paraId="1672B46E" w14:textId="10AD71FC"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A208CA" w:rsidRPr="00B21236">
        <w:rPr>
          <w:rFonts w:ascii="Times New Roman" w:hAnsi="Times New Roman" w:cs="Times New Roman"/>
          <w:sz w:val="24"/>
          <w:szCs w:val="24"/>
          <w:lang w:val="en-US"/>
        </w:rPr>
        <w:t xml:space="preserve">Extent to which the application of the preventive measure helps to reduce health inequities between people </w:t>
      </w:r>
      <w:r w:rsidR="00851A25" w:rsidRPr="00B21236">
        <w:rPr>
          <w:rFonts w:ascii="Times New Roman" w:hAnsi="Times New Roman" w:cs="Times New Roman"/>
          <w:sz w:val="24"/>
          <w:szCs w:val="24"/>
          <w:lang w:val="en-US"/>
        </w:rPr>
        <w:t xml:space="preserve">in terms of </w:t>
      </w:r>
      <w:r w:rsidR="00A208CA" w:rsidRPr="00B21236">
        <w:rPr>
          <w:rFonts w:ascii="Times New Roman" w:hAnsi="Times New Roman" w:cs="Times New Roman"/>
          <w:sz w:val="24"/>
          <w:szCs w:val="24"/>
          <w:lang w:val="en-US"/>
        </w:rPr>
        <w:t xml:space="preserve">unnecessary, </w:t>
      </w:r>
      <w:r w:rsidR="00930930" w:rsidRPr="00B21236">
        <w:rPr>
          <w:rFonts w:ascii="Times New Roman" w:hAnsi="Times New Roman" w:cs="Times New Roman"/>
          <w:sz w:val="24"/>
          <w:szCs w:val="24"/>
          <w:lang w:val="en-US"/>
        </w:rPr>
        <w:t>avoidable,</w:t>
      </w:r>
      <w:r w:rsidR="00A208CA" w:rsidRPr="00B21236">
        <w:rPr>
          <w:rFonts w:ascii="Times New Roman" w:hAnsi="Times New Roman" w:cs="Times New Roman"/>
          <w:sz w:val="24"/>
          <w:szCs w:val="24"/>
          <w:lang w:val="en-US"/>
        </w:rPr>
        <w:t xml:space="preserve"> and unfair differences in the level of access and health of the population</w:t>
      </w:r>
      <w:r w:rsidRPr="00B21236">
        <w:rPr>
          <w:rFonts w:ascii="Times New Roman" w:hAnsi="Times New Roman" w:cs="Times New Roman"/>
          <w:sz w:val="24"/>
          <w:szCs w:val="24"/>
          <w:lang w:val="en-US"/>
        </w:rPr>
        <w:t>.</w:t>
      </w:r>
    </w:p>
    <w:p w14:paraId="49808F3E"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09CAD5F0" w14:textId="55FC22F4"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The World Health Organization (WHO) defines equity in health as "the absence of unfair, avoidable or remediable differences between groups of people, whether those groups are defined socially, economically, demographically, geographically or by other dimensions of inequality (e.g., sex, gender, ethnicity, disability or sexual orientation). Health is a fundamental human right. Health equity is achieved when everyone is able to reach their full potential for health and well-being".</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{"citationID":"aCe5unR5","properties":{"formattedCitation":"[28]","plainCitation":"[28]","noteIndex":0},"citationItems":[{"id":69106,"uris":["http://zotero.org/groups/337550/items/Z49U8HCS"],"itemData":{"id":69106,"type":"post-weblog","abstract":"Health Equity","title":"Health Equity -- Global","URL":"https://www.who.int/health-topics/health-equity","author":[{"family":"OMS","given":""}],"accessed":{"date-parts":[["2022",5,20]]}}}],"schema":"https://github.com/citation-style-language/schema/raw/master/csl-citation.json"}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E36543">
        <w:rPr>
          <w:rFonts w:ascii="Times New Roman" w:hAnsi="Times New Roman" w:cs="Times New Roman"/>
          <w:sz w:val="24"/>
          <w:lang w:val="en-US"/>
        </w:rPr>
        <w:t>[28]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0A11BC36" w14:textId="04E1C54E" w:rsidR="009024A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At this time, the available evidence indicates that inequities exist regarding the use of </w:t>
      </w:r>
      <w:r w:rsidRPr="00B21236">
        <w:rPr>
          <w:rFonts w:ascii="Times New Roman" w:hAnsi="Times New Roman" w:cs="Times New Roman"/>
          <w:b/>
          <w:bCs/>
          <w:color w:val="000000"/>
          <w:sz w:val="24"/>
          <w:szCs w:val="24"/>
          <w:lang w:val="en-US"/>
        </w:rPr>
        <w:t>palivizumab</w:t>
      </w:r>
      <w:r w:rsidRPr="00B21236">
        <w:rPr>
          <w:rFonts w:ascii="Times New Roman" w:hAnsi="Times New Roman" w:cs="Times New Roman"/>
          <w:color w:val="000000"/>
          <w:sz w:val="24"/>
          <w:szCs w:val="24"/>
          <w:lang w:val="en-US"/>
        </w:rPr>
        <w:t>: the proportion of the population for whom the preventive measure is indicated is 4.7%, but the proportion of the population to whom such a preventive measure is administered is 1.4%</w:t>
      </w:r>
      <w:r w:rsidRPr="00B21236">
        <w:rPr>
          <w:rFonts w:ascii="Times New Roman" w:hAnsi="Times New Roman" w:cs="Times New Roman"/>
          <w:color w:val="000000"/>
          <w:sz w:val="24"/>
          <w:szCs w:val="24"/>
          <w:lang w:val="en-US"/>
        </w:rPr>
        <w:fldChar w:fldCharType="begin"/>
      </w:r>
      <w:r w:rsidR="00FF2E9A">
        <w:rPr>
          <w:rFonts w:ascii="Times New Roman" w:hAnsi="Times New Roman" w:cs="Times New Roman"/>
          <w:color w:val="000000"/>
          <w:sz w:val="24"/>
          <w:szCs w:val="24"/>
          <w:lang w:val="en-US"/>
        </w:rPr>
        <w:instrText xml:space="preserve"> ADDIN ZOTERO_ITEM CSL_CITATION {"citationID":"s8Ngc0Kv","properties":{"formattedCitation":"[4]","plainCitation":"[4]","noteIndex":0},"citationItems":[{"id":67002,"uris":["http://zotero.org/groups/337550/items/E5QKJ22I"],"itemData":{"id":67002,"type":"article-journal","language":"ca","page":"32","source":"Zotero","title":"Recomanacions d’ús de palivizumab per a la prevenció de les hospitalitzacions per infecció greu per virus sincític respiratori","author":[{"family":"Agència d'informació, Avaluació i Qualitat en Salut","given":""}],"issued":{"date-parts":[["2012"]]}}}],"schema":"https://github.com/citation-style-language/schema/raw/master/csl-citation.json"}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FF2E9A" w:rsidRPr="008E369C">
        <w:rPr>
          <w:rFonts w:ascii="Times New Roman" w:hAnsi="Times New Roman" w:cs="Times New Roman"/>
          <w:sz w:val="24"/>
          <w:lang w:val="en-US"/>
        </w:rPr>
        <w:t>[4]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The use of this measure is very restricted due to its budgetary impact and because it is not considered a cost-effective alternative in certain populations where the product is indicated.</w:t>
      </w:r>
      <w:r w:rsidRPr="00B21236">
        <w:rPr>
          <w:rFonts w:ascii="Times New Roman" w:hAnsi="Times New Roman" w:cs="Times New Roman"/>
          <w:color w:val="000000"/>
          <w:sz w:val="24"/>
          <w:szCs w:val="24"/>
          <w:lang w:val="en-US"/>
        </w:rPr>
        <w:fldChar w:fldCharType="begin"/>
      </w:r>
      <w:r w:rsidR="00C342C4">
        <w:rPr>
          <w:rFonts w:ascii="Times New Roman" w:hAnsi="Times New Roman" w:cs="Times New Roman"/>
          <w:color w:val="000000"/>
          <w:sz w:val="24"/>
          <w:szCs w:val="24"/>
          <w:lang w:val="en-US"/>
        </w:rPr>
        <w:instrText xml:space="preserve"> ADDIN ZOTERO_ITEM CSL_CITATION {"citationID":"0eNl44Bz","properties":{"formattedCitation":"[29]","plainCitation":"[29]","noteIndex":0},"citationItems":[{"id":66925,"uris":["http://zotero.org/groups/337550/items/JRJYT6K7"],"itemData":{"id":66925,"type":"article-journal","abstract":"CONTEXT: Palivizumab prophylaxis is used as passive immunization for respiratory syncytial virus (RSV). However, because of its high cost, the value of this intervention is unclear.\nOBJECTIVE: To systematically review the cost-effectiveness of palivizumab prophylaxis compared with no prophylaxis in infants &lt;24 months of age.\nDATA SOURCES: Medline, Embase, and Cochrane Library up to August 2018.\nSTUDY SELECTION: Two reviewers independently screened results to include economic evaluations conducted between 2000 and 2018 from Organization for Economic Cooperation and Development countries.\nDATA EXTRACTION: Two reviewers independently extracted outcomes. Quality appraisal was completed by using the Joanna Briggs Institute checklist. Costs were adjusted to 2017 US dollars.\nRESULTS: We identified 28 economic evaluations (20 cost-utility analyses and 8 cost-effectiveness analyses); most were from the United States (n = 6) and Canada (n = 5). Study quality was high; 23 studies met &gt;80% of the Joanna Briggs Institute criteria. Palivizumab prophylaxis ranged from a dominant strategy to having an incremental cost-effectiveness ratio of $2 526 203 per quality-adjusted life-year (QALY) depending on study perspective and targeted population. From the payer perspective, the incremental cost-effectiveness ratio for preterm infants (29-35 weeks' gestational age) was between $5188 and $791 265 per QALY, with 90% of estimates &lt;$50 000 per QALY. Influential parameters were RSV hospitalization reduction rates, palivizumab cost, and discount rate.\nLIMITATIONS: Model design heterogeneity, model parameters, and study settings were barriers to definitive conclusions on palivizumab's economic value.\nCONCLUSIONS: Palivizumab as RSV prophylaxis was considered cost-effective in prematurely born infants, infants with lung complications, and infants from remote communities.","container-title":"Pediatrics","DOI":"10.1542/peds.2018-4064","ISSN":"1098-4275","issue":"5","journalAbbreviation":"Pediatrics","language":"eng","note":"PMID: 31040196","page":"e20184064","source":"PubMed","title":"Cost-effectiveness of Palivizumab for Respiratory Syncytial Virus: A Systematic Review","title-short":"Cost-effectiveness of Palivizumab for Respiratory Syncytial Virus","volume":"143","author":[{"family":"Mac","given":"Stephen"},{"family":"Sumner","given":"Amanda"},{"family":"Duchesne-Belanger","given":"Samuel"},{"family":"Stirling","given":"Robert"},{"family":"Tunis","given":"Matthew"},{"family":"Sander","given":"Beate"}],"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C342C4" w:rsidRPr="00E36543">
        <w:rPr>
          <w:rFonts w:ascii="Times New Roman" w:hAnsi="Times New Roman" w:cs="Times New Roman"/>
          <w:sz w:val="24"/>
          <w:lang w:val="en-US"/>
        </w:rPr>
        <w:t>[29]</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However, due to the fact that </w:t>
      </w:r>
      <w:r w:rsidRPr="00B21236">
        <w:rPr>
          <w:rFonts w:ascii="Times New Roman" w:hAnsi="Times New Roman" w:cs="Times New Roman"/>
          <w:b/>
          <w:bCs/>
          <w:color w:val="000000"/>
          <w:sz w:val="24"/>
          <w:szCs w:val="24"/>
          <w:lang w:val="en-US"/>
        </w:rPr>
        <w:t xml:space="preserve">nirsevimab </w:t>
      </w:r>
      <w:r w:rsidRPr="00B21236">
        <w:rPr>
          <w:rFonts w:ascii="Times New Roman" w:hAnsi="Times New Roman" w:cs="Times New Roman"/>
          <w:color w:val="000000"/>
          <w:sz w:val="24"/>
          <w:szCs w:val="24"/>
          <w:lang w:val="en-US"/>
        </w:rPr>
        <w:t>has not been introduced in the market, we do not have evidence about possible inequities that may be generated later. What we do know is that it is intended to be used for population-based prevention covering the entire population for whom it is indicated.</w:t>
      </w:r>
    </w:p>
    <w:p w14:paraId="6472B755" w14:textId="2605093F" w:rsidR="00982B76" w:rsidRPr="00B21236" w:rsidRDefault="00982B76" w:rsidP="001446F1">
      <w:pPr>
        <w:pStyle w:val="Ttulo1"/>
        <w:spacing w:before="240" w:line="360" w:lineRule="auto"/>
        <w:rPr>
          <w:rFonts w:cs="Times New Roman"/>
          <w:szCs w:val="28"/>
          <w:lang w:val="en-US"/>
        </w:rPr>
      </w:pPr>
      <w:bookmarkStart w:id="12" w:name="_Toc135731183"/>
      <w:r>
        <w:rPr>
          <w:rFonts w:cs="Times New Roman"/>
          <w:szCs w:val="28"/>
          <w:lang w:val="en-US"/>
        </w:rPr>
        <w:lastRenderedPageBreak/>
        <w:t>Results</w:t>
      </w:r>
      <w:bookmarkEnd w:id="12"/>
    </w:p>
    <w:p w14:paraId="2C1B1C14" w14:textId="37553B5A" w:rsidR="00982B76" w:rsidRDefault="0012694A" w:rsidP="00D30ACE">
      <w:pPr>
        <w:pStyle w:val="Ttulo2"/>
        <w:numPr>
          <w:ilvl w:val="0"/>
          <w:numId w:val="36"/>
        </w:numPr>
        <w:spacing w:after="0" w:line="360" w:lineRule="auto"/>
        <w:ind w:left="426"/>
        <w:rPr>
          <w:rFonts w:cs="Times New Roman"/>
          <w:szCs w:val="24"/>
          <w:lang w:val="en-US"/>
        </w:rPr>
      </w:pPr>
      <w:bookmarkStart w:id="13" w:name="_Toc135731184"/>
      <w:r>
        <w:rPr>
          <w:rFonts w:cs="Times New Roman"/>
          <w:szCs w:val="24"/>
          <w:lang w:val="en-US"/>
        </w:rPr>
        <w:t>Scores</w:t>
      </w:r>
      <w:bookmarkEnd w:id="13"/>
    </w:p>
    <w:p w14:paraId="78632FD3" w14:textId="5A1F157E" w:rsidR="00026BC2" w:rsidRDefault="00026BC2" w:rsidP="00026BC2">
      <w:pPr>
        <w:pStyle w:val="Descripcin"/>
        <w:spacing w:after="0"/>
        <w:jc w:val="both"/>
        <w:rPr>
          <w:rFonts w:ascii="Times New Roman" w:hAnsi="Times New Roman" w:cs="Times New Roman"/>
          <w:b/>
          <w:bCs/>
          <w:i w:val="0"/>
          <w:iCs w:val="0"/>
          <w:color w:val="auto"/>
          <w:sz w:val="24"/>
          <w:szCs w:val="24"/>
          <w:lang w:val="en-US"/>
        </w:rPr>
      </w:pPr>
      <w:bookmarkStart w:id="14" w:name="_Toc116377716"/>
      <w:r w:rsidRPr="00AB4B75">
        <w:rPr>
          <w:rFonts w:ascii="Times New Roman" w:hAnsi="Times New Roman" w:cs="Times New Roman"/>
          <w:b/>
          <w:bCs/>
          <w:i w:val="0"/>
          <w:iCs w:val="0"/>
          <w:color w:val="auto"/>
          <w:sz w:val="24"/>
          <w:szCs w:val="24"/>
          <w:lang w:val="en-US"/>
        </w:rPr>
        <w:t>Tab</w:t>
      </w:r>
      <w:r>
        <w:rPr>
          <w:rFonts w:ascii="Times New Roman" w:hAnsi="Times New Roman" w:cs="Times New Roman"/>
          <w:b/>
          <w:bCs/>
          <w:i w:val="0"/>
          <w:iCs w:val="0"/>
          <w:color w:val="auto"/>
          <w:sz w:val="24"/>
          <w:szCs w:val="24"/>
          <w:lang w:val="en-US"/>
        </w:rPr>
        <w:t>le</w:t>
      </w:r>
      <w:r w:rsidRPr="00AB4B75">
        <w:rPr>
          <w:rFonts w:ascii="Times New Roman" w:hAnsi="Times New Roman" w:cs="Times New Roman"/>
          <w:b/>
          <w:bCs/>
          <w:i w:val="0"/>
          <w:iCs w:val="0"/>
          <w:color w:val="auto"/>
          <w:sz w:val="24"/>
          <w:szCs w:val="24"/>
          <w:lang w:val="en-US"/>
        </w:rPr>
        <w:t xml:space="preserve"> (S</w:t>
      </w:r>
      <w:r>
        <w:rPr>
          <w:rFonts w:ascii="Times New Roman" w:hAnsi="Times New Roman" w:cs="Times New Roman"/>
          <w:b/>
          <w:bCs/>
          <w:i w:val="0"/>
          <w:iCs w:val="0"/>
          <w:color w:val="auto"/>
          <w:sz w:val="24"/>
          <w:szCs w:val="24"/>
          <w:lang w:val="en-US"/>
        </w:rPr>
        <w:t>9</w:t>
      </w:r>
      <w:r w:rsidRPr="00AB4B75">
        <w:rPr>
          <w:rFonts w:ascii="Times New Roman" w:hAnsi="Times New Roman" w:cs="Times New Roman"/>
          <w:b/>
          <w:bCs/>
          <w:i w:val="0"/>
          <w:iCs w:val="0"/>
          <w:color w:val="auto"/>
          <w:sz w:val="24"/>
          <w:szCs w:val="24"/>
          <w:lang w:val="en-US"/>
        </w:rPr>
        <w:t>).</w:t>
      </w:r>
      <w:r w:rsidR="00B25DE1">
        <w:rPr>
          <w:rFonts w:ascii="Times New Roman" w:hAnsi="Times New Roman" w:cs="Times New Roman"/>
          <w:b/>
          <w:bCs/>
          <w:i w:val="0"/>
          <w:iCs w:val="0"/>
          <w:color w:val="auto"/>
          <w:sz w:val="24"/>
          <w:szCs w:val="24"/>
          <w:lang w:val="en-US"/>
        </w:rPr>
        <w:t>3</w:t>
      </w:r>
      <w:r w:rsidRPr="00AB4B75">
        <w:rPr>
          <w:rFonts w:ascii="Times New Roman" w:hAnsi="Times New Roman" w:cs="Times New Roman"/>
          <w:b/>
          <w:bCs/>
          <w:i w:val="0"/>
          <w:iCs w:val="0"/>
          <w:color w:val="auto"/>
          <w:sz w:val="24"/>
          <w:szCs w:val="24"/>
          <w:lang w:val="en-US"/>
        </w:rPr>
        <w:t xml:space="preserve">: </w:t>
      </w:r>
      <w:r>
        <w:rPr>
          <w:rFonts w:ascii="Times New Roman" w:hAnsi="Times New Roman" w:cs="Times New Roman"/>
          <w:b/>
          <w:bCs/>
          <w:i w:val="0"/>
          <w:iCs w:val="0"/>
          <w:color w:val="auto"/>
          <w:sz w:val="24"/>
          <w:szCs w:val="24"/>
          <w:lang w:val="en-US"/>
        </w:rPr>
        <w:t>Scores</w:t>
      </w:r>
      <w:r w:rsidRPr="00AB4B75">
        <w:rPr>
          <w:rFonts w:ascii="Times New Roman" w:hAnsi="Times New Roman" w:cs="Times New Roman"/>
          <w:b/>
          <w:bCs/>
          <w:i w:val="0"/>
          <w:iCs w:val="0"/>
          <w:color w:val="auto"/>
          <w:sz w:val="24"/>
          <w:szCs w:val="24"/>
          <w:lang w:val="en-US"/>
        </w:rPr>
        <w:t>, overall and by subgroup</w:t>
      </w:r>
      <w:r>
        <w:rPr>
          <w:rFonts w:ascii="Times New Roman" w:hAnsi="Times New Roman" w:cs="Times New Roman"/>
          <w:b/>
          <w:bCs/>
          <w:i w:val="0"/>
          <w:iCs w:val="0"/>
          <w:color w:val="auto"/>
          <w:sz w:val="24"/>
          <w:szCs w:val="24"/>
          <w:lang w:val="en-US"/>
        </w:rPr>
        <w:t>, nirsevimab vs. palivizumab</w:t>
      </w:r>
      <w:bookmarkEnd w:id="14"/>
    </w:p>
    <w:p w14:paraId="102E98D5" w14:textId="77777777" w:rsidR="00026BC2" w:rsidRDefault="00026BC2" w:rsidP="00026BC2">
      <w:pPr>
        <w:spacing w:after="0" w:line="240" w:lineRule="auto"/>
        <w:rPr>
          <w:rFonts w:ascii="Times New Roman" w:hAnsi="Times New Roman" w:cs="Times New Roman"/>
          <w:lang w:val="en-US"/>
        </w:rPr>
      </w:pPr>
      <w:r w:rsidRPr="00940179">
        <w:rPr>
          <w:rFonts w:ascii="Times New Roman" w:hAnsi="Times New Roman" w:cs="Times New Roman"/>
          <w:lang w:val="en-US"/>
        </w:rPr>
        <w:t>Mean ± standard deviation (median</w:t>
      </w:r>
      <w:r>
        <w:rPr>
          <w:rFonts w:ascii="Times New Roman" w:hAnsi="Times New Roman" w:cs="Times New Roman"/>
          <w:lang w:val="en-US"/>
        </w:rPr>
        <w:t>) [</w:t>
      </w:r>
      <w:r w:rsidRPr="00940179">
        <w:rPr>
          <w:rFonts w:ascii="Times New Roman" w:hAnsi="Times New Roman" w:cs="Times New Roman"/>
          <w:lang w:val="en-US"/>
        </w:rPr>
        <w:t>min</w:t>
      </w:r>
      <w:r>
        <w:rPr>
          <w:rFonts w:ascii="Times New Roman" w:hAnsi="Times New Roman" w:cs="Times New Roman"/>
          <w:lang w:val="en-US"/>
        </w:rPr>
        <w:t xml:space="preserve"> to</w:t>
      </w:r>
      <w:r w:rsidRPr="00940179">
        <w:rPr>
          <w:rFonts w:ascii="Times New Roman" w:hAnsi="Times New Roman" w:cs="Times New Roman"/>
          <w:lang w:val="en-US"/>
        </w:rPr>
        <w:t xml:space="preserve"> max</w:t>
      </w:r>
      <w:r>
        <w:rPr>
          <w:rFonts w:ascii="Times New Roman" w:hAnsi="Times New Roman" w:cs="Times New Roman"/>
          <w:lang w:val="en-US"/>
        </w:rPr>
        <w:t>]</w:t>
      </w:r>
    </w:p>
    <w:p w14:paraId="66A9DB80" w14:textId="77777777" w:rsidR="00026BC2" w:rsidRPr="00940179" w:rsidRDefault="00026BC2" w:rsidP="00026BC2">
      <w:pPr>
        <w:spacing w:after="0" w:line="240" w:lineRule="auto"/>
        <w:rPr>
          <w:rFonts w:ascii="Times New Roman" w:hAnsi="Times New Roman" w:cs="Times New Roman"/>
          <w:lang w:val="en-US"/>
        </w:rPr>
      </w:pPr>
    </w:p>
    <w:tbl>
      <w:tblPr>
        <w:tblStyle w:val="Tablaconcuadrcula"/>
        <w:tblW w:w="10915" w:type="dxa"/>
        <w:tblInd w:w="-1139" w:type="dxa"/>
        <w:tblLook w:val="04A0" w:firstRow="1" w:lastRow="0" w:firstColumn="1" w:lastColumn="0" w:noHBand="0" w:noVBand="1"/>
      </w:tblPr>
      <w:tblGrid>
        <w:gridCol w:w="3261"/>
        <w:gridCol w:w="2551"/>
        <w:gridCol w:w="2551"/>
        <w:gridCol w:w="2552"/>
      </w:tblGrid>
      <w:tr w:rsidR="00026BC2" w:rsidRPr="00612C7C" w14:paraId="4EFEE5F3" w14:textId="77777777" w:rsidTr="00D354DB">
        <w:tc>
          <w:tcPr>
            <w:tcW w:w="3261" w:type="dxa"/>
            <w:shd w:val="clear" w:color="auto" w:fill="000000" w:themeFill="text1"/>
            <w:vAlign w:val="center"/>
          </w:tcPr>
          <w:p w14:paraId="1D569937"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Criteria</w:t>
            </w:r>
          </w:p>
        </w:tc>
        <w:tc>
          <w:tcPr>
            <w:tcW w:w="2551" w:type="dxa"/>
            <w:shd w:val="clear" w:color="auto" w:fill="000000" w:themeFill="text1"/>
            <w:vAlign w:val="center"/>
          </w:tcPr>
          <w:p w14:paraId="1E40930C" w14:textId="77777777" w:rsidR="00026BC2" w:rsidRPr="00612C7C" w:rsidRDefault="00026BC2" w:rsidP="00D354DB">
            <w:pPr>
              <w:jc w:val="center"/>
              <w:rPr>
                <w:rFonts w:ascii="Times New Roman" w:hAnsi="Times New Roman" w:cs="Times New Roman"/>
                <w:sz w:val="20"/>
                <w:szCs w:val="20"/>
                <w:lang w:val="en-US"/>
              </w:rPr>
            </w:pPr>
            <w:r w:rsidRPr="00612C7C">
              <w:rPr>
                <w:rFonts w:ascii="Times New Roman" w:hAnsi="Times New Roman" w:cs="Times New Roman"/>
                <w:sz w:val="20"/>
                <w:szCs w:val="20"/>
                <w:lang w:val="en-US"/>
              </w:rPr>
              <w:t>Overall (n=9)</w:t>
            </w:r>
          </w:p>
        </w:tc>
        <w:tc>
          <w:tcPr>
            <w:tcW w:w="2551" w:type="dxa"/>
            <w:shd w:val="clear" w:color="auto" w:fill="000000" w:themeFill="text1"/>
            <w:vAlign w:val="center"/>
          </w:tcPr>
          <w:p w14:paraId="2E55F273" w14:textId="77777777" w:rsidR="00026BC2" w:rsidRPr="00612C7C" w:rsidRDefault="00026BC2" w:rsidP="00D354DB">
            <w:pPr>
              <w:jc w:val="center"/>
              <w:rPr>
                <w:rFonts w:ascii="Times New Roman" w:hAnsi="Times New Roman" w:cs="Times New Roman"/>
                <w:sz w:val="20"/>
                <w:szCs w:val="20"/>
                <w:lang w:val="en-US"/>
              </w:rPr>
            </w:pPr>
            <w:r w:rsidRPr="00612C7C">
              <w:rPr>
                <w:rFonts w:ascii="Times New Roman" w:hAnsi="Times New Roman" w:cs="Times New Roman"/>
                <w:sz w:val="20"/>
                <w:szCs w:val="20"/>
                <w:lang w:val="en-US"/>
              </w:rPr>
              <w:t>Clinicians (n=4)</w:t>
            </w:r>
          </w:p>
        </w:tc>
        <w:tc>
          <w:tcPr>
            <w:tcW w:w="2552" w:type="dxa"/>
            <w:shd w:val="clear" w:color="auto" w:fill="000000" w:themeFill="text1"/>
            <w:vAlign w:val="center"/>
          </w:tcPr>
          <w:p w14:paraId="3242FD5F" w14:textId="77777777" w:rsidR="00026BC2" w:rsidRPr="00612C7C" w:rsidRDefault="00026BC2" w:rsidP="00D354DB">
            <w:pPr>
              <w:jc w:val="center"/>
              <w:rPr>
                <w:rFonts w:ascii="Times New Roman" w:hAnsi="Times New Roman" w:cs="Times New Roman"/>
                <w:sz w:val="20"/>
                <w:szCs w:val="20"/>
                <w:lang w:val="en-US"/>
              </w:rPr>
            </w:pPr>
            <w:r w:rsidRPr="00612C7C">
              <w:rPr>
                <w:rFonts w:ascii="Times New Roman" w:hAnsi="Times New Roman" w:cs="Times New Roman"/>
                <w:sz w:val="20"/>
                <w:szCs w:val="20"/>
                <w:lang w:val="en-US"/>
              </w:rPr>
              <w:t>Managers (n=5)</w:t>
            </w:r>
          </w:p>
        </w:tc>
      </w:tr>
      <w:tr w:rsidR="00026BC2" w:rsidRPr="00612C7C" w14:paraId="4CB5DA0B" w14:textId="77777777" w:rsidTr="00D354DB">
        <w:tc>
          <w:tcPr>
            <w:tcW w:w="3261" w:type="dxa"/>
            <w:shd w:val="clear" w:color="auto" w:fill="D9D9D9" w:themeFill="background1" w:themeFillShade="D9"/>
            <w:vAlign w:val="center"/>
          </w:tcPr>
          <w:p w14:paraId="23C87D36"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1: Severity of disease</w:t>
            </w:r>
          </w:p>
        </w:tc>
        <w:tc>
          <w:tcPr>
            <w:tcW w:w="2551" w:type="dxa"/>
            <w:shd w:val="clear" w:color="auto" w:fill="D9D9D9" w:themeFill="background1" w:themeFillShade="D9"/>
            <w:vAlign w:val="center"/>
          </w:tcPr>
          <w:p w14:paraId="5D78439A"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69C6539E"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7882CB15"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3D3B42D2" w14:textId="77777777" w:rsidTr="00D354DB">
        <w:tc>
          <w:tcPr>
            <w:tcW w:w="3261" w:type="dxa"/>
            <w:vAlign w:val="center"/>
          </w:tcPr>
          <w:p w14:paraId="777AA3BF"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Severity of symptoms</w:t>
            </w:r>
          </w:p>
        </w:tc>
        <w:tc>
          <w:tcPr>
            <w:tcW w:w="2551" w:type="dxa"/>
            <w:vAlign w:val="center"/>
          </w:tcPr>
          <w:p w14:paraId="36E8C8B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3.0 ± 1.1 (3.0) [1 to 5]</w:t>
            </w:r>
          </w:p>
        </w:tc>
        <w:tc>
          <w:tcPr>
            <w:tcW w:w="2551" w:type="dxa"/>
            <w:vAlign w:val="center"/>
          </w:tcPr>
          <w:p w14:paraId="1B69689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2.5 ± 1.0 (3.0) [1 to 3]</w:t>
            </w:r>
          </w:p>
        </w:tc>
        <w:tc>
          <w:tcPr>
            <w:tcW w:w="2552" w:type="dxa"/>
            <w:vAlign w:val="center"/>
          </w:tcPr>
          <w:p w14:paraId="35DEBE67"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3.4 ± 1.1 (3.0) [2 to 5]</w:t>
            </w:r>
          </w:p>
        </w:tc>
      </w:tr>
      <w:tr w:rsidR="00026BC2" w:rsidRPr="00612C7C" w14:paraId="4A056AA3" w14:textId="77777777" w:rsidTr="00D354DB">
        <w:tc>
          <w:tcPr>
            <w:tcW w:w="3261" w:type="dxa"/>
            <w:vAlign w:val="center"/>
          </w:tcPr>
          <w:p w14:paraId="257F3E1E"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Lethality risk</w:t>
            </w:r>
          </w:p>
        </w:tc>
        <w:tc>
          <w:tcPr>
            <w:tcW w:w="2551" w:type="dxa"/>
            <w:vAlign w:val="center"/>
          </w:tcPr>
          <w:p w14:paraId="1D7ED7D9"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2.1 ± 1.2 (2.0) [1 to 4]</w:t>
            </w:r>
          </w:p>
        </w:tc>
        <w:tc>
          <w:tcPr>
            <w:tcW w:w="2551" w:type="dxa"/>
            <w:vAlign w:val="center"/>
          </w:tcPr>
          <w:p w14:paraId="262B563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2.3 ± 1.5 (2.0) [1 to 4]</w:t>
            </w:r>
          </w:p>
        </w:tc>
        <w:tc>
          <w:tcPr>
            <w:tcW w:w="2552" w:type="dxa"/>
            <w:vAlign w:val="center"/>
          </w:tcPr>
          <w:p w14:paraId="6797EA53"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2.0 ± 1.0 (2.0) [1 to 3]</w:t>
            </w:r>
          </w:p>
        </w:tc>
      </w:tr>
      <w:tr w:rsidR="00026BC2" w:rsidRPr="00612C7C" w14:paraId="1816BBE4" w14:textId="77777777" w:rsidTr="00D354DB">
        <w:tc>
          <w:tcPr>
            <w:tcW w:w="3261" w:type="dxa"/>
            <w:vAlign w:val="center"/>
          </w:tcPr>
          <w:p w14:paraId="4CD8CC0D"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Comorbidity risk</w:t>
            </w:r>
          </w:p>
        </w:tc>
        <w:tc>
          <w:tcPr>
            <w:tcW w:w="2551" w:type="dxa"/>
            <w:vAlign w:val="center"/>
          </w:tcPr>
          <w:p w14:paraId="3418EA96"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3.6 ± 0.9 (4.0) [2 to 5]</w:t>
            </w:r>
          </w:p>
        </w:tc>
        <w:tc>
          <w:tcPr>
            <w:tcW w:w="2551" w:type="dxa"/>
            <w:vAlign w:val="center"/>
          </w:tcPr>
          <w:p w14:paraId="3AEC4A7E"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3.3 ± 1.0 (3.5) [2 to 4]</w:t>
            </w:r>
          </w:p>
        </w:tc>
        <w:tc>
          <w:tcPr>
            <w:tcW w:w="2552" w:type="dxa"/>
            <w:vAlign w:val="center"/>
          </w:tcPr>
          <w:p w14:paraId="15F2A0FD"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3.8 ± 0.8 (4.0) [3 to 5]</w:t>
            </w:r>
          </w:p>
        </w:tc>
      </w:tr>
      <w:tr w:rsidR="00026BC2" w:rsidRPr="00612C7C" w14:paraId="11CAC388" w14:textId="77777777" w:rsidTr="00D354DB">
        <w:tc>
          <w:tcPr>
            <w:tcW w:w="3261" w:type="dxa"/>
            <w:shd w:val="clear" w:color="auto" w:fill="D9D9D9" w:themeFill="background1" w:themeFillShade="D9"/>
            <w:vAlign w:val="center"/>
          </w:tcPr>
          <w:p w14:paraId="3B32D339"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2: Burden of disease</w:t>
            </w:r>
          </w:p>
        </w:tc>
        <w:tc>
          <w:tcPr>
            <w:tcW w:w="2551" w:type="dxa"/>
            <w:shd w:val="clear" w:color="auto" w:fill="D9D9D9" w:themeFill="background1" w:themeFillShade="D9"/>
            <w:vAlign w:val="center"/>
          </w:tcPr>
          <w:p w14:paraId="27DE10CB"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0D37027B"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1266EE25"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7B80FD51" w14:textId="77777777" w:rsidTr="00D354DB">
        <w:tc>
          <w:tcPr>
            <w:tcW w:w="3261" w:type="dxa"/>
            <w:vAlign w:val="center"/>
          </w:tcPr>
          <w:p w14:paraId="2ABBF3D3"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Incidence of RSV cases</w:t>
            </w:r>
          </w:p>
        </w:tc>
        <w:tc>
          <w:tcPr>
            <w:tcW w:w="2551" w:type="dxa"/>
            <w:vAlign w:val="center"/>
          </w:tcPr>
          <w:p w14:paraId="0785C112"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4.0 ± 0.7 (4.0) [3 to 5]</w:t>
            </w:r>
          </w:p>
        </w:tc>
        <w:tc>
          <w:tcPr>
            <w:tcW w:w="2551" w:type="dxa"/>
            <w:vAlign w:val="center"/>
          </w:tcPr>
          <w:p w14:paraId="314C73B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3.5 ± 0.6 (3.5) [3 to 4]</w:t>
            </w:r>
          </w:p>
        </w:tc>
        <w:tc>
          <w:tcPr>
            <w:tcW w:w="2552" w:type="dxa"/>
            <w:vAlign w:val="center"/>
          </w:tcPr>
          <w:p w14:paraId="5D009C82"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4.4 ± 0.5 (4.0) [4 to 5]</w:t>
            </w:r>
          </w:p>
        </w:tc>
      </w:tr>
      <w:tr w:rsidR="00026BC2" w:rsidRPr="00612C7C" w14:paraId="57275C6B" w14:textId="77777777" w:rsidTr="00D354DB">
        <w:tc>
          <w:tcPr>
            <w:tcW w:w="3261" w:type="dxa"/>
            <w:vAlign w:val="center"/>
          </w:tcPr>
          <w:p w14:paraId="1E830151"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Incidence on the outpatient setting</w:t>
            </w:r>
          </w:p>
        </w:tc>
        <w:tc>
          <w:tcPr>
            <w:tcW w:w="2551" w:type="dxa"/>
            <w:vAlign w:val="center"/>
          </w:tcPr>
          <w:p w14:paraId="22D641B1"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4.1 ± 0.8 (4.0) [3 to 5]</w:t>
            </w:r>
          </w:p>
        </w:tc>
        <w:tc>
          <w:tcPr>
            <w:tcW w:w="2551" w:type="dxa"/>
            <w:vAlign w:val="center"/>
          </w:tcPr>
          <w:p w14:paraId="10A2DECC"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3.8 ± 1.0 (3.5) [3 to 5]</w:t>
            </w:r>
          </w:p>
        </w:tc>
        <w:tc>
          <w:tcPr>
            <w:tcW w:w="2552" w:type="dxa"/>
            <w:vAlign w:val="center"/>
          </w:tcPr>
          <w:p w14:paraId="5349F420"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4.4 ± 0.5 (4.0) [4 to 5]</w:t>
            </w:r>
          </w:p>
        </w:tc>
      </w:tr>
      <w:tr w:rsidR="00026BC2" w:rsidRPr="00612C7C" w14:paraId="19A07B81" w14:textId="77777777" w:rsidTr="00D354DB">
        <w:tc>
          <w:tcPr>
            <w:tcW w:w="3261" w:type="dxa"/>
            <w:vAlign w:val="center"/>
          </w:tcPr>
          <w:p w14:paraId="1C116B2F"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Incidence on the inpatient setting</w:t>
            </w:r>
          </w:p>
        </w:tc>
        <w:tc>
          <w:tcPr>
            <w:tcW w:w="2551" w:type="dxa"/>
            <w:vAlign w:val="center"/>
          </w:tcPr>
          <w:p w14:paraId="6349BCA5"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3.3 ± 1.3 (4.0) [1 to 5]</w:t>
            </w:r>
          </w:p>
        </w:tc>
        <w:tc>
          <w:tcPr>
            <w:tcW w:w="2551" w:type="dxa"/>
            <w:vAlign w:val="center"/>
          </w:tcPr>
          <w:p w14:paraId="1ED6E63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3.5 ± 1.7 (4.0) [1 to 5]</w:t>
            </w:r>
          </w:p>
        </w:tc>
        <w:tc>
          <w:tcPr>
            <w:tcW w:w="2552" w:type="dxa"/>
            <w:vAlign w:val="center"/>
          </w:tcPr>
          <w:p w14:paraId="354B0235"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3.2 ± 1.1 (4.0) [2 to 4]</w:t>
            </w:r>
          </w:p>
        </w:tc>
      </w:tr>
      <w:tr w:rsidR="00026BC2" w:rsidRPr="00612C7C" w14:paraId="53E35846" w14:textId="77777777" w:rsidTr="00D354DB">
        <w:tc>
          <w:tcPr>
            <w:tcW w:w="3261" w:type="dxa"/>
            <w:vAlign w:val="center"/>
          </w:tcPr>
          <w:p w14:paraId="3CAECBF2"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Time of duration of acute symptoms</w:t>
            </w:r>
          </w:p>
        </w:tc>
        <w:tc>
          <w:tcPr>
            <w:tcW w:w="2551" w:type="dxa"/>
            <w:vAlign w:val="center"/>
          </w:tcPr>
          <w:p w14:paraId="18D2D2B7"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2.7 ± 1.0 (2.0) [2 to 5]</w:t>
            </w:r>
          </w:p>
        </w:tc>
        <w:tc>
          <w:tcPr>
            <w:tcW w:w="2551" w:type="dxa"/>
            <w:vAlign w:val="center"/>
          </w:tcPr>
          <w:p w14:paraId="6AEA7B1D"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3.0 ± 1.4 (2.5) [2 to 5]</w:t>
            </w:r>
          </w:p>
        </w:tc>
        <w:tc>
          <w:tcPr>
            <w:tcW w:w="2552" w:type="dxa"/>
            <w:vAlign w:val="center"/>
          </w:tcPr>
          <w:p w14:paraId="4081F00F"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2.4 ± 0.5 (2.0) [2 to 3]</w:t>
            </w:r>
          </w:p>
        </w:tc>
      </w:tr>
      <w:tr w:rsidR="00026BC2" w:rsidRPr="00E36543" w14:paraId="1AC96BE1" w14:textId="77777777" w:rsidTr="00D354DB">
        <w:tc>
          <w:tcPr>
            <w:tcW w:w="3261" w:type="dxa"/>
            <w:shd w:val="clear" w:color="auto" w:fill="D9D9D9" w:themeFill="background1" w:themeFillShade="D9"/>
            <w:vAlign w:val="center"/>
          </w:tcPr>
          <w:p w14:paraId="53BE53B0"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3: Prevention or Treatment Alternatives</w:t>
            </w:r>
          </w:p>
        </w:tc>
        <w:tc>
          <w:tcPr>
            <w:tcW w:w="2551" w:type="dxa"/>
            <w:shd w:val="clear" w:color="auto" w:fill="D9D9D9" w:themeFill="background1" w:themeFillShade="D9"/>
            <w:vAlign w:val="center"/>
          </w:tcPr>
          <w:p w14:paraId="479D741C"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7E7C2298"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7B482BE8"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5C851B90" w14:textId="77777777" w:rsidTr="00D354DB">
        <w:tc>
          <w:tcPr>
            <w:tcW w:w="3261" w:type="dxa"/>
            <w:vAlign w:val="center"/>
          </w:tcPr>
          <w:p w14:paraId="3C3C4F4F"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Prevention alternatives</w:t>
            </w:r>
          </w:p>
        </w:tc>
        <w:tc>
          <w:tcPr>
            <w:tcW w:w="2551" w:type="dxa"/>
            <w:vAlign w:val="center"/>
          </w:tcPr>
          <w:p w14:paraId="70BB68D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4.2 ± 0.7 (4.0) [3 to 5]</w:t>
            </w:r>
          </w:p>
        </w:tc>
        <w:tc>
          <w:tcPr>
            <w:tcW w:w="2551" w:type="dxa"/>
            <w:vAlign w:val="center"/>
          </w:tcPr>
          <w:p w14:paraId="60B28D9F"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4.0 ± 0.8 (4.0) [3 to 5]</w:t>
            </w:r>
          </w:p>
        </w:tc>
        <w:tc>
          <w:tcPr>
            <w:tcW w:w="2552" w:type="dxa"/>
            <w:vAlign w:val="center"/>
          </w:tcPr>
          <w:p w14:paraId="3CEFF48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4.4 ± 0.5 (4.0) [4 to 5]</w:t>
            </w:r>
          </w:p>
        </w:tc>
      </w:tr>
      <w:tr w:rsidR="00026BC2" w:rsidRPr="00612C7C" w14:paraId="5A401DCB" w14:textId="77777777" w:rsidTr="00D354DB">
        <w:tc>
          <w:tcPr>
            <w:tcW w:w="3261" w:type="dxa"/>
            <w:vAlign w:val="center"/>
          </w:tcPr>
          <w:p w14:paraId="797F3D73"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Availability of treatment</w:t>
            </w:r>
          </w:p>
        </w:tc>
        <w:tc>
          <w:tcPr>
            <w:tcW w:w="2551" w:type="dxa"/>
            <w:vAlign w:val="center"/>
          </w:tcPr>
          <w:p w14:paraId="21655253"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4.4 ± 0.7 (5.0) [3 to 5]</w:t>
            </w:r>
          </w:p>
        </w:tc>
        <w:tc>
          <w:tcPr>
            <w:tcW w:w="2551" w:type="dxa"/>
            <w:vAlign w:val="center"/>
          </w:tcPr>
          <w:p w14:paraId="47140335"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4.3 ± 1.0 (4.5) [3 to 5]</w:t>
            </w:r>
          </w:p>
        </w:tc>
        <w:tc>
          <w:tcPr>
            <w:tcW w:w="2552" w:type="dxa"/>
            <w:vAlign w:val="center"/>
          </w:tcPr>
          <w:p w14:paraId="65CBE5E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4.6 ± 0.5 (5.0) [4 to 5]</w:t>
            </w:r>
          </w:p>
        </w:tc>
      </w:tr>
      <w:tr w:rsidR="00026BC2" w:rsidRPr="00612C7C" w14:paraId="6009E477" w14:textId="77777777" w:rsidTr="00D354DB">
        <w:tc>
          <w:tcPr>
            <w:tcW w:w="3261" w:type="dxa"/>
            <w:shd w:val="clear" w:color="auto" w:fill="D9D9D9" w:themeFill="background1" w:themeFillShade="D9"/>
            <w:vAlign w:val="center"/>
          </w:tcPr>
          <w:p w14:paraId="68C3E224"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4: Size of population</w:t>
            </w:r>
          </w:p>
        </w:tc>
        <w:tc>
          <w:tcPr>
            <w:tcW w:w="2551" w:type="dxa"/>
            <w:shd w:val="clear" w:color="auto" w:fill="D9D9D9" w:themeFill="background1" w:themeFillShade="D9"/>
            <w:vAlign w:val="center"/>
          </w:tcPr>
          <w:p w14:paraId="3DC76069"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24CA741D"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05D53975"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3AF98FC8" w14:textId="77777777" w:rsidTr="00D354DB">
        <w:tc>
          <w:tcPr>
            <w:tcW w:w="3261" w:type="dxa"/>
            <w:vAlign w:val="center"/>
          </w:tcPr>
          <w:p w14:paraId="768E9473"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Population in which the prevention strategy would be indicated</w:t>
            </w:r>
          </w:p>
        </w:tc>
        <w:tc>
          <w:tcPr>
            <w:tcW w:w="2551" w:type="dxa"/>
            <w:vAlign w:val="center"/>
          </w:tcPr>
          <w:p w14:paraId="56E1FD35"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4.2 ± 1.1 (5.0) [2 to 5]</w:t>
            </w:r>
          </w:p>
        </w:tc>
        <w:tc>
          <w:tcPr>
            <w:tcW w:w="2551" w:type="dxa"/>
            <w:vAlign w:val="center"/>
          </w:tcPr>
          <w:p w14:paraId="36BBB6C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3.8 ± 1.3 (4.0) [2 to 5]</w:t>
            </w:r>
          </w:p>
        </w:tc>
        <w:tc>
          <w:tcPr>
            <w:tcW w:w="2552" w:type="dxa"/>
            <w:vAlign w:val="center"/>
          </w:tcPr>
          <w:p w14:paraId="5A6049BC"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4.6 ± 0.9 (5.0) [3 to 5]</w:t>
            </w:r>
          </w:p>
        </w:tc>
      </w:tr>
      <w:tr w:rsidR="00026BC2" w:rsidRPr="00612C7C" w14:paraId="361DAC9B" w14:textId="77777777" w:rsidTr="00D354DB">
        <w:tc>
          <w:tcPr>
            <w:tcW w:w="3261" w:type="dxa"/>
            <w:shd w:val="clear" w:color="auto" w:fill="D9D9D9" w:themeFill="background1" w:themeFillShade="D9"/>
            <w:vAlign w:val="center"/>
          </w:tcPr>
          <w:p w14:paraId="130DC75F"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5: Efficacy</w:t>
            </w:r>
          </w:p>
        </w:tc>
        <w:tc>
          <w:tcPr>
            <w:tcW w:w="2551" w:type="dxa"/>
            <w:shd w:val="clear" w:color="auto" w:fill="D9D9D9" w:themeFill="background1" w:themeFillShade="D9"/>
            <w:vAlign w:val="center"/>
          </w:tcPr>
          <w:p w14:paraId="12A64794"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1014B7DC"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05DE2427"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0C472394" w14:textId="77777777" w:rsidTr="00D354DB">
        <w:tc>
          <w:tcPr>
            <w:tcW w:w="3261" w:type="dxa"/>
            <w:vAlign w:val="center"/>
          </w:tcPr>
          <w:p w14:paraId="2B73983E"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Efficacy of the preventive measure</w:t>
            </w:r>
          </w:p>
        </w:tc>
        <w:tc>
          <w:tcPr>
            <w:tcW w:w="2551" w:type="dxa"/>
            <w:vAlign w:val="center"/>
          </w:tcPr>
          <w:p w14:paraId="0CA44583"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2.4 ± 1.4 (3.0) [0 to 4]</w:t>
            </w:r>
          </w:p>
        </w:tc>
        <w:tc>
          <w:tcPr>
            <w:tcW w:w="2551" w:type="dxa"/>
            <w:vAlign w:val="center"/>
          </w:tcPr>
          <w:p w14:paraId="150B74E8"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1.5 ± 1.7 (1.5) [0 to 3]</w:t>
            </w:r>
          </w:p>
        </w:tc>
        <w:tc>
          <w:tcPr>
            <w:tcW w:w="2552" w:type="dxa"/>
            <w:vAlign w:val="center"/>
          </w:tcPr>
          <w:p w14:paraId="7390923D"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3.2 ± 0.4 (3.0) [3 to 4]</w:t>
            </w:r>
          </w:p>
        </w:tc>
      </w:tr>
      <w:tr w:rsidR="00026BC2" w:rsidRPr="00612C7C" w14:paraId="6E9F61F1" w14:textId="77777777" w:rsidTr="00D354DB">
        <w:tc>
          <w:tcPr>
            <w:tcW w:w="3261" w:type="dxa"/>
            <w:shd w:val="clear" w:color="auto" w:fill="D9D9D9" w:themeFill="background1" w:themeFillShade="D9"/>
            <w:vAlign w:val="center"/>
          </w:tcPr>
          <w:p w14:paraId="202C8A28"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6: Population protection</w:t>
            </w:r>
          </w:p>
        </w:tc>
        <w:tc>
          <w:tcPr>
            <w:tcW w:w="2551" w:type="dxa"/>
            <w:shd w:val="clear" w:color="auto" w:fill="D9D9D9" w:themeFill="background1" w:themeFillShade="D9"/>
            <w:vAlign w:val="center"/>
          </w:tcPr>
          <w:p w14:paraId="67BCEC82"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55CA181C"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450BBEB1"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04E85BDF" w14:textId="77777777" w:rsidTr="00D354DB">
        <w:tc>
          <w:tcPr>
            <w:tcW w:w="3261" w:type="dxa"/>
            <w:vAlign w:val="center"/>
          </w:tcPr>
          <w:p w14:paraId="737D4BFD"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Group immunity (collective protection)</w:t>
            </w:r>
          </w:p>
        </w:tc>
        <w:tc>
          <w:tcPr>
            <w:tcW w:w="2551" w:type="dxa"/>
            <w:vAlign w:val="center"/>
          </w:tcPr>
          <w:p w14:paraId="28D9296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1.1 ± 1.2 (1.0) [0 to 3]</w:t>
            </w:r>
          </w:p>
        </w:tc>
        <w:tc>
          <w:tcPr>
            <w:tcW w:w="2551" w:type="dxa"/>
            <w:vAlign w:val="center"/>
          </w:tcPr>
          <w:p w14:paraId="2E168EC4"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1.0 ± 1.2 (1.0) [0 to 2]</w:t>
            </w:r>
          </w:p>
        </w:tc>
        <w:tc>
          <w:tcPr>
            <w:tcW w:w="2552" w:type="dxa"/>
            <w:vAlign w:val="center"/>
          </w:tcPr>
          <w:p w14:paraId="326FC514"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1.2 ± 1.3 (1.0) [0 to 3]</w:t>
            </w:r>
          </w:p>
        </w:tc>
      </w:tr>
      <w:tr w:rsidR="00026BC2" w:rsidRPr="00612C7C" w14:paraId="53E65BC7" w14:textId="77777777" w:rsidTr="00D354DB">
        <w:tc>
          <w:tcPr>
            <w:tcW w:w="3261" w:type="dxa"/>
            <w:vAlign w:val="center"/>
          </w:tcPr>
          <w:p w14:paraId="6119380D"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Transmissibility</w:t>
            </w:r>
          </w:p>
        </w:tc>
        <w:tc>
          <w:tcPr>
            <w:tcW w:w="2551" w:type="dxa"/>
            <w:vAlign w:val="center"/>
          </w:tcPr>
          <w:p w14:paraId="1F8833D9"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3.7 ± 1.0 (4.0) [2 to 5]</w:t>
            </w:r>
          </w:p>
        </w:tc>
        <w:tc>
          <w:tcPr>
            <w:tcW w:w="2551" w:type="dxa"/>
            <w:vAlign w:val="center"/>
          </w:tcPr>
          <w:p w14:paraId="4739DF9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3.5 ± 1.3 (3.5) [2 to 5]</w:t>
            </w:r>
          </w:p>
        </w:tc>
        <w:tc>
          <w:tcPr>
            <w:tcW w:w="2552" w:type="dxa"/>
            <w:vAlign w:val="center"/>
          </w:tcPr>
          <w:p w14:paraId="1243F3A2"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3.8 ± 0.8 (4.0) [3 to 5]</w:t>
            </w:r>
          </w:p>
        </w:tc>
      </w:tr>
      <w:tr w:rsidR="00026BC2" w:rsidRPr="00612C7C" w14:paraId="319A61BF" w14:textId="77777777" w:rsidTr="00D354DB">
        <w:tc>
          <w:tcPr>
            <w:tcW w:w="3261" w:type="dxa"/>
            <w:shd w:val="clear" w:color="auto" w:fill="D9D9D9" w:themeFill="background1" w:themeFillShade="D9"/>
            <w:vAlign w:val="center"/>
          </w:tcPr>
          <w:p w14:paraId="475BB789"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7: safety</w:t>
            </w:r>
          </w:p>
        </w:tc>
        <w:tc>
          <w:tcPr>
            <w:tcW w:w="2551" w:type="dxa"/>
            <w:shd w:val="clear" w:color="auto" w:fill="D9D9D9" w:themeFill="background1" w:themeFillShade="D9"/>
            <w:vAlign w:val="center"/>
          </w:tcPr>
          <w:p w14:paraId="249CDF3C"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312CB9D2"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1BE16989"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39C48D89" w14:textId="77777777" w:rsidTr="00D354DB">
        <w:tc>
          <w:tcPr>
            <w:tcW w:w="3261" w:type="dxa"/>
            <w:vAlign w:val="center"/>
          </w:tcPr>
          <w:p w14:paraId="0AA49FFA"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Serious adverse events</w:t>
            </w:r>
          </w:p>
        </w:tc>
        <w:tc>
          <w:tcPr>
            <w:tcW w:w="2551" w:type="dxa"/>
            <w:vAlign w:val="center"/>
          </w:tcPr>
          <w:p w14:paraId="6899E726"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0.3 ± 0.5 (0.0) [0 to 1]</w:t>
            </w:r>
          </w:p>
        </w:tc>
        <w:tc>
          <w:tcPr>
            <w:tcW w:w="2551" w:type="dxa"/>
            <w:vAlign w:val="center"/>
          </w:tcPr>
          <w:p w14:paraId="734598E2"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0.3 ± 0.5 (0.0) [0 to 1]</w:t>
            </w:r>
          </w:p>
        </w:tc>
        <w:tc>
          <w:tcPr>
            <w:tcW w:w="2552" w:type="dxa"/>
            <w:vAlign w:val="center"/>
          </w:tcPr>
          <w:p w14:paraId="50070E83"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0.4 ± 0.5 (0.0) [0 to 1]</w:t>
            </w:r>
          </w:p>
        </w:tc>
      </w:tr>
      <w:tr w:rsidR="00026BC2" w:rsidRPr="00612C7C" w14:paraId="4521C8B5" w14:textId="77777777" w:rsidTr="00D354DB">
        <w:tc>
          <w:tcPr>
            <w:tcW w:w="3261" w:type="dxa"/>
            <w:vAlign w:val="center"/>
          </w:tcPr>
          <w:p w14:paraId="4476815C"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Mild adverse events</w:t>
            </w:r>
          </w:p>
        </w:tc>
        <w:tc>
          <w:tcPr>
            <w:tcW w:w="2551" w:type="dxa"/>
            <w:vAlign w:val="center"/>
          </w:tcPr>
          <w:p w14:paraId="114D6FEE"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-0.2 ± 0.8 (0.0) [-2 to 1]</w:t>
            </w:r>
          </w:p>
        </w:tc>
        <w:tc>
          <w:tcPr>
            <w:tcW w:w="2551" w:type="dxa"/>
            <w:vAlign w:val="center"/>
          </w:tcPr>
          <w:p w14:paraId="62CBB834"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 ± 0.8 (0.0) [-1 to 1]</w:t>
            </w:r>
          </w:p>
        </w:tc>
        <w:tc>
          <w:tcPr>
            <w:tcW w:w="2552" w:type="dxa"/>
            <w:vAlign w:val="center"/>
          </w:tcPr>
          <w:p w14:paraId="3C668C51"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-0.4 ± 0.9 (0.0) [-2 to 0]</w:t>
            </w:r>
          </w:p>
        </w:tc>
      </w:tr>
      <w:tr w:rsidR="00026BC2" w:rsidRPr="00612C7C" w14:paraId="293046A3" w14:textId="77777777" w:rsidTr="00D354DB">
        <w:tc>
          <w:tcPr>
            <w:tcW w:w="3261" w:type="dxa"/>
            <w:shd w:val="clear" w:color="auto" w:fill="D9D9D9" w:themeFill="background1" w:themeFillShade="D9"/>
            <w:vAlign w:val="center"/>
          </w:tcPr>
          <w:p w14:paraId="3C1D93F5"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8: Quality of evidence</w:t>
            </w:r>
          </w:p>
        </w:tc>
        <w:tc>
          <w:tcPr>
            <w:tcW w:w="2551" w:type="dxa"/>
            <w:shd w:val="clear" w:color="auto" w:fill="D9D9D9" w:themeFill="background1" w:themeFillShade="D9"/>
            <w:vAlign w:val="center"/>
          </w:tcPr>
          <w:p w14:paraId="55C1ED6D" w14:textId="77777777" w:rsidR="00026BC2" w:rsidRPr="00612C7C" w:rsidRDefault="00026BC2" w:rsidP="00D354DB">
            <w:pPr>
              <w:jc w:val="center"/>
              <w:rPr>
                <w:rFonts w:ascii="Times New Roman" w:hAnsi="Times New Roman" w:cs="Times New Roman"/>
                <w:sz w:val="20"/>
                <w:szCs w:val="20"/>
                <w:lang w:val="en-US"/>
              </w:rPr>
            </w:pPr>
          </w:p>
        </w:tc>
        <w:tc>
          <w:tcPr>
            <w:tcW w:w="2551" w:type="dxa"/>
            <w:shd w:val="clear" w:color="auto" w:fill="D9D9D9" w:themeFill="background1" w:themeFillShade="D9"/>
            <w:vAlign w:val="center"/>
          </w:tcPr>
          <w:p w14:paraId="0BBE5D1F" w14:textId="77777777" w:rsidR="00026BC2" w:rsidRPr="00612C7C" w:rsidRDefault="00026BC2" w:rsidP="00D354DB">
            <w:pPr>
              <w:jc w:val="center"/>
              <w:rPr>
                <w:rFonts w:ascii="Times New Roman" w:hAnsi="Times New Roman" w:cs="Times New Roman"/>
                <w:sz w:val="20"/>
                <w:szCs w:val="20"/>
                <w:lang w:val="en-US"/>
              </w:rPr>
            </w:pPr>
          </w:p>
        </w:tc>
        <w:tc>
          <w:tcPr>
            <w:tcW w:w="2552" w:type="dxa"/>
            <w:shd w:val="clear" w:color="auto" w:fill="D9D9D9" w:themeFill="background1" w:themeFillShade="D9"/>
            <w:vAlign w:val="center"/>
          </w:tcPr>
          <w:p w14:paraId="21071EAB" w14:textId="77777777" w:rsidR="00026BC2" w:rsidRPr="00612C7C" w:rsidRDefault="00026BC2" w:rsidP="00D354DB">
            <w:pPr>
              <w:jc w:val="center"/>
              <w:rPr>
                <w:rFonts w:ascii="Times New Roman" w:hAnsi="Times New Roman" w:cs="Times New Roman"/>
                <w:sz w:val="20"/>
                <w:szCs w:val="20"/>
                <w:lang w:val="en-US"/>
              </w:rPr>
            </w:pPr>
          </w:p>
        </w:tc>
      </w:tr>
      <w:tr w:rsidR="00026BC2" w:rsidRPr="00612C7C" w14:paraId="1DCD1D5F" w14:textId="77777777" w:rsidTr="00D354DB">
        <w:tc>
          <w:tcPr>
            <w:tcW w:w="3261" w:type="dxa"/>
            <w:vAlign w:val="center"/>
          </w:tcPr>
          <w:p w14:paraId="3C129DC0"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Certainty about the efficacy of the preventive measure</w:t>
            </w:r>
          </w:p>
        </w:tc>
        <w:tc>
          <w:tcPr>
            <w:tcW w:w="2551" w:type="dxa"/>
            <w:vAlign w:val="center"/>
          </w:tcPr>
          <w:p w14:paraId="313AB3F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3.9 ± 0.3 (4.0) [3 to 4]</w:t>
            </w:r>
          </w:p>
        </w:tc>
        <w:tc>
          <w:tcPr>
            <w:tcW w:w="2551" w:type="dxa"/>
            <w:vAlign w:val="center"/>
          </w:tcPr>
          <w:p w14:paraId="341766DF"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3.8 ± 0.5 (4.0) [3 to 4]</w:t>
            </w:r>
          </w:p>
        </w:tc>
        <w:tc>
          <w:tcPr>
            <w:tcW w:w="2552" w:type="dxa"/>
            <w:vAlign w:val="center"/>
          </w:tcPr>
          <w:p w14:paraId="00D245D1"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4.0 ± 0.0 (4.0) [4 to 4]</w:t>
            </w:r>
          </w:p>
        </w:tc>
      </w:tr>
      <w:tr w:rsidR="00026BC2" w:rsidRPr="00E36543" w14:paraId="41F486D7" w14:textId="77777777" w:rsidTr="00D354DB">
        <w:tc>
          <w:tcPr>
            <w:tcW w:w="3261" w:type="dxa"/>
            <w:shd w:val="clear" w:color="auto" w:fill="D9D9D9" w:themeFill="background1" w:themeFillShade="D9"/>
            <w:vAlign w:val="center"/>
          </w:tcPr>
          <w:p w14:paraId="60EC9310"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9: Impact on quality of life</w:t>
            </w:r>
          </w:p>
        </w:tc>
        <w:tc>
          <w:tcPr>
            <w:tcW w:w="2551" w:type="dxa"/>
            <w:shd w:val="clear" w:color="auto" w:fill="D9D9D9" w:themeFill="background1" w:themeFillShade="D9"/>
            <w:vAlign w:val="center"/>
          </w:tcPr>
          <w:p w14:paraId="6ED2B213"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24068295"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28CC5563"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2403691B" w14:textId="77777777" w:rsidTr="00D354DB">
        <w:tc>
          <w:tcPr>
            <w:tcW w:w="3261" w:type="dxa"/>
            <w:vAlign w:val="center"/>
          </w:tcPr>
          <w:p w14:paraId="5CE5B1B5"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Impact on the population of children</w:t>
            </w:r>
          </w:p>
        </w:tc>
        <w:tc>
          <w:tcPr>
            <w:tcW w:w="2551" w:type="dxa"/>
            <w:vAlign w:val="center"/>
          </w:tcPr>
          <w:p w14:paraId="72DF5128"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4.2 ± 1.0 (5.0) [3 to 5]</w:t>
            </w:r>
          </w:p>
        </w:tc>
        <w:tc>
          <w:tcPr>
            <w:tcW w:w="2551" w:type="dxa"/>
            <w:vAlign w:val="center"/>
          </w:tcPr>
          <w:p w14:paraId="7C3954A7"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4.0 ± 1.2 (4.0) [3 to 5]</w:t>
            </w:r>
          </w:p>
        </w:tc>
        <w:tc>
          <w:tcPr>
            <w:tcW w:w="2552" w:type="dxa"/>
            <w:vAlign w:val="center"/>
          </w:tcPr>
          <w:p w14:paraId="3E7184E0"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4.4 ± 0.9 (5.0) [3 to 5]</w:t>
            </w:r>
          </w:p>
        </w:tc>
      </w:tr>
      <w:tr w:rsidR="00026BC2" w:rsidRPr="00612C7C" w14:paraId="3183FEA6" w14:textId="77777777" w:rsidTr="00D354DB">
        <w:tc>
          <w:tcPr>
            <w:tcW w:w="3261" w:type="dxa"/>
            <w:vAlign w:val="center"/>
          </w:tcPr>
          <w:p w14:paraId="31E40195"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Impact on the population over 65 years of age</w:t>
            </w:r>
          </w:p>
        </w:tc>
        <w:tc>
          <w:tcPr>
            <w:tcW w:w="2551" w:type="dxa"/>
            <w:vAlign w:val="center"/>
          </w:tcPr>
          <w:p w14:paraId="131D83A1"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2.6 ± 1.2 (3.0) [1 to 5]</w:t>
            </w:r>
          </w:p>
        </w:tc>
        <w:tc>
          <w:tcPr>
            <w:tcW w:w="2551" w:type="dxa"/>
            <w:vAlign w:val="center"/>
          </w:tcPr>
          <w:p w14:paraId="6E4F6A70"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2.3 ± 1.0 (2.5) [1 to 3]</w:t>
            </w:r>
          </w:p>
        </w:tc>
        <w:tc>
          <w:tcPr>
            <w:tcW w:w="2552" w:type="dxa"/>
            <w:vAlign w:val="center"/>
          </w:tcPr>
          <w:p w14:paraId="77B3384E"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2.8 ± 1.5 (3.0) [1 to 5]</w:t>
            </w:r>
          </w:p>
        </w:tc>
      </w:tr>
      <w:tr w:rsidR="00026BC2" w:rsidRPr="00612C7C" w14:paraId="348F8C7B" w14:textId="77777777" w:rsidTr="00D354DB">
        <w:tc>
          <w:tcPr>
            <w:tcW w:w="3261" w:type="dxa"/>
            <w:vAlign w:val="center"/>
          </w:tcPr>
          <w:p w14:paraId="2FCCF8F4"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Impact on caregivers</w:t>
            </w:r>
          </w:p>
        </w:tc>
        <w:tc>
          <w:tcPr>
            <w:tcW w:w="2551" w:type="dxa"/>
            <w:vAlign w:val="center"/>
          </w:tcPr>
          <w:p w14:paraId="65776987"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3.6 ± 1.1 (4.0) [2 to 5]</w:t>
            </w:r>
          </w:p>
        </w:tc>
        <w:tc>
          <w:tcPr>
            <w:tcW w:w="2551" w:type="dxa"/>
            <w:vAlign w:val="center"/>
          </w:tcPr>
          <w:p w14:paraId="3118456C"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3.5 ± 1.3 (3.5) [2 to 5]</w:t>
            </w:r>
          </w:p>
        </w:tc>
        <w:tc>
          <w:tcPr>
            <w:tcW w:w="2552" w:type="dxa"/>
            <w:vAlign w:val="center"/>
          </w:tcPr>
          <w:p w14:paraId="0B2C10DC"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3.6 ± 1.1 (4.0) [2 to 5]</w:t>
            </w:r>
          </w:p>
        </w:tc>
      </w:tr>
      <w:tr w:rsidR="00026BC2" w:rsidRPr="00612C7C" w14:paraId="28AA2967" w14:textId="77777777" w:rsidTr="00D354DB">
        <w:tc>
          <w:tcPr>
            <w:tcW w:w="3261" w:type="dxa"/>
            <w:shd w:val="clear" w:color="auto" w:fill="D9D9D9" w:themeFill="background1" w:themeFillShade="D9"/>
            <w:vAlign w:val="center"/>
          </w:tcPr>
          <w:p w14:paraId="020D2C3F"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10: Acquisition cost</w:t>
            </w:r>
          </w:p>
        </w:tc>
        <w:tc>
          <w:tcPr>
            <w:tcW w:w="2551" w:type="dxa"/>
            <w:shd w:val="clear" w:color="auto" w:fill="D9D9D9" w:themeFill="background1" w:themeFillShade="D9"/>
            <w:vAlign w:val="center"/>
          </w:tcPr>
          <w:p w14:paraId="4E670D08"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626BC2D3"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5B1DFE1B"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4FCC6E91" w14:textId="77777777" w:rsidTr="00D354DB">
        <w:tc>
          <w:tcPr>
            <w:tcW w:w="3261" w:type="dxa"/>
            <w:vAlign w:val="center"/>
          </w:tcPr>
          <w:p w14:paraId="230314DC"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Monetary cost of the preventive measure</w:t>
            </w:r>
          </w:p>
        </w:tc>
        <w:tc>
          <w:tcPr>
            <w:tcW w:w="2551" w:type="dxa"/>
            <w:vAlign w:val="center"/>
          </w:tcPr>
          <w:p w14:paraId="4843F77D"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2.1 ± 1.5 (3.0) [-1 to 3]</w:t>
            </w:r>
          </w:p>
        </w:tc>
        <w:tc>
          <w:tcPr>
            <w:tcW w:w="2551" w:type="dxa"/>
            <w:vAlign w:val="center"/>
          </w:tcPr>
          <w:p w14:paraId="727A5FC2"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2.3 ± 1.5 (3.0) [0 to 3]</w:t>
            </w:r>
          </w:p>
        </w:tc>
        <w:tc>
          <w:tcPr>
            <w:tcW w:w="2552" w:type="dxa"/>
            <w:vAlign w:val="center"/>
          </w:tcPr>
          <w:p w14:paraId="5BB87E26"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2.0 ± 1.7 (3.0) [-1 to 3]</w:t>
            </w:r>
          </w:p>
        </w:tc>
      </w:tr>
      <w:tr w:rsidR="00026BC2" w:rsidRPr="00E36543" w14:paraId="45160289" w14:textId="77777777" w:rsidTr="00D354DB">
        <w:tc>
          <w:tcPr>
            <w:tcW w:w="3261" w:type="dxa"/>
            <w:shd w:val="clear" w:color="auto" w:fill="D9D9D9" w:themeFill="background1" w:themeFillShade="D9"/>
            <w:vAlign w:val="center"/>
          </w:tcPr>
          <w:p w14:paraId="70BA86B1" w14:textId="77777777" w:rsidR="00026BC2" w:rsidRPr="00612C7C" w:rsidRDefault="00026BC2"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11: Impact on other costs</w:t>
            </w:r>
          </w:p>
        </w:tc>
        <w:tc>
          <w:tcPr>
            <w:tcW w:w="2551" w:type="dxa"/>
            <w:shd w:val="clear" w:color="auto" w:fill="D9D9D9" w:themeFill="background1" w:themeFillShade="D9"/>
            <w:vAlign w:val="center"/>
          </w:tcPr>
          <w:p w14:paraId="3ECE2239" w14:textId="77777777" w:rsidR="00026BC2" w:rsidRPr="00612C7C"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0503AA2B" w14:textId="77777777" w:rsidR="00026BC2" w:rsidRPr="00612C7C"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78A3F5B4" w14:textId="77777777" w:rsidR="00026BC2" w:rsidRPr="00612C7C" w:rsidRDefault="00026BC2" w:rsidP="00D354DB">
            <w:pPr>
              <w:jc w:val="center"/>
              <w:rPr>
                <w:rFonts w:ascii="Times New Roman" w:hAnsi="Times New Roman" w:cs="Times New Roman"/>
                <w:b/>
                <w:bCs/>
                <w:sz w:val="20"/>
                <w:szCs w:val="20"/>
                <w:lang w:val="en-US"/>
              </w:rPr>
            </w:pPr>
          </w:p>
        </w:tc>
      </w:tr>
      <w:tr w:rsidR="00026BC2" w:rsidRPr="00612C7C" w14:paraId="63051F2C" w14:textId="77777777" w:rsidTr="00D354DB">
        <w:tc>
          <w:tcPr>
            <w:tcW w:w="3261" w:type="dxa"/>
            <w:vAlign w:val="center"/>
          </w:tcPr>
          <w:p w14:paraId="786C1D41"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Cost of the disease on the health system (excludes acquisition cost)</w:t>
            </w:r>
          </w:p>
        </w:tc>
        <w:tc>
          <w:tcPr>
            <w:tcW w:w="2551" w:type="dxa"/>
            <w:vAlign w:val="center"/>
          </w:tcPr>
          <w:p w14:paraId="66AB3E7F"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3.0 ± 1.7 (4.0) [0 to 5]</w:t>
            </w:r>
          </w:p>
        </w:tc>
        <w:tc>
          <w:tcPr>
            <w:tcW w:w="2551" w:type="dxa"/>
            <w:vAlign w:val="center"/>
          </w:tcPr>
          <w:p w14:paraId="52897FF4"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1.8 ± 1.7 (1.5) [0 to 4]</w:t>
            </w:r>
          </w:p>
        </w:tc>
        <w:tc>
          <w:tcPr>
            <w:tcW w:w="2552" w:type="dxa"/>
            <w:vAlign w:val="center"/>
          </w:tcPr>
          <w:p w14:paraId="7FFE8A1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4.0 ± 0.7 (4.0) [3 to 5]</w:t>
            </w:r>
          </w:p>
        </w:tc>
      </w:tr>
      <w:tr w:rsidR="00026BC2" w:rsidRPr="00612C7C" w14:paraId="6784E523" w14:textId="77777777" w:rsidTr="00D354DB">
        <w:tc>
          <w:tcPr>
            <w:tcW w:w="3261" w:type="dxa"/>
            <w:vAlign w:val="center"/>
          </w:tcPr>
          <w:p w14:paraId="5689D471"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Productivity cost: absenteeism</w:t>
            </w:r>
          </w:p>
        </w:tc>
        <w:tc>
          <w:tcPr>
            <w:tcW w:w="2551" w:type="dxa"/>
            <w:vAlign w:val="center"/>
          </w:tcPr>
          <w:p w14:paraId="00A7DDC1"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2.2 ± 1.3 (2.0) [0 to 4]</w:t>
            </w:r>
          </w:p>
        </w:tc>
        <w:tc>
          <w:tcPr>
            <w:tcW w:w="2551" w:type="dxa"/>
            <w:vAlign w:val="center"/>
          </w:tcPr>
          <w:p w14:paraId="42F2DB67"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1.3 ± 1.0 (1.5) [0 to 2]</w:t>
            </w:r>
          </w:p>
        </w:tc>
        <w:tc>
          <w:tcPr>
            <w:tcW w:w="2552" w:type="dxa"/>
            <w:vAlign w:val="center"/>
          </w:tcPr>
          <w:p w14:paraId="79D7D149"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3.0 ± 1.0 (3.0) [2 to 4]</w:t>
            </w:r>
          </w:p>
        </w:tc>
      </w:tr>
      <w:tr w:rsidR="00026BC2" w:rsidRPr="00612C7C" w14:paraId="5C497788" w14:textId="77777777" w:rsidTr="00D354DB">
        <w:tc>
          <w:tcPr>
            <w:tcW w:w="3261" w:type="dxa"/>
            <w:vAlign w:val="center"/>
          </w:tcPr>
          <w:p w14:paraId="70576739" w14:textId="77777777" w:rsidR="00026BC2" w:rsidRPr="00612C7C" w:rsidRDefault="00026BC2"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Cost of the disease on the patient (out-of-pocket expenses)</w:t>
            </w:r>
          </w:p>
        </w:tc>
        <w:tc>
          <w:tcPr>
            <w:tcW w:w="2551" w:type="dxa"/>
            <w:vAlign w:val="center"/>
          </w:tcPr>
          <w:p w14:paraId="641FEB0B"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2.2 ± 1.2 (2.0) [0 to 4]</w:t>
            </w:r>
          </w:p>
        </w:tc>
        <w:tc>
          <w:tcPr>
            <w:tcW w:w="2551" w:type="dxa"/>
            <w:vAlign w:val="center"/>
          </w:tcPr>
          <w:p w14:paraId="3788F038"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1.8 ± 1.5 (2.0) [0 to 3]</w:t>
            </w:r>
          </w:p>
        </w:tc>
        <w:tc>
          <w:tcPr>
            <w:tcW w:w="2552" w:type="dxa"/>
            <w:vAlign w:val="center"/>
          </w:tcPr>
          <w:p w14:paraId="1B746B6A" w14:textId="77777777" w:rsidR="00026BC2" w:rsidRPr="00612C7C"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2.6 ± 0.9 (2.0) [2 to 4]</w:t>
            </w:r>
          </w:p>
        </w:tc>
      </w:tr>
      <w:tr w:rsidR="00026BC2" w:rsidRPr="00612C7C" w14:paraId="5C23351E" w14:textId="77777777" w:rsidTr="00D354DB">
        <w:tc>
          <w:tcPr>
            <w:tcW w:w="3261" w:type="dxa"/>
            <w:shd w:val="clear" w:color="auto" w:fill="D9D9D9" w:themeFill="background1" w:themeFillShade="D9"/>
            <w:vAlign w:val="center"/>
          </w:tcPr>
          <w:p w14:paraId="097B74D3" w14:textId="77777777" w:rsidR="00026BC2" w:rsidRPr="00D16855" w:rsidRDefault="00026BC2" w:rsidP="00D354DB">
            <w:pPr>
              <w:rPr>
                <w:rFonts w:ascii="Times New Roman" w:hAnsi="Times New Roman" w:cs="Times New Roman"/>
                <w:b/>
                <w:bCs/>
                <w:sz w:val="20"/>
                <w:szCs w:val="20"/>
                <w:lang w:val="en-US"/>
              </w:rPr>
            </w:pPr>
            <w:r w:rsidRPr="00D16855">
              <w:rPr>
                <w:rFonts w:ascii="Times New Roman" w:hAnsi="Times New Roman" w:cs="Times New Roman"/>
                <w:b/>
                <w:bCs/>
                <w:sz w:val="20"/>
                <w:szCs w:val="20"/>
                <w:lang w:val="en-US"/>
              </w:rPr>
              <w:t>Domain 12: Social benefits</w:t>
            </w:r>
          </w:p>
        </w:tc>
        <w:tc>
          <w:tcPr>
            <w:tcW w:w="2551" w:type="dxa"/>
            <w:shd w:val="clear" w:color="auto" w:fill="D9D9D9" w:themeFill="background1" w:themeFillShade="D9"/>
            <w:vAlign w:val="center"/>
          </w:tcPr>
          <w:p w14:paraId="603D8304" w14:textId="77777777" w:rsidR="00026BC2" w:rsidRPr="00D16855" w:rsidRDefault="00026BC2"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32D80B6B" w14:textId="77777777" w:rsidR="00026BC2" w:rsidRPr="00D16855" w:rsidRDefault="00026BC2"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253ACEFB" w14:textId="77777777" w:rsidR="00026BC2" w:rsidRPr="00D16855" w:rsidRDefault="00026BC2" w:rsidP="00D354DB">
            <w:pPr>
              <w:jc w:val="center"/>
              <w:rPr>
                <w:rFonts w:ascii="Times New Roman" w:hAnsi="Times New Roman" w:cs="Times New Roman"/>
                <w:b/>
                <w:bCs/>
                <w:sz w:val="20"/>
                <w:szCs w:val="20"/>
                <w:lang w:val="en-US"/>
              </w:rPr>
            </w:pPr>
          </w:p>
        </w:tc>
      </w:tr>
      <w:tr w:rsidR="00026BC2" w:rsidRPr="00612C7C" w14:paraId="3F414C68" w14:textId="77777777" w:rsidTr="00D354DB">
        <w:tc>
          <w:tcPr>
            <w:tcW w:w="3261" w:type="dxa"/>
            <w:vAlign w:val="center"/>
          </w:tcPr>
          <w:p w14:paraId="4DB9BA1B" w14:textId="77777777" w:rsidR="00026BC2" w:rsidRPr="001A3B8B" w:rsidRDefault="00026BC2" w:rsidP="00D354DB">
            <w:pPr>
              <w:rPr>
                <w:rFonts w:ascii="Times New Roman" w:hAnsi="Times New Roman" w:cs="Times New Roman"/>
                <w:sz w:val="20"/>
                <w:szCs w:val="20"/>
                <w:lang w:val="en-US"/>
              </w:rPr>
            </w:pPr>
            <w:r w:rsidRPr="001A3B8B">
              <w:rPr>
                <w:rFonts w:ascii="Times New Roman" w:hAnsi="Times New Roman" w:cs="Times New Roman"/>
                <w:sz w:val="20"/>
                <w:szCs w:val="20"/>
                <w:lang w:val="en-US"/>
              </w:rPr>
              <w:t>Impact on health inequity</w:t>
            </w:r>
          </w:p>
        </w:tc>
        <w:tc>
          <w:tcPr>
            <w:tcW w:w="2551" w:type="dxa"/>
            <w:vAlign w:val="center"/>
          </w:tcPr>
          <w:p w14:paraId="69258176"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2.3 ± 1.4 (2.0) [0 to 5]</w:t>
            </w:r>
          </w:p>
        </w:tc>
        <w:tc>
          <w:tcPr>
            <w:tcW w:w="2551" w:type="dxa"/>
            <w:vAlign w:val="center"/>
          </w:tcPr>
          <w:p w14:paraId="5EE47C09"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1.8 ± 1.5 (2.0) [0 to 3]</w:t>
            </w:r>
          </w:p>
        </w:tc>
        <w:tc>
          <w:tcPr>
            <w:tcW w:w="2552" w:type="dxa"/>
            <w:vAlign w:val="center"/>
          </w:tcPr>
          <w:p w14:paraId="7E773BE2"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2.8 ± 1.3 (2.0) [2 to 5]</w:t>
            </w:r>
          </w:p>
        </w:tc>
      </w:tr>
      <w:tr w:rsidR="00026BC2" w:rsidRPr="00612C7C" w14:paraId="5C6F82B5" w14:textId="77777777" w:rsidTr="00D354DB">
        <w:tc>
          <w:tcPr>
            <w:tcW w:w="3261" w:type="dxa"/>
            <w:vAlign w:val="center"/>
          </w:tcPr>
          <w:p w14:paraId="471CFCA2" w14:textId="77777777" w:rsidR="00026BC2" w:rsidRPr="001A3B8B" w:rsidRDefault="00026BC2" w:rsidP="00D354DB">
            <w:pPr>
              <w:rPr>
                <w:rFonts w:ascii="Times New Roman" w:hAnsi="Times New Roman" w:cs="Times New Roman"/>
                <w:sz w:val="20"/>
                <w:szCs w:val="20"/>
                <w:lang w:val="en-US"/>
              </w:rPr>
            </w:pPr>
            <w:r w:rsidRPr="001A3B8B">
              <w:rPr>
                <w:rFonts w:ascii="Times New Roman" w:hAnsi="Times New Roman" w:cs="Times New Roman"/>
                <w:sz w:val="20"/>
                <w:szCs w:val="20"/>
                <w:lang w:val="en-US"/>
              </w:rPr>
              <w:t>Public health awareness (including antibiotic resistance)</w:t>
            </w:r>
          </w:p>
        </w:tc>
        <w:tc>
          <w:tcPr>
            <w:tcW w:w="2551" w:type="dxa"/>
            <w:vAlign w:val="center"/>
          </w:tcPr>
          <w:p w14:paraId="3E14BE4D"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1.8 ± 1.5 (2.0) [0 to 5]</w:t>
            </w:r>
          </w:p>
        </w:tc>
        <w:tc>
          <w:tcPr>
            <w:tcW w:w="2551" w:type="dxa"/>
            <w:vAlign w:val="center"/>
          </w:tcPr>
          <w:p w14:paraId="3CD55595"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1.3 ± 1.0 (1.5) [0 to 2]</w:t>
            </w:r>
          </w:p>
        </w:tc>
        <w:tc>
          <w:tcPr>
            <w:tcW w:w="2552" w:type="dxa"/>
            <w:vAlign w:val="center"/>
          </w:tcPr>
          <w:p w14:paraId="5F410527"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2.2 ± 1.8 (2.0) [0 to 5]</w:t>
            </w:r>
          </w:p>
        </w:tc>
      </w:tr>
      <w:tr w:rsidR="00026BC2" w:rsidRPr="00612C7C" w14:paraId="4090AA3B" w14:textId="77777777" w:rsidTr="00D354DB">
        <w:tc>
          <w:tcPr>
            <w:tcW w:w="3261" w:type="dxa"/>
            <w:vAlign w:val="center"/>
          </w:tcPr>
          <w:p w14:paraId="3CF635EB" w14:textId="77777777" w:rsidR="00026BC2" w:rsidRPr="001A3B8B" w:rsidRDefault="00026BC2" w:rsidP="00D354DB">
            <w:pPr>
              <w:rPr>
                <w:rFonts w:ascii="Times New Roman" w:hAnsi="Times New Roman" w:cs="Times New Roman"/>
                <w:sz w:val="20"/>
                <w:szCs w:val="20"/>
                <w:lang w:val="en-US"/>
              </w:rPr>
            </w:pPr>
            <w:r w:rsidRPr="001A3B8B">
              <w:rPr>
                <w:rFonts w:ascii="Times New Roman" w:hAnsi="Times New Roman" w:cs="Times New Roman"/>
                <w:sz w:val="20"/>
                <w:szCs w:val="20"/>
                <w:lang w:val="en-US"/>
              </w:rPr>
              <w:t>Innovation stimulus</w:t>
            </w:r>
          </w:p>
        </w:tc>
        <w:tc>
          <w:tcPr>
            <w:tcW w:w="2551" w:type="dxa"/>
            <w:vAlign w:val="center"/>
          </w:tcPr>
          <w:p w14:paraId="4C7F3BE2"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3.6 ± 1.4 (4.0) [1 to 5]</w:t>
            </w:r>
          </w:p>
        </w:tc>
        <w:tc>
          <w:tcPr>
            <w:tcW w:w="2551" w:type="dxa"/>
            <w:vAlign w:val="center"/>
          </w:tcPr>
          <w:p w14:paraId="482919D4"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3.8 ± 1.9 (4.5) [1 to 5]</w:t>
            </w:r>
          </w:p>
        </w:tc>
        <w:tc>
          <w:tcPr>
            <w:tcW w:w="2552" w:type="dxa"/>
            <w:vAlign w:val="center"/>
          </w:tcPr>
          <w:p w14:paraId="6BD0B3DA" w14:textId="77777777" w:rsidR="00026BC2" w:rsidRPr="001A3B8B" w:rsidRDefault="00026BC2"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3.4 ± 1.1 (3.0) [2 to 5]</w:t>
            </w:r>
          </w:p>
        </w:tc>
      </w:tr>
    </w:tbl>
    <w:p w14:paraId="13E229DB" w14:textId="33D584CB" w:rsidR="00026BC2" w:rsidRDefault="00026BC2" w:rsidP="005B0291">
      <w:pPr>
        <w:spacing w:before="120" w:after="120" w:line="240" w:lineRule="auto"/>
        <w:jc w:val="both"/>
        <w:rPr>
          <w:rFonts w:ascii="Times New Roman" w:hAnsi="Times New Roman" w:cs="Times New Roman"/>
          <w:sz w:val="24"/>
          <w:szCs w:val="24"/>
          <w:lang w:val="en-US"/>
        </w:rPr>
      </w:pPr>
    </w:p>
    <w:p w14:paraId="1686761F" w14:textId="2EAF41D1" w:rsidR="0012694A" w:rsidRDefault="0012694A" w:rsidP="00330B03">
      <w:pPr>
        <w:pStyle w:val="Ttulo2"/>
        <w:numPr>
          <w:ilvl w:val="0"/>
          <w:numId w:val="36"/>
        </w:numPr>
        <w:spacing w:after="0" w:line="360" w:lineRule="auto"/>
        <w:ind w:left="426"/>
        <w:rPr>
          <w:rFonts w:cs="Times New Roman"/>
          <w:szCs w:val="24"/>
          <w:lang w:val="en-US"/>
        </w:rPr>
      </w:pPr>
      <w:bookmarkStart w:id="15" w:name="_Toc135731185"/>
      <w:r>
        <w:rPr>
          <w:rFonts w:cs="Times New Roman"/>
          <w:szCs w:val="24"/>
          <w:lang w:val="en-US"/>
        </w:rPr>
        <w:lastRenderedPageBreak/>
        <w:t>Final estimated value</w:t>
      </w:r>
      <w:r w:rsidR="005B0291">
        <w:rPr>
          <w:rFonts w:cs="Times New Roman"/>
          <w:szCs w:val="24"/>
          <w:lang w:val="en-US"/>
        </w:rPr>
        <w:t>s</w:t>
      </w:r>
      <w:bookmarkEnd w:id="15"/>
    </w:p>
    <w:p w14:paraId="376A4B1C" w14:textId="0AF1293D" w:rsidR="005574C0" w:rsidRDefault="005574C0" w:rsidP="005574C0">
      <w:pPr>
        <w:pStyle w:val="Descripcin"/>
        <w:spacing w:after="0"/>
        <w:jc w:val="both"/>
        <w:rPr>
          <w:rFonts w:ascii="Times New Roman" w:hAnsi="Times New Roman" w:cs="Times New Roman"/>
          <w:b/>
          <w:bCs/>
          <w:i w:val="0"/>
          <w:iCs w:val="0"/>
          <w:color w:val="auto"/>
          <w:sz w:val="24"/>
          <w:szCs w:val="24"/>
          <w:lang w:val="en-US"/>
        </w:rPr>
      </w:pPr>
      <w:bookmarkStart w:id="16" w:name="_Toc116377718"/>
      <w:r w:rsidRPr="00AB4B75">
        <w:rPr>
          <w:rFonts w:ascii="Times New Roman" w:hAnsi="Times New Roman" w:cs="Times New Roman"/>
          <w:b/>
          <w:bCs/>
          <w:i w:val="0"/>
          <w:iCs w:val="0"/>
          <w:color w:val="auto"/>
          <w:sz w:val="24"/>
          <w:szCs w:val="24"/>
          <w:lang w:val="en-US"/>
        </w:rPr>
        <w:t>Tab</w:t>
      </w:r>
      <w:r>
        <w:rPr>
          <w:rFonts w:ascii="Times New Roman" w:hAnsi="Times New Roman" w:cs="Times New Roman"/>
          <w:b/>
          <w:bCs/>
          <w:i w:val="0"/>
          <w:iCs w:val="0"/>
          <w:color w:val="auto"/>
          <w:sz w:val="24"/>
          <w:szCs w:val="24"/>
          <w:lang w:val="en-US"/>
        </w:rPr>
        <w:t>le</w:t>
      </w:r>
      <w:r w:rsidRPr="00AB4B75">
        <w:rPr>
          <w:rFonts w:ascii="Times New Roman" w:hAnsi="Times New Roman" w:cs="Times New Roman"/>
          <w:b/>
          <w:bCs/>
          <w:i w:val="0"/>
          <w:iCs w:val="0"/>
          <w:color w:val="auto"/>
          <w:sz w:val="24"/>
          <w:szCs w:val="24"/>
          <w:lang w:val="en-US"/>
        </w:rPr>
        <w:t xml:space="preserve"> (S</w:t>
      </w:r>
      <w:r>
        <w:rPr>
          <w:rFonts w:ascii="Times New Roman" w:hAnsi="Times New Roman" w:cs="Times New Roman"/>
          <w:b/>
          <w:bCs/>
          <w:i w:val="0"/>
          <w:iCs w:val="0"/>
          <w:color w:val="auto"/>
          <w:sz w:val="24"/>
          <w:szCs w:val="24"/>
          <w:lang w:val="en-US"/>
        </w:rPr>
        <w:t>9</w:t>
      </w:r>
      <w:r w:rsidRPr="00AB4B75">
        <w:rPr>
          <w:rFonts w:ascii="Times New Roman" w:hAnsi="Times New Roman" w:cs="Times New Roman"/>
          <w:b/>
          <w:bCs/>
          <w:i w:val="0"/>
          <w:iCs w:val="0"/>
          <w:color w:val="auto"/>
          <w:sz w:val="24"/>
          <w:szCs w:val="24"/>
          <w:lang w:val="en-US"/>
        </w:rPr>
        <w:t>).</w:t>
      </w:r>
      <w:r w:rsidR="00B25DE1">
        <w:rPr>
          <w:rFonts w:ascii="Times New Roman" w:hAnsi="Times New Roman" w:cs="Times New Roman"/>
          <w:b/>
          <w:bCs/>
          <w:i w:val="0"/>
          <w:iCs w:val="0"/>
          <w:color w:val="auto"/>
          <w:sz w:val="24"/>
          <w:szCs w:val="24"/>
          <w:lang w:val="en-US"/>
        </w:rPr>
        <w:t>4</w:t>
      </w:r>
      <w:r w:rsidRPr="00AB4B75">
        <w:rPr>
          <w:rFonts w:ascii="Times New Roman" w:hAnsi="Times New Roman" w:cs="Times New Roman"/>
          <w:b/>
          <w:bCs/>
          <w:i w:val="0"/>
          <w:iCs w:val="0"/>
          <w:color w:val="auto"/>
          <w:sz w:val="24"/>
          <w:szCs w:val="24"/>
          <w:lang w:val="en-US"/>
        </w:rPr>
        <w:t xml:space="preserve">: </w:t>
      </w:r>
      <w:r>
        <w:rPr>
          <w:rFonts w:ascii="Times New Roman" w:hAnsi="Times New Roman" w:cs="Times New Roman"/>
          <w:b/>
          <w:bCs/>
          <w:i w:val="0"/>
          <w:iCs w:val="0"/>
          <w:color w:val="auto"/>
          <w:sz w:val="24"/>
          <w:szCs w:val="24"/>
          <w:lang w:val="en-US"/>
        </w:rPr>
        <w:t>Value estimates</w:t>
      </w:r>
      <w:r w:rsidRPr="00AB4B75">
        <w:rPr>
          <w:rFonts w:ascii="Times New Roman" w:hAnsi="Times New Roman" w:cs="Times New Roman"/>
          <w:b/>
          <w:bCs/>
          <w:i w:val="0"/>
          <w:iCs w:val="0"/>
          <w:color w:val="auto"/>
          <w:sz w:val="24"/>
          <w:szCs w:val="24"/>
          <w:lang w:val="en-US"/>
        </w:rPr>
        <w:t>, overall and by subgroup</w:t>
      </w:r>
      <w:r>
        <w:rPr>
          <w:rFonts w:ascii="Times New Roman" w:hAnsi="Times New Roman" w:cs="Times New Roman"/>
          <w:b/>
          <w:bCs/>
          <w:i w:val="0"/>
          <w:iCs w:val="0"/>
          <w:color w:val="auto"/>
          <w:sz w:val="24"/>
          <w:szCs w:val="24"/>
          <w:lang w:val="en-US"/>
        </w:rPr>
        <w:t>, nirsevimab vs. palivizumab</w:t>
      </w:r>
      <w:bookmarkEnd w:id="16"/>
    </w:p>
    <w:p w14:paraId="03D03091" w14:textId="77777777" w:rsidR="005574C0" w:rsidRDefault="005574C0" w:rsidP="005574C0">
      <w:pPr>
        <w:spacing w:after="0" w:line="240" w:lineRule="auto"/>
        <w:rPr>
          <w:rFonts w:ascii="Times New Roman" w:hAnsi="Times New Roman" w:cs="Times New Roman"/>
          <w:lang w:val="en-US"/>
        </w:rPr>
      </w:pPr>
      <w:r w:rsidRPr="00940179">
        <w:rPr>
          <w:rFonts w:ascii="Times New Roman" w:hAnsi="Times New Roman" w:cs="Times New Roman"/>
          <w:lang w:val="en-US"/>
        </w:rPr>
        <w:t>Mean ± standard deviation</w:t>
      </w:r>
      <w:r>
        <w:rPr>
          <w:rFonts w:ascii="Times New Roman" w:hAnsi="Times New Roman" w:cs="Times New Roman"/>
          <w:lang w:val="en-US"/>
        </w:rPr>
        <w:t xml:space="preserve"> [</w:t>
      </w:r>
      <w:r w:rsidRPr="00940179">
        <w:rPr>
          <w:rFonts w:ascii="Times New Roman" w:hAnsi="Times New Roman" w:cs="Times New Roman"/>
          <w:lang w:val="en-US"/>
        </w:rPr>
        <w:t>min</w:t>
      </w:r>
      <w:r>
        <w:rPr>
          <w:rFonts w:ascii="Times New Roman" w:hAnsi="Times New Roman" w:cs="Times New Roman"/>
          <w:lang w:val="en-US"/>
        </w:rPr>
        <w:t xml:space="preserve"> to</w:t>
      </w:r>
      <w:r w:rsidRPr="00940179">
        <w:rPr>
          <w:rFonts w:ascii="Times New Roman" w:hAnsi="Times New Roman" w:cs="Times New Roman"/>
          <w:lang w:val="en-US"/>
        </w:rPr>
        <w:t xml:space="preserve"> max</w:t>
      </w:r>
      <w:r>
        <w:rPr>
          <w:rFonts w:ascii="Times New Roman" w:hAnsi="Times New Roman" w:cs="Times New Roman"/>
          <w:lang w:val="en-US"/>
        </w:rPr>
        <w:t>]</w:t>
      </w:r>
    </w:p>
    <w:p w14:paraId="64E3D169" w14:textId="77777777" w:rsidR="005574C0" w:rsidRPr="00940179" w:rsidRDefault="005574C0" w:rsidP="005574C0">
      <w:pPr>
        <w:spacing w:after="0" w:line="240" w:lineRule="auto"/>
        <w:rPr>
          <w:rFonts w:ascii="Times New Roman" w:hAnsi="Times New Roman" w:cs="Times New Roman"/>
          <w:lang w:val="en-US"/>
        </w:rPr>
      </w:pPr>
    </w:p>
    <w:tbl>
      <w:tblPr>
        <w:tblStyle w:val="Tablaconcuadrcula"/>
        <w:tblW w:w="10915" w:type="dxa"/>
        <w:tblInd w:w="-1139" w:type="dxa"/>
        <w:tblLook w:val="04A0" w:firstRow="1" w:lastRow="0" w:firstColumn="1" w:lastColumn="0" w:noHBand="0" w:noVBand="1"/>
      </w:tblPr>
      <w:tblGrid>
        <w:gridCol w:w="3261"/>
        <w:gridCol w:w="2551"/>
        <w:gridCol w:w="2551"/>
        <w:gridCol w:w="2552"/>
      </w:tblGrid>
      <w:tr w:rsidR="005574C0" w:rsidRPr="00612C7C" w14:paraId="6D0ED503" w14:textId="77777777" w:rsidTr="00D354DB">
        <w:tc>
          <w:tcPr>
            <w:tcW w:w="3261" w:type="dxa"/>
            <w:shd w:val="clear" w:color="auto" w:fill="000000" w:themeFill="text1"/>
            <w:vAlign w:val="center"/>
          </w:tcPr>
          <w:p w14:paraId="12E5A5D4"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Criteria</w:t>
            </w:r>
          </w:p>
        </w:tc>
        <w:tc>
          <w:tcPr>
            <w:tcW w:w="2551" w:type="dxa"/>
            <w:shd w:val="clear" w:color="auto" w:fill="000000" w:themeFill="text1"/>
            <w:vAlign w:val="center"/>
          </w:tcPr>
          <w:p w14:paraId="0F177316" w14:textId="77777777" w:rsidR="005574C0" w:rsidRPr="00612C7C" w:rsidRDefault="005574C0" w:rsidP="00D354DB">
            <w:pPr>
              <w:jc w:val="center"/>
              <w:rPr>
                <w:rFonts w:ascii="Times New Roman" w:hAnsi="Times New Roman" w:cs="Times New Roman"/>
                <w:sz w:val="20"/>
                <w:szCs w:val="20"/>
                <w:lang w:val="en-US"/>
              </w:rPr>
            </w:pPr>
            <w:r w:rsidRPr="00612C7C">
              <w:rPr>
                <w:rFonts w:ascii="Times New Roman" w:hAnsi="Times New Roman" w:cs="Times New Roman"/>
                <w:sz w:val="20"/>
                <w:szCs w:val="20"/>
                <w:lang w:val="en-US"/>
              </w:rPr>
              <w:t>Overall (n=9)</w:t>
            </w:r>
          </w:p>
        </w:tc>
        <w:tc>
          <w:tcPr>
            <w:tcW w:w="2551" w:type="dxa"/>
            <w:shd w:val="clear" w:color="auto" w:fill="000000" w:themeFill="text1"/>
            <w:vAlign w:val="center"/>
          </w:tcPr>
          <w:p w14:paraId="11A6C7E5" w14:textId="77777777" w:rsidR="005574C0" w:rsidRPr="00612C7C" w:rsidRDefault="005574C0" w:rsidP="00D354DB">
            <w:pPr>
              <w:jc w:val="center"/>
              <w:rPr>
                <w:rFonts w:ascii="Times New Roman" w:hAnsi="Times New Roman" w:cs="Times New Roman"/>
                <w:sz w:val="20"/>
                <w:szCs w:val="20"/>
                <w:lang w:val="en-US"/>
              </w:rPr>
            </w:pPr>
            <w:r w:rsidRPr="00612C7C">
              <w:rPr>
                <w:rFonts w:ascii="Times New Roman" w:hAnsi="Times New Roman" w:cs="Times New Roman"/>
                <w:sz w:val="20"/>
                <w:szCs w:val="20"/>
                <w:lang w:val="en-US"/>
              </w:rPr>
              <w:t>Clinicians (n=4)</w:t>
            </w:r>
          </w:p>
        </w:tc>
        <w:tc>
          <w:tcPr>
            <w:tcW w:w="2552" w:type="dxa"/>
            <w:shd w:val="clear" w:color="auto" w:fill="000000" w:themeFill="text1"/>
            <w:vAlign w:val="center"/>
          </w:tcPr>
          <w:p w14:paraId="464F58CF" w14:textId="77777777" w:rsidR="005574C0" w:rsidRPr="00612C7C" w:rsidRDefault="005574C0" w:rsidP="00D354DB">
            <w:pPr>
              <w:jc w:val="center"/>
              <w:rPr>
                <w:rFonts w:ascii="Times New Roman" w:hAnsi="Times New Roman" w:cs="Times New Roman"/>
                <w:sz w:val="20"/>
                <w:szCs w:val="20"/>
                <w:lang w:val="en-US"/>
              </w:rPr>
            </w:pPr>
            <w:r w:rsidRPr="00612C7C">
              <w:rPr>
                <w:rFonts w:ascii="Times New Roman" w:hAnsi="Times New Roman" w:cs="Times New Roman"/>
                <w:sz w:val="20"/>
                <w:szCs w:val="20"/>
                <w:lang w:val="en-US"/>
              </w:rPr>
              <w:t>Managers (n=5)</w:t>
            </w:r>
          </w:p>
        </w:tc>
      </w:tr>
      <w:tr w:rsidR="005574C0" w:rsidRPr="00612C7C" w14:paraId="3B9CECD4" w14:textId="77777777" w:rsidTr="00D354DB">
        <w:tc>
          <w:tcPr>
            <w:tcW w:w="3261" w:type="dxa"/>
            <w:shd w:val="clear" w:color="auto" w:fill="D9D9D9" w:themeFill="background1" w:themeFillShade="D9"/>
            <w:vAlign w:val="center"/>
          </w:tcPr>
          <w:p w14:paraId="6D0ECFCB"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1: Severity of disease</w:t>
            </w:r>
          </w:p>
        </w:tc>
        <w:tc>
          <w:tcPr>
            <w:tcW w:w="2551" w:type="dxa"/>
            <w:shd w:val="clear" w:color="auto" w:fill="D9D9D9" w:themeFill="background1" w:themeFillShade="D9"/>
            <w:vAlign w:val="center"/>
          </w:tcPr>
          <w:p w14:paraId="6C469AC0"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6BABA944"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338976BD"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06452E8F" w14:textId="77777777" w:rsidTr="00D354DB">
        <w:tc>
          <w:tcPr>
            <w:tcW w:w="3261" w:type="dxa"/>
            <w:vAlign w:val="center"/>
          </w:tcPr>
          <w:p w14:paraId="0E365563"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Severity of symptoms</w:t>
            </w:r>
          </w:p>
        </w:tc>
        <w:tc>
          <w:tcPr>
            <w:tcW w:w="2551" w:type="dxa"/>
            <w:vAlign w:val="center"/>
          </w:tcPr>
          <w:p w14:paraId="55767EAC"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[0.01 to 0.04]</w:t>
            </w:r>
          </w:p>
        </w:tc>
        <w:tc>
          <w:tcPr>
            <w:tcW w:w="2551" w:type="dxa"/>
            <w:vAlign w:val="center"/>
          </w:tcPr>
          <w:p w14:paraId="3DE65FCE"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c>
          <w:tcPr>
            <w:tcW w:w="2552" w:type="dxa"/>
            <w:vAlign w:val="center"/>
          </w:tcPr>
          <w:p w14:paraId="49F63B13"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[0.01 to 0.04]</w:t>
            </w:r>
          </w:p>
        </w:tc>
      </w:tr>
      <w:tr w:rsidR="005574C0" w:rsidRPr="00612C7C" w14:paraId="79966AE7" w14:textId="77777777" w:rsidTr="00D354DB">
        <w:tc>
          <w:tcPr>
            <w:tcW w:w="3261" w:type="dxa"/>
            <w:vAlign w:val="center"/>
          </w:tcPr>
          <w:p w14:paraId="2717D195"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Lethality risk</w:t>
            </w:r>
          </w:p>
        </w:tc>
        <w:tc>
          <w:tcPr>
            <w:tcW w:w="2551" w:type="dxa"/>
            <w:vAlign w:val="center"/>
          </w:tcPr>
          <w:p w14:paraId="57D00C5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0.04]</w:t>
            </w:r>
          </w:p>
        </w:tc>
        <w:tc>
          <w:tcPr>
            <w:tcW w:w="2551" w:type="dxa"/>
            <w:vAlign w:val="center"/>
          </w:tcPr>
          <w:p w14:paraId="6376E6F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0.02 [0.00 to 0.04]</w:t>
            </w:r>
          </w:p>
        </w:tc>
        <w:tc>
          <w:tcPr>
            <w:tcW w:w="2552" w:type="dxa"/>
            <w:vAlign w:val="center"/>
          </w:tcPr>
          <w:p w14:paraId="638828E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r>
      <w:tr w:rsidR="005574C0" w:rsidRPr="00612C7C" w14:paraId="1821EFD2" w14:textId="77777777" w:rsidTr="00D354DB">
        <w:tc>
          <w:tcPr>
            <w:tcW w:w="3261" w:type="dxa"/>
            <w:vAlign w:val="center"/>
          </w:tcPr>
          <w:p w14:paraId="1A900E37"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Comorbidity risk</w:t>
            </w:r>
          </w:p>
        </w:tc>
        <w:tc>
          <w:tcPr>
            <w:tcW w:w="2551" w:type="dxa"/>
            <w:vAlign w:val="center"/>
          </w:tcPr>
          <w:p w14:paraId="237E15D8"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0.04]</w:t>
            </w:r>
          </w:p>
        </w:tc>
        <w:tc>
          <w:tcPr>
            <w:tcW w:w="2551" w:type="dxa"/>
            <w:vAlign w:val="center"/>
          </w:tcPr>
          <w:p w14:paraId="3718CC5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0.03]</w:t>
            </w:r>
          </w:p>
        </w:tc>
        <w:tc>
          <w:tcPr>
            <w:tcW w:w="2552" w:type="dxa"/>
            <w:vAlign w:val="center"/>
          </w:tcPr>
          <w:p w14:paraId="4D6433BE"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0.04]</w:t>
            </w:r>
          </w:p>
        </w:tc>
      </w:tr>
      <w:tr w:rsidR="005574C0" w:rsidRPr="00612C7C" w14:paraId="1EF18631" w14:textId="77777777" w:rsidTr="00D354DB">
        <w:tc>
          <w:tcPr>
            <w:tcW w:w="3261" w:type="dxa"/>
            <w:shd w:val="clear" w:color="auto" w:fill="D9D9D9" w:themeFill="background1" w:themeFillShade="D9"/>
            <w:vAlign w:val="center"/>
          </w:tcPr>
          <w:p w14:paraId="68F9FF10"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2: Burden of disease</w:t>
            </w:r>
          </w:p>
        </w:tc>
        <w:tc>
          <w:tcPr>
            <w:tcW w:w="2551" w:type="dxa"/>
            <w:shd w:val="clear" w:color="auto" w:fill="D9D9D9" w:themeFill="background1" w:themeFillShade="D9"/>
            <w:vAlign w:val="center"/>
          </w:tcPr>
          <w:p w14:paraId="59BAF65B"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7489F053"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6AD5963D"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1EF023A7" w14:textId="77777777" w:rsidTr="00D354DB">
        <w:tc>
          <w:tcPr>
            <w:tcW w:w="3261" w:type="dxa"/>
            <w:vAlign w:val="center"/>
          </w:tcPr>
          <w:p w14:paraId="32B5CC29"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Incidence of RSV cases</w:t>
            </w:r>
          </w:p>
        </w:tc>
        <w:tc>
          <w:tcPr>
            <w:tcW w:w="2551" w:type="dxa"/>
            <w:vAlign w:val="center"/>
          </w:tcPr>
          <w:p w14:paraId="036609E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c>
          <w:tcPr>
            <w:tcW w:w="2551" w:type="dxa"/>
            <w:vAlign w:val="center"/>
          </w:tcPr>
          <w:p w14:paraId="7C95AD10"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0.04]</w:t>
            </w:r>
          </w:p>
        </w:tc>
        <w:tc>
          <w:tcPr>
            <w:tcW w:w="2552" w:type="dxa"/>
            <w:vAlign w:val="center"/>
          </w:tcPr>
          <w:p w14:paraId="151D4516"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[0.03 to 0.05]</w:t>
            </w:r>
          </w:p>
        </w:tc>
      </w:tr>
      <w:tr w:rsidR="005574C0" w:rsidRPr="00612C7C" w14:paraId="4BCCA60A" w14:textId="77777777" w:rsidTr="00D354DB">
        <w:tc>
          <w:tcPr>
            <w:tcW w:w="3261" w:type="dxa"/>
            <w:vAlign w:val="center"/>
          </w:tcPr>
          <w:p w14:paraId="7D947C28"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Incidence on the outpatient setting</w:t>
            </w:r>
          </w:p>
        </w:tc>
        <w:tc>
          <w:tcPr>
            <w:tcW w:w="2551" w:type="dxa"/>
            <w:vAlign w:val="center"/>
          </w:tcPr>
          <w:p w14:paraId="446BF71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[0.01 to 0.05]</w:t>
            </w:r>
          </w:p>
        </w:tc>
        <w:tc>
          <w:tcPr>
            <w:tcW w:w="2551" w:type="dxa"/>
            <w:vAlign w:val="center"/>
          </w:tcPr>
          <w:p w14:paraId="7CF381EC"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0.02 [0.01 to 0.05]</w:t>
            </w:r>
          </w:p>
        </w:tc>
        <w:tc>
          <w:tcPr>
            <w:tcW w:w="2552" w:type="dxa"/>
            <w:vAlign w:val="center"/>
          </w:tcPr>
          <w:p w14:paraId="24CC470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[0.03 to 0.05]</w:t>
            </w:r>
          </w:p>
        </w:tc>
      </w:tr>
      <w:tr w:rsidR="005574C0" w:rsidRPr="00612C7C" w14:paraId="7A64B98D" w14:textId="77777777" w:rsidTr="00D354DB">
        <w:tc>
          <w:tcPr>
            <w:tcW w:w="3261" w:type="dxa"/>
            <w:vAlign w:val="center"/>
          </w:tcPr>
          <w:p w14:paraId="050A9BB6"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Incidence on the inpatient setting</w:t>
            </w:r>
          </w:p>
        </w:tc>
        <w:tc>
          <w:tcPr>
            <w:tcW w:w="2551" w:type="dxa"/>
            <w:vAlign w:val="center"/>
          </w:tcPr>
          <w:p w14:paraId="030452F0"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[0.01 to 0.06]</w:t>
            </w:r>
          </w:p>
        </w:tc>
        <w:tc>
          <w:tcPr>
            <w:tcW w:w="2551" w:type="dxa"/>
            <w:vAlign w:val="center"/>
          </w:tcPr>
          <w:p w14:paraId="57EE6F0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0.02 [0.01 to 0.06]</w:t>
            </w:r>
          </w:p>
        </w:tc>
        <w:tc>
          <w:tcPr>
            <w:tcW w:w="2552" w:type="dxa"/>
            <w:vAlign w:val="center"/>
          </w:tcPr>
          <w:p w14:paraId="7126D92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[0.01 to 0.04]</w:t>
            </w:r>
          </w:p>
        </w:tc>
      </w:tr>
      <w:tr w:rsidR="005574C0" w:rsidRPr="00612C7C" w14:paraId="147806F7" w14:textId="77777777" w:rsidTr="00D354DB">
        <w:tc>
          <w:tcPr>
            <w:tcW w:w="3261" w:type="dxa"/>
            <w:vAlign w:val="center"/>
          </w:tcPr>
          <w:p w14:paraId="052F4C17"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Time of duration of acute symptoms</w:t>
            </w:r>
          </w:p>
        </w:tc>
        <w:tc>
          <w:tcPr>
            <w:tcW w:w="2551" w:type="dxa"/>
            <w:vAlign w:val="center"/>
          </w:tcPr>
          <w:p w14:paraId="0286B732"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0.04]</w:t>
            </w:r>
          </w:p>
        </w:tc>
        <w:tc>
          <w:tcPr>
            <w:tcW w:w="2551" w:type="dxa"/>
            <w:vAlign w:val="center"/>
          </w:tcPr>
          <w:p w14:paraId="052EAC6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0.04]</w:t>
            </w:r>
          </w:p>
        </w:tc>
        <w:tc>
          <w:tcPr>
            <w:tcW w:w="2552" w:type="dxa"/>
            <w:vAlign w:val="center"/>
          </w:tcPr>
          <w:p w14:paraId="6A9941A3"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0.02]</w:t>
            </w:r>
          </w:p>
        </w:tc>
      </w:tr>
      <w:tr w:rsidR="005574C0" w:rsidRPr="00E36543" w14:paraId="69F50F3D" w14:textId="77777777" w:rsidTr="00D354DB">
        <w:tc>
          <w:tcPr>
            <w:tcW w:w="3261" w:type="dxa"/>
            <w:shd w:val="clear" w:color="auto" w:fill="D9D9D9" w:themeFill="background1" w:themeFillShade="D9"/>
            <w:vAlign w:val="center"/>
          </w:tcPr>
          <w:p w14:paraId="5BAFE67B"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3: Prevention or Treatment Alternatives</w:t>
            </w:r>
          </w:p>
        </w:tc>
        <w:tc>
          <w:tcPr>
            <w:tcW w:w="2551" w:type="dxa"/>
            <w:shd w:val="clear" w:color="auto" w:fill="D9D9D9" w:themeFill="background1" w:themeFillShade="D9"/>
            <w:vAlign w:val="center"/>
          </w:tcPr>
          <w:p w14:paraId="0629D1BB"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0D5FACA2"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2A6E7115"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2F451F6B" w14:textId="77777777" w:rsidTr="00D354DB">
        <w:tc>
          <w:tcPr>
            <w:tcW w:w="3261" w:type="dxa"/>
            <w:vAlign w:val="center"/>
          </w:tcPr>
          <w:p w14:paraId="7956847A"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Prevention alternatives</w:t>
            </w:r>
          </w:p>
        </w:tc>
        <w:tc>
          <w:tcPr>
            <w:tcW w:w="2551" w:type="dxa"/>
            <w:vAlign w:val="center"/>
          </w:tcPr>
          <w:p w14:paraId="07253D0D"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c>
          <w:tcPr>
            <w:tcW w:w="2551" w:type="dxa"/>
            <w:vAlign w:val="center"/>
          </w:tcPr>
          <w:p w14:paraId="3AA3D19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[0.03 to 0.04]</w:t>
            </w:r>
          </w:p>
        </w:tc>
        <w:tc>
          <w:tcPr>
            <w:tcW w:w="2552" w:type="dxa"/>
            <w:vAlign w:val="center"/>
          </w:tcPr>
          <w:p w14:paraId="39ACA510"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r>
      <w:tr w:rsidR="005574C0" w:rsidRPr="00612C7C" w14:paraId="5CC68721" w14:textId="77777777" w:rsidTr="00D354DB">
        <w:tc>
          <w:tcPr>
            <w:tcW w:w="3261" w:type="dxa"/>
            <w:vAlign w:val="center"/>
          </w:tcPr>
          <w:p w14:paraId="09D32617"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Availability of treatment</w:t>
            </w:r>
          </w:p>
        </w:tc>
        <w:tc>
          <w:tcPr>
            <w:tcW w:w="2551" w:type="dxa"/>
            <w:vAlign w:val="center"/>
          </w:tcPr>
          <w:p w14:paraId="0468E82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0.02 [0.01 to 0.06]</w:t>
            </w:r>
          </w:p>
        </w:tc>
        <w:tc>
          <w:tcPr>
            <w:tcW w:w="2551" w:type="dxa"/>
            <w:vAlign w:val="center"/>
          </w:tcPr>
          <w:p w14:paraId="479E983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0.02 [0.01 to 0.06]</w:t>
            </w:r>
          </w:p>
        </w:tc>
        <w:tc>
          <w:tcPr>
            <w:tcW w:w="2552" w:type="dxa"/>
            <w:vAlign w:val="center"/>
          </w:tcPr>
          <w:p w14:paraId="2A42B92C"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[0.02 to 0.05]</w:t>
            </w:r>
          </w:p>
        </w:tc>
      </w:tr>
      <w:tr w:rsidR="005574C0" w:rsidRPr="00612C7C" w14:paraId="7938CCEB" w14:textId="77777777" w:rsidTr="00D354DB">
        <w:tc>
          <w:tcPr>
            <w:tcW w:w="3261" w:type="dxa"/>
            <w:shd w:val="clear" w:color="auto" w:fill="D9D9D9" w:themeFill="background1" w:themeFillShade="D9"/>
            <w:vAlign w:val="center"/>
          </w:tcPr>
          <w:p w14:paraId="473AD507"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4: Size of population</w:t>
            </w:r>
          </w:p>
        </w:tc>
        <w:tc>
          <w:tcPr>
            <w:tcW w:w="2551" w:type="dxa"/>
            <w:shd w:val="clear" w:color="auto" w:fill="D9D9D9" w:themeFill="background1" w:themeFillShade="D9"/>
            <w:vAlign w:val="center"/>
          </w:tcPr>
          <w:p w14:paraId="370B57CB"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4933CFF3"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63BD88DF"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1D864EEE" w14:textId="77777777" w:rsidTr="00D354DB">
        <w:tc>
          <w:tcPr>
            <w:tcW w:w="3261" w:type="dxa"/>
            <w:vAlign w:val="center"/>
          </w:tcPr>
          <w:p w14:paraId="131A4185"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Population in which the prevention strategy would be indicated</w:t>
            </w:r>
          </w:p>
        </w:tc>
        <w:tc>
          <w:tcPr>
            <w:tcW w:w="2551" w:type="dxa"/>
            <w:vAlign w:val="center"/>
          </w:tcPr>
          <w:p w14:paraId="71503F64"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c>
          <w:tcPr>
            <w:tcW w:w="2551" w:type="dxa"/>
            <w:vAlign w:val="center"/>
          </w:tcPr>
          <w:p w14:paraId="2E9CC262"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0.00 [0.02 to 0.03]</w:t>
            </w:r>
          </w:p>
        </w:tc>
        <w:tc>
          <w:tcPr>
            <w:tcW w:w="2552" w:type="dxa"/>
            <w:vAlign w:val="center"/>
          </w:tcPr>
          <w:p w14:paraId="4EDA088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[0.03 to 0.05]</w:t>
            </w:r>
          </w:p>
        </w:tc>
      </w:tr>
      <w:tr w:rsidR="005574C0" w:rsidRPr="00612C7C" w14:paraId="092138CA" w14:textId="77777777" w:rsidTr="00D354DB">
        <w:tc>
          <w:tcPr>
            <w:tcW w:w="3261" w:type="dxa"/>
            <w:shd w:val="clear" w:color="auto" w:fill="D9D9D9" w:themeFill="background1" w:themeFillShade="D9"/>
            <w:vAlign w:val="center"/>
          </w:tcPr>
          <w:p w14:paraId="448ECE29"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5: Efficacy</w:t>
            </w:r>
          </w:p>
        </w:tc>
        <w:tc>
          <w:tcPr>
            <w:tcW w:w="2551" w:type="dxa"/>
            <w:shd w:val="clear" w:color="auto" w:fill="D9D9D9" w:themeFill="background1" w:themeFillShade="D9"/>
            <w:vAlign w:val="center"/>
          </w:tcPr>
          <w:p w14:paraId="3587E299"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390CCA0B"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3AAFE642"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08743F43" w14:textId="77777777" w:rsidTr="00D354DB">
        <w:tc>
          <w:tcPr>
            <w:tcW w:w="3261" w:type="dxa"/>
            <w:vAlign w:val="center"/>
          </w:tcPr>
          <w:p w14:paraId="5A8C4372"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Efficacy of the preventive measure</w:t>
            </w:r>
          </w:p>
        </w:tc>
        <w:tc>
          <w:tcPr>
            <w:tcW w:w="2551" w:type="dxa"/>
            <w:vAlign w:val="center"/>
          </w:tcPr>
          <w:p w14:paraId="520450BE"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0.04]</w:t>
            </w:r>
          </w:p>
        </w:tc>
        <w:tc>
          <w:tcPr>
            <w:tcW w:w="2551" w:type="dxa"/>
            <w:vAlign w:val="center"/>
          </w:tcPr>
          <w:p w14:paraId="0A9A6B2F"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0.02 [0.00 to 0.03]</w:t>
            </w:r>
          </w:p>
        </w:tc>
        <w:tc>
          <w:tcPr>
            <w:tcW w:w="2552" w:type="dxa"/>
            <w:vAlign w:val="center"/>
          </w:tcPr>
          <w:p w14:paraId="610E9B9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0.04]</w:t>
            </w:r>
          </w:p>
        </w:tc>
      </w:tr>
      <w:tr w:rsidR="005574C0" w:rsidRPr="00612C7C" w14:paraId="18F54AC9" w14:textId="77777777" w:rsidTr="00D354DB">
        <w:tc>
          <w:tcPr>
            <w:tcW w:w="3261" w:type="dxa"/>
            <w:shd w:val="clear" w:color="auto" w:fill="D9D9D9" w:themeFill="background1" w:themeFillShade="D9"/>
            <w:vAlign w:val="center"/>
          </w:tcPr>
          <w:p w14:paraId="6EAB986C"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6: Population protection</w:t>
            </w:r>
          </w:p>
        </w:tc>
        <w:tc>
          <w:tcPr>
            <w:tcW w:w="2551" w:type="dxa"/>
            <w:shd w:val="clear" w:color="auto" w:fill="D9D9D9" w:themeFill="background1" w:themeFillShade="D9"/>
            <w:vAlign w:val="center"/>
          </w:tcPr>
          <w:p w14:paraId="48035215"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4270CA5E"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7C1050B6"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1AB9AED9" w14:textId="77777777" w:rsidTr="00D354DB">
        <w:tc>
          <w:tcPr>
            <w:tcW w:w="3261" w:type="dxa"/>
            <w:vAlign w:val="center"/>
          </w:tcPr>
          <w:p w14:paraId="1542AD74"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Group immunity (collective protection)</w:t>
            </w:r>
          </w:p>
        </w:tc>
        <w:tc>
          <w:tcPr>
            <w:tcW w:w="2551" w:type="dxa"/>
            <w:vAlign w:val="center"/>
          </w:tcPr>
          <w:p w14:paraId="3A0509F7"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0.03]</w:t>
            </w:r>
          </w:p>
        </w:tc>
        <w:tc>
          <w:tcPr>
            <w:tcW w:w="2551" w:type="dxa"/>
            <w:vAlign w:val="center"/>
          </w:tcPr>
          <w:p w14:paraId="6E5C25DD"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0.01]</w:t>
            </w:r>
          </w:p>
        </w:tc>
        <w:tc>
          <w:tcPr>
            <w:tcW w:w="2552" w:type="dxa"/>
            <w:vAlign w:val="center"/>
          </w:tcPr>
          <w:p w14:paraId="6025870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0.03]</w:t>
            </w:r>
          </w:p>
        </w:tc>
      </w:tr>
      <w:tr w:rsidR="005574C0" w:rsidRPr="00612C7C" w14:paraId="78A84FCF" w14:textId="77777777" w:rsidTr="00D354DB">
        <w:tc>
          <w:tcPr>
            <w:tcW w:w="3261" w:type="dxa"/>
            <w:vAlign w:val="center"/>
          </w:tcPr>
          <w:p w14:paraId="6075811D"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Transmissibility</w:t>
            </w:r>
          </w:p>
        </w:tc>
        <w:tc>
          <w:tcPr>
            <w:tcW w:w="2551" w:type="dxa"/>
            <w:vAlign w:val="center"/>
          </w:tcPr>
          <w:p w14:paraId="16E71DE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[0.01 to 0.05]</w:t>
            </w:r>
          </w:p>
        </w:tc>
        <w:tc>
          <w:tcPr>
            <w:tcW w:w="2551" w:type="dxa"/>
            <w:vAlign w:val="center"/>
          </w:tcPr>
          <w:p w14:paraId="3B734E7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[0.01 to 0.04]</w:t>
            </w:r>
          </w:p>
        </w:tc>
        <w:tc>
          <w:tcPr>
            <w:tcW w:w="2552" w:type="dxa"/>
            <w:vAlign w:val="center"/>
          </w:tcPr>
          <w:p w14:paraId="5195BE0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r>
      <w:tr w:rsidR="005574C0" w:rsidRPr="00612C7C" w14:paraId="2AB02E8B" w14:textId="77777777" w:rsidTr="00D354DB">
        <w:tc>
          <w:tcPr>
            <w:tcW w:w="3261" w:type="dxa"/>
            <w:shd w:val="clear" w:color="auto" w:fill="D9D9D9" w:themeFill="background1" w:themeFillShade="D9"/>
            <w:vAlign w:val="center"/>
          </w:tcPr>
          <w:p w14:paraId="6C0AB1A8"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7: safety</w:t>
            </w:r>
          </w:p>
        </w:tc>
        <w:tc>
          <w:tcPr>
            <w:tcW w:w="2551" w:type="dxa"/>
            <w:shd w:val="clear" w:color="auto" w:fill="D9D9D9" w:themeFill="background1" w:themeFillShade="D9"/>
            <w:vAlign w:val="center"/>
          </w:tcPr>
          <w:p w14:paraId="714E64CD"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677E0687"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68CD6532"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38BFF70F" w14:textId="77777777" w:rsidTr="00D354DB">
        <w:tc>
          <w:tcPr>
            <w:tcW w:w="3261" w:type="dxa"/>
            <w:vAlign w:val="center"/>
          </w:tcPr>
          <w:p w14:paraId="43F65C3E"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Serious adverse events</w:t>
            </w:r>
          </w:p>
        </w:tc>
        <w:tc>
          <w:tcPr>
            <w:tcW w:w="2551" w:type="dxa"/>
            <w:vAlign w:val="center"/>
          </w:tcPr>
          <w:p w14:paraId="5D3D96E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0.00 ± 0.00 [0.00 to 0.01]</w:t>
            </w:r>
          </w:p>
        </w:tc>
        <w:tc>
          <w:tcPr>
            <w:tcW w:w="2551" w:type="dxa"/>
            <w:vAlign w:val="center"/>
          </w:tcPr>
          <w:p w14:paraId="1ED2263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0.00 ± 0.00 [0.00 to 0.00]</w:t>
            </w:r>
          </w:p>
        </w:tc>
        <w:tc>
          <w:tcPr>
            <w:tcW w:w="2552" w:type="dxa"/>
            <w:vAlign w:val="center"/>
          </w:tcPr>
          <w:p w14:paraId="7F108B6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0.00 ± 0.01 [0.00 to 0.01]</w:t>
            </w:r>
          </w:p>
        </w:tc>
      </w:tr>
      <w:tr w:rsidR="005574C0" w:rsidRPr="00612C7C" w14:paraId="4518F6B1" w14:textId="77777777" w:rsidTr="00D354DB">
        <w:tc>
          <w:tcPr>
            <w:tcW w:w="3261" w:type="dxa"/>
            <w:vAlign w:val="center"/>
          </w:tcPr>
          <w:p w14:paraId="3775C6CD"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Mild adverse events</w:t>
            </w:r>
          </w:p>
        </w:tc>
        <w:tc>
          <w:tcPr>
            <w:tcW w:w="2551" w:type="dxa"/>
            <w:vAlign w:val="center"/>
          </w:tcPr>
          <w:p w14:paraId="3C5883D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0.00 ± 0.01 [-0.02 to 0.00]</w:t>
            </w:r>
          </w:p>
        </w:tc>
        <w:tc>
          <w:tcPr>
            <w:tcW w:w="2551" w:type="dxa"/>
            <w:vAlign w:val="center"/>
          </w:tcPr>
          <w:p w14:paraId="2AC668A8"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0.00 ± 0.00 [0.00 to 0.00]</w:t>
            </w:r>
          </w:p>
        </w:tc>
        <w:tc>
          <w:tcPr>
            <w:tcW w:w="2552" w:type="dxa"/>
            <w:vAlign w:val="center"/>
          </w:tcPr>
          <w:p w14:paraId="18A9CC8D"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0.00 ± 0.01 [-0.02 to 0.00]</w:t>
            </w:r>
          </w:p>
        </w:tc>
      </w:tr>
      <w:tr w:rsidR="005574C0" w:rsidRPr="00612C7C" w14:paraId="52D5274F" w14:textId="77777777" w:rsidTr="00D354DB">
        <w:tc>
          <w:tcPr>
            <w:tcW w:w="3261" w:type="dxa"/>
            <w:shd w:val="clear" w:color="auto" w:fill="D9D9D9" w:themeFill="background1" w:themeFillShade="D9"/>
            <w:vAlign w:val="center"/>
          </w:tcPr>
          <w:p w14:paraId="69BCCA5A"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8: Quality of evidence</w:t>
            </w:r>
          </w:p>
        </w:tc>
        <w:tc>
          <w:tcPr>
            <w:tcW w:w="2551" w:type="dxa"/>
            <w:shd w:val="clear" w:color="auto" w:fill="D9D9D9" w:themeFill="background1" w:themeFillShade="D9"/>
            <w:vAlign w:val="center"/>
          </w:tcPr>
          <w:p w14:paraId="0AABC7AC" w14:textId="77777777" w:rsidR="005574C0" w:rsidRPr="00612C7C" w:rsidRDefault="005574C0" w:rsidP="00D354DB">
            <w:pPr>
              <w:jc w:val="center"/>
              <w:rPr>
                <w:rFonts w:ascii="Times New Roman" w:hAnsi="Times New Roman" w:cs="Times New Roman"/>
                <w:sz w:val="20"/>
                <w:szCs w:val="20"/>
                <w:lang w:val="en-US"/>
              </w:rPr>
            </w:pPr>
          </w:p>
        </w:tc>
        <w:tc>
          <w:tcPr>
            <w:tcW w:w="2551" w:type="dxa"/>
            <w:shd w:val="clear" w:color="auto" w:fill="D9D9D9" w:themeFill="background1" w:themeFillShade="D9"/>
            <w:vAlign w:val="center"/>
          </w:tcPr>
          <w:p w14:paraId="7B17D750" w14:textId="77777777" w:rsidR="005574C0" w:rsidRPr="00612C7C" w:rsidRDefault="005574C0" w:rsidP="00D354DB">
            <w:pPr>
              <w:jc w:val="center"/>
              <w:rPr>
                <w:rFonts w:ascii="Times New Roman" w:hAnsi="Times New Roman" w:cs="Times New Roman"/>
                <w:sz w:val="20"/>
                <w:szCs w:val="20"/>
                <w:lang w:val="en-US"/>
              </w:rPr>
            </w:pPr>
          </w:p>
        </w:tc>
        <w:tc>
          <w:tcPr>
            <w:tcW w:w="2552" w:type="dxa"/>
            <w:shd w:val="clear" w:color="auto" w:fill="D9D9D9" w:themeFill="background1" w:themeFillShade="D9"/>
            <w:vAlign w:val="center"/>
          </w:tcPr>
          <w:p w14:paraId="5CAC235A" w14:textId="77777777" w:rsidR="005574C0" w:rsidRPr="00612C7C" w:rsidRDefault="005574C0" w:rsidP="00D354DB">
            <w:pPr>
              <w:jc w:val="center"/>
              <w:rPr>
                <w:rFonts w:ascii="Times New Roman" w:hAnsi="Times New Roman" w:cs="Times New Roman"/>
                <w:sz w:val="20"/>
                <w:szCs w:val="20"/>
                <w:lang w:val="en-US"/>
              </w:rPr>
            </w:pPr>
          </w:p>
        </w:tc>
      </w:tr>
      <w:tr w:rsidR="005574C0" w:rsidRPr="00612C7C" w14:paraId="481200A7" w14:textId="77777777" w:rsidTr="00D354DB">
        <w:tc>
          <w:tcPr>
            <w:tcW w:w="3261" w:type="dxa"/>
            <w:vAlign w:val="center"/>
          </w:tcPr>
          <w:p w14:paraId="5651E5F4"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Certainty about the efficacy of the preventive measure</w:t>
            </w:r>
          </w:p>
        </w:tc>
        <w:tc>
          <w:tcPr>
            <w:tcW w:w="2551" w:type="dxa"/>
            <w:vAlign w:val="center"/>
          </w:tcPr>
          <w:p w14:paraId="1EEF9CD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c>
          <w:tcPr>
            <w:tcW w:w="2551" w:type="dxa"/>
            <w:vAlign w:val="center"/>
          </w:tcPr>
          <w:p w14:paraId="69604D06"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[0.02 to 0.05]</w:t>
            </w:r>
          </w:p>
        </w:tc>
        <w:tc>
          <w:tcPr>
            <w:tcW w:w="2552" w:type="dxa"/>
            <w:vAlign w:val="center"/>
          </w:tcPr>
          <w:p w14:paraId="2E77E17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[0.03 to 0.04]</w:t>
            </w:r>
          </w:p>
        </w:tc>
      </w:tr>
      <w:tr w:rsidR="005574C0" w:rsidRPr="00E36543" w14:paraId="37395D03" w14:textId="77777777" w:rsidTr="00D354DB">
        <w:tc>
          <w:tcPr>
            <w:tcW w:w="3261" w:type="dxa"/>
            <w:shd w:val="clear" w:color="auto" w:fill="D9D9D9" w:themeFill="background1" w:themeFillShade="D9"/>
            <w:vAlign w:val="center"/>
          </w:tcPr>
          <w:p w14:paraId="75AFDFC1"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9: Impact on quality of life</w:t>
            </w:r>
          </w:p>
        </w:tc>
        <w:tc>
          <w:tcPr>
            <w:tcW w:w="2551" w:type="dxa"/>
            <w:shd w:val="clear" w:color="auto" w:fill="D9D9D9" w:themeFill="background1" w:themeFillShade="D9"/>
            <w:vAlign w:val="center"/>
          </w:tcPr>
          <w:p w14:paraId="7727EE30"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51E9AA09"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0C2D0C31"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1FE0F318" w14:textId="77777777" w:rsidTr="00D354DB">
        <w:tc>
          <w:tcPr>
            <w:tcW w:w="3261" w:type="dxa"/>
            <w:vAlign w:val="center"/>
          </w:tcPr>
          <w:p w14:paraId="2EB2122F"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Impact on the population of children</w:t>
            </w:r>
          </w:p>
        </w:tc>
        <w:tc>
          <w:tcPr>
            <w:tcW w:w="2551" w:type="dxa"/>
            <w:vAlign w:val="center"/>
          </w:tcPr>
          <w:p w14:paraId="0070639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[0.02 to 0.05]</w:t>
            </w:r>
          </w:p>
        </w:tc>
        <w:tc>
          <w:tcPr>
            <w:tcW w:w="2551" w:type="dxa"/>
            <w:vAlign w:val="center"/>
          </w:tcPr>
          <w:p w14:paraId="72A9CC35"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0.04]</w:t>
            </w:r>
          </w:p>
        </w:tc>
        <w:tc>
          <w:tcPr>
            <w:tcW w:w="2552" w:type="dxa"/>
            <w:vAlign w:val="center"/>
          </w:tcPr>
          <w:p w14:paraId="770BEF1C"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0.04 ± 0.01 [0.02 to 0.05]</w:t>
            </w:r>
          </w:p>
        </w:tc>
      </w:tr>
      <w:tr w:rsidR="005574C0" w:rsidRPr="00612C7C" w14:paraId="2D098114" w14:textId="77777777" w:rsidTr="00D354DB">
        <w:tc>
          <w:tcPr>
            <w:tcW w:w="3261" w:type="dxa"/>
            <w:vAlign w:val="center"/>
          </w:tcPr>
          <w:p w14:paraId="13DAA52E"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Impact on the population over 65 years of age</w:t>
            </w:r>
          </w:p>
        </w:tc>
        <w:tc>
          <w:tcPr>
            <w:tcW w:w="2551" w:type="dxa"/>
            <w:vAlign w:val="center"/>
          </w:tcPr>
          <w:p w14:paraId="45FF97CC"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0.04]</w:t>
            </w:r>
          </w:p>
        </w:tc>
        <w:tc>
          <w:tcPr>
            <w:tcW w:w="2551" w:type="dxa"/>
            <w:vAlign w:val="center"/>
          </w:tcPr>
          <w:p w14:paraId="796F4EE3"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0.02]</w:t>
            </w:r>
          </w:p>
        </w:tc>
        <w:tc>
          <w:tcPr>
            <w:tcW w:w="2552" w:type="dxa"/>
            <w:vAlign w:val="center"/>
          </w:tcPr>
          <w:p w14:paraId="3E325C3E"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0.04]</w:t>
            </w:r>
          </w:p>
        </w:tc>
      </w:tr>
      <w:tr w:rsidR="005574C0" w:rsidRPr="00612C7C" w14:paraId="1FF39631" w14:textId="77777777" w:rsidTr="00D354DB">
        <w:tc>
          <w:tcPr>
            <w:tcW w:w="3261" w:type="dxa"/>
            <w:vAlign w:val="center"/>
          </w:tcPr>
          <w:p w14:paraId="60A9ABD6"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Impact on caregivers</w:t>
            </w:r>
          </w:p>
        </w:tc>
        <w:tc>
          <w:tcPr>
            <w:tcW w:w="2551" w:type="dxa"/>
            <w:vAlign w:val="center"/>
          </w:tcPr>
          <w:p w14:paraId="68322D32"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0.04]</w:t>
            </w:r>
          </w:p>
        </w:tc>
        <w:tc>
          <w:tcPr>
            <w:tcW w:w="2551" w:type="dxa"/>
            <w:vAlign w:val="center"/>
          </w:tcPr>
          <w:p w14:paraId="67FCCC0D"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0.04]</w:t>
            </w:r>
          </w:p>
        </w:tc>
        <w:tc>
          <w:tcPr>
            <w:tcW w:w="2552" w:type="dxa"/>
            <w:vAlign w:val="center"/>
          </w:tcPr>
          <w:p w14:paraId="682CF65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r>
      <w:tr w:rsidR="005574C0" w:rsidRPr="00612C7C" w14:paraId="5EE4DABA" w14:textId="77777777" w:rsidTr="00D354DB">
        <w:tc>
          <w:tcPr>
            <w:tcW w:w="3261" w:type="dxa"/>
            <w:shd w:val="clear" w:color="auto" w:fill="D9D9D9" w:themeFill="background1" w:themeFillShade="D9"/>
            <w:vAlign w:val="center"/>
          </w:tcPr>
          <w:p w14:paraId="5ED591D1"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10: Acquisition cost</w:t>
            </w:r>
          </w:p>
        </w:tc>
        <w:tc>
          <w:tcPr>
            <w:tcW w:w="2551" w:type="dxa"/>
            <w:shd w:val="clear" w:color="auto" w:fill="D9D9D9" w:themeFill="background1" w:themeFillShade="D9"/>
            <w:vAlign w:val="center"/>
          </w:tcPr>
          <w:p w14:paraId="4247EBB9"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5C2AE827"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75191919"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6EB369E8" w14:textId="77777777" w:rsidTr="00D354DB">
        <w:tc>
          <w:tcPr>
            <w:tcW w:w="3261" w:type="dxa"/>
            <w:vAlign w:val="center"/>
          </w:tcPr>
          <w:p w14:paraId="0CA7FB26"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Monetary cost of the preventive measure</w:t>
            </w:r>
          </w:p>
        </w:tc>
        <w:tc>
          <w:tcPr>
            <w:tcW w:w="2551" w:type="dxa"/>
            <w:vAlign w:val="center"/>
          </w:tcPr>
          <w:p w14:paraId="235A91A9"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c>
          <w:tcPr>
            <w:tcW w:w="2551" w:type="dxa"/>
            <w:vAlign w:val="center"/>
          </w:tcPr>
          <w:p w14:paraId="6492C45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0.03]</w:t>
            </w:r>
          </w:p>
        </w:tc>
        <w:tc>
          <w:tcPr>
            <w:tcW w:w="2552" w:type="dxa"/>
            <w:vAlign w:val="center"/>
          </w:tcPr>
          <w:p w14:paraId="6D83A73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r>
      <w:tr w:rsidR="005574C0" w:rsidRPr="00E36543" w14:paraId="7FA6EC3E" w14:textId="77777777" w:rsidTr="00D354DB">
        <w:tc>
          <w:tcPr>
            <w:tcW w:w="3261" w:type="dxa"/>
            <w:shd w:val="clear" w:color="auto" w:fill="D9D9D9" w:themeFill="background1" w:themeFillShade="D9"/>
            <w:vAlign w:val="center"/>
          </w:tcPr>
          <w:p w14:paraId="73F2E3A3" w14:textId="77777777" w:rsidR="005574C0" w:rsidRPr="00612C7C" w:rsidRDefault="005574C0" w:rsidP="00D354DB">
            <w:pPr>
              <w:rPr>
                <w:rFonts w:ascii="Times New Roman" w:hAnsi="Times New Roman" w:cs="Times New Roman"/>
                <w:b/>
                <w:bCs/>
                <w:sz w:val="20"/>
                <w:szCs w:val="20"/>
                <w:lang w:val="en-US"/>
              </w:rPr>
            </w:pPr>
            <w:r w:rsidRPr="00612C7C">
              <w:rPr>
                <w:rFonts w:ascii="Times New Roman" w:hAnsi="Times New Roman" w:cs="Times New Roman"/>
                <w:b/>
                <w:bCs/>
                <w:sz w:val="20"/>
                <w:szCs w:val="20"/>
                <w:lang w:val="en-US"/>
              </w:rPr>
              <w:t>Domain 11: Impact on other costs</w:t>
            </w:r>
          </w:p>
        </w:tc>
        <w:tc>
          <w:tcPr>
            <w:tcW w:w="2551" w:type="dxa"/>
            <w:shd w:val="clear" w:color="auto" w:fill="D9D9D9" w:themeFill="background1" w:themeFillShade="D9"/>
            <w:vAlign w:val="center"/>
          </w:tcPr>
          <w:p w14:paraId="4813D5E2" w14:textId="77777777" w:rsidR="005574C0" w:rsidRPr="00612C7C"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3C0107B5" w14:textId="77777777" w:rsidR="005574C0" w:rsidRPr="00612C7C"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0E9184F9" w14:textId="77777777" w:rsidR="005574C0" w:rsidRPr="00612C7C" w:rsidRDefault="005574C0" w:rsidP="00D354DB">
            <w:pPr>
              <w:jc w:val="center"/>
              <w:rPr>
                <w:rFonts w:ascii="Times New Roman" w:hAnsi="Times New Roman" w:cs="Times New Roman"/>
                <w:b/>
                <w:bCs/>
                <w:sz w:val="20"/>
                <w:szCs w:val="20"/>
                <w:lang w:val="en-US"/>
              </w:rPr>
            </w:pPr>
          </w:p>
        </w:tc>
      </w:tr>
      <w:tr w:rsidR="005574C0" w:rsidRPr="00612C7C" w14:paraId="44BCDC44" w14:textId="77777777" w:rsidTr="00D354DB">
        <w:tc>
          <w:tcPr>
            <w:tcW w:w="3261" w:type="dxa"/>
            <w:vAlign w:val="center"/>
          </w:tcPr>
          <w:p w14:paraId="41C1F1AC"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Cost of the disease on the health system (excludes acquisition cost)</w:t>
            </w:r>
          </w:p>
        </w:tc>
        <w:tc>
          <w:tcPr>
            <w:tcW w:w="2551" w:type="dxa"/>
            <w:vAlign w:val="center"/>
          </w:tcPr>
          <w:p w14:paraId="486123B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0.02 [0.00 to 0.05]</w:t>
            </w:r>
          </w:p>
        </w:tc>
        <w:tc>
          <w:tcPr>
            <w:tcW w:w="2551" w:type="dxa"/>
            <w:vAlign w:val="center"/>
          </w:tcPr>
          <w:p w14:paraId="51A4AB6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0.02 [0.00 to 0.04]</w:t>
            </w:r>
          </w:p>
        </w:tc>
        <w:tc>
          <w:tcPr>
            <w:tcW w:w="2552" w:type="dxa"/>
            <w:vAlign w:val="center"/>
          </w:tcPr>
          <w:p w14:paraId="354F780A"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0.03 ± 0.01 [0.02 to 0.05]</w:t>
            </w:r>
          </w:p>
        </w:tc>
      </w:tr>
      <w:tr w:rsidR="005574C0" w:rsidRPr="00612C7C" w14:paraId="11D14760" w14:textId="77777777" w:rsidTr="00D354DB">
        <w:tc>
          <w:tcPr>
            <w:tcW w:w="3261" w:type="dxa"/>
            <w:vAlign w:val="center"/>
          </w:tcPr>
          <w:p w14:paraId="1C5B053B"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Productivity cost: absenteeism</w:t>
            </w:r>
          </w:p>
        </w:tc>
        <w:tc>
          <w:tcPr>
            <w:tcW w:w="2551" w:type="dxa"/>
            <w:vAlign w:val="center"/>
          </w:tcPr>
          <w:p w14:paraId="6AE46AD1"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0.00]</w:t>
            </w:r>
          </w:p>
        </w:tc>
        <w:tc>
          <w:tcPr>
            <w:tcW w:w="2551" w:type="dxa"/>
            <w:vAlign w:val="center"/>
          </w:tcPr>
          <w:p w14:paraId="57E2D194"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0.02]</w:t>
            </w:r>
          </w:p>
        </w:tc>
        <w:tc>
          <w:tcPr>
            <w:tcW w:w="2552" w:type="dxa"/>
            <w:vAlign w:val="center"/>
          </w:tcPr>
          <w:p w14:paraId="338F0C22"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r>
      <w:tr w:rsidR="005574C0" w:rsidRPr="00612C7C" w14:paraId="6B846BC0" w14:textId="77777777" w:rsidTr="00D354DB">
        <w:tc>
          <w:tcPr>
            <w:tcW w:w="3261" w:type="dxa"/>
            <w:vAlign w:val="center"/>
          </w:tcPr>
          <w:p w14:paraId="24ABEB3E" w14:textId="77777777" w:rsidR="005574C0" w:rsidRPr="00612C7C" w:rsidRDefault="005574C0" w:rsidP="00D354DB">
            <w:pPr>
              <w:rPr>
                <w:rFonts w:ascii="Times New Roman" w:hAnsi="Times New Roman" w:cs="Times New Roman"/>
                <w:sz w:val="20"/>
                <w:szCs w:val="20"/>
                <w:lang w:val="en-US"/>
              </w:rPr>
            </w:pPr>
            <w:r w:rsidRPr="00612C7C">
              <w:rPr>
                <w:rFonts w:ascii="Times New Roman" w:hAnsi="Times New Roman" w:cs="Times New Roman"/>
                <w:sz w:val="20"/>
                <w:szCs w:val="20"/>
                <w:lang w:val="en-US"/>
              </w:rPr>
              <w:t>Cost of the disease on the patient (out-of-pocket expenses)</w:t>
            </w:r>
          </w:p>
        </w:tc>
        <w:tc>
          <w:tcPr>
            <w:tcW w:w="2551" w:type="dxa"/>
            <w:vAlign w:val="center"/>
          </w:tcPr>
          <w:p w14:paraId="726C7A4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0.02]</w:t>
            </w:r>
          </w:p>
        </w:tc>
        <w:tc>
          <w:tcPr>
            <w:tcW w:w="2551" w:type="dxa"/>
            <w:vAlign w:val="center"/>
          </w:tcPr>
          <w:p w14:paraId="469C881B"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0.02]</w:t>
            </w:r>
          </w:p>
        </w:tc>
        <w:tc>
          <w:tcPr>
            <w:tcW w:w="2552" w:type="dxa"/>
            <w:vAlign w:val="center"/>
          </w:tcPr>
          <w:p w14:paraId="7E1E4D32" w14:textId="77777777" w:rsidR="005574C0" w:rsidRPr="00612C7C"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0.00 [0.01 to 0.02]</w:t>
            </w:r>
          </w:p>
        </w:tc>
      </w:tr>
      <w:tr w:rsidR="005574C0" w:rsidRPr="00612C7C" w14:paraId="5BED4CBB" w14:textId="77777777" w:rsidTr="00D354DB">
        <w:tc>
          <w:tcPr>
            <w:tcW w:w="3261" w:type="dxa"/>
            <w:shd w:val="clear" w:color="auto" w:fill="D9D9D9" w:themeFill="background1" w:themeFillShade="D9"/>
            <w:vAlign w:val="center"/>
          </w:tcPr>
          <w:p w14:paraId="522696DD" w14:textId="77777777" w:rsidR="005574C0" w:rsidRPr="00D16855" w:rsidRDefault="005574C0" w:rsidP="00D354DB">
            <w:pPr>
              <w:rPr>
                <w:rFonts w:ascii="Times New Roman" w:hAnsi="Times New Roman" w:cs="Times New Roman"/>
                <w:b/>
                <w:bCs/>
                <w:sz w:val="20"/>
                <w:szCs w:val="20"/>
                <w:lang w:val="en-US"/>
              </w:rPr>
            </w:pPr>
            <w:r w:rsidRPr="00D16855">
              <w:rPr>
                <w:rFonts w:ascii="Times New Roman" w:hAnsi="Times New Roman" w:cs="Times New Roman"/>
                <w:b/>
                <w:bCs/>
                <w:sz w:val="20"/>
                <w:szCs w:val="20"/>
                <w:lang w:val="en-US"/>
              </w:rPr>
              <w:t>Domain 12: Social benefits</w:t>
            </w:r>
          </w:p>
        </w:tc>
        <w:tc>
          <w:tcPr>
            <w:tcW w:w="2551" w:type="dxa"/>
            <w:shd w:val="clear" w:color="auto" w:fill="D9D9D9" w:themeFill="background1" w:themeFillShade="D9"/>
            <w:vAlign w:val="center"/>
          </w:tcPr>
          <w:p w14:paraId="2D768EB4" w14:textId="77777777" w:rsidR="005574C0" w:rsidRPr="00D16855" w:rsidRDefault="005574C0" w:rsidP="00D354DB">
            <w:pPr>
              <w:jc w:val="center"/>
              <w:rPr>
                <w:rFonts w:ascii="Times New Roman" w:hAnsi="Times New Roman" w:cs="Times New Roman"/>
                <w:b/>
                <w:bCs/>
                <w:sz w:val="20"/>
                <w:szCs w:val="20"/>
                <w:lang w:val="en-US"/>
              </w:rPr>
            </w:pPr>
          </w:p>
        </w:tc>
        <w:tc>
          <w:tcPr>
            <w:tcW w:w="2551" w:type="dxa"/>
            <w:shd w:val="clear" w:color="auto" w:fill="D9D9D9" w:themeFill="background1" w:themeFillShade="D9"/>
            <w:vAlign w:val="center"/>
          </w:tcPr>
          <w:p w14:paraId="384D50E1" w14:textId="77777777" w:rsidR="005574C0" w:rsidRPr="00D16855" w:rsidRDefault="005574C0" w:rsidP="00D354DB">
            <w:pPr>
              <w:jc w:val="center"/>
              <w:rPr>
                <w:rFonts w:ascii="Times New Roman" w:hAnsi="Times New Roman" w:cs="Times New Roman"/>
                <w:b/>
                <w:bCs/>
                <w:sz w:val="20"/>
                <w:szCs w:val="20"/>
                <w:lang w:val="en-US"/>
              </w:rPr>
            </w:pPr>
          </w:p>
        </w:tc>
        <w:tc>
          <w:tcPr>
            <w:tcW w:w="2552" w:type="dxa"/>
            <w:shd w:val="clear" w:color="auto" w:fill="D9D9D9" w:themeFill="background1" w:themeFillShade="D9"/>
            <w:vAlign w:val="center"/>
          </w:tcPr>
          <w:p w14:paraId="09249824" w14:textId="77777777" w:rsidR="005574C0" w:rsidRPr="00D16855" w:rsidRDefault="005574C0" w:rsidP="00D354DB">
            <w:pPr>
              <w:jc w:val="center"/>
              <w:rPr>
                <w:rFonts w:ascii="Times New Roman" w:hAnsi="Times New Roman" w:cs="Times New Roman"/>
                <w:b/>
                <w:bCs/>
                <w:sz w:val="20"/>
                <w:szCs w:val="20"/>
                <w:lang w:val="en-US"/>
              </w:rPr>
            </w:pPr>
          </w:p>
        </w:tc>
      </w:tr>
      <w:tr w:rsidR="005574C0" w:rsidRPr="00612C7C" w14:paraId="215C7C3D" w14:textId="77777777" w:rsidTr="00D354DB">
        <w:tc>
          <w:tcPr>
            <w:tcW w:w="3261" w:type="dxa"/>
            <w:vAlign w:val="center"/>
          </w:tcPr>
          <w:p w14:paraId="39A58FDB" w14:textId="77777777" w:rsidR="005574C0" w:rsidRPr="001A3B8B" w:rsidRDefault="005574C0" w:rsidP="00D354DB">
            <w:pPr>
              <w:rPr>
                <w:rFonts w:ascii="Times New Roman" w:hAnsi="Times New Roman" w:cs="Times New Roman"/>
                <w:sz w:val="20"/>
                <w:szCs w:val="20"/>
                <w:lang w:val="en-US"/>
              </w:rPr>
            </w:pPr>
            <w:r w:rsidRPr="001A3B8B">
              <w:rPr>
                <w:rFonts w:ascii="Times New Roman" w:hAnsi="Times New Roman" w:cs="Times New Roman"/>
                <w:sz w:val="20"/>
                <w:szCs w:val="20"/>
                <w:lang w:val="en-US"/>
              </w:rPr>
              <w:t>Impact on health inequity</w:t>
            </w:r>
          </w:p>
        </w:tc>
        <w:tc>
          <w:tcPr>
            <w:tcW w:w="2551" w:type="dxa"/>
            <w:vAlign w:val="center"/>
          </w:tcPr>
          <w:p w14:paraId="1F8C89F2"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0.03]</w:t>
            </w:r>
          </w:p>
        </w:tc>
        <w:tc>
          <w:tcPr>
            <w:tcW w:w="2551" w:type="dxa"/>
            <w:vAlign w:val="center"/>
          </w:tcPr>
          <w:p w14:paraId="6D94C408"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0.03]</w:t>
            </w:r>
          </w:p>
        </w:tc>
        <w:tc>
          <w:tcPr>
            <w:tcW w:w="2552" w:type="dxa"/>
            <w:vAlign w:val="center"/>
          </w:tcPr>
          <w:p w14:paraId="7F314CCE"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[0.01 to 0.03]</w:t>
            </w:r>
          </w:p>
        </w:tc>
      </w:tr>
      <w:tr w:rsidR="005574C0" w:rsidRPr="00612C7C" w14:paraId="3EB30EEB" w14:textId="77777777" w:rsidTr="00D354DB">
        <w:tc>
          <w:tcPr>
            <w:tcW w:w="3261" w:type="dxa"/>
            <w:vAlign w:val="center"/>
          </w:tcPr>
          <w:p w14:paraId="7416FE4F" w14:textId="77777777" w:rsidR="005574C0" w:rsidRPr="001A3B8B" w:rsidRDefault="005574C0" w:rsidP="00D354DB">
            <w:pPr>
              <w:rPr>
                <w:rFonts w:ascii="Times New Roman" w:hAnsi="Times New Roman" w:cs="Times New Roman"/>
                <w:sz w:val="20"/>
                <w:szCs w:val="20"/>
                <w:lang w:val="en-US"/>
              </w:rPr>
            </w:pPr>
            <w:r w:rsidRPr="001A3B8B">
              <w:rPr>
                <w:rFonts w:ascii="Times New Roman" w:hAnsi="Times New Roman" w:cs="Times New Roman"/>
                <w:sz w:val="20"/>
                <w:szCs w:val="20"/>
                <w:lang w:val="en-US"/>
              </w:rPr>
              <w:t>Public health awareness (including antibiotic resistance)</w:t>
            </w:r>
          </w:p>
        </w:tc>
        <w:tc>
          <w:tcPr>
            <w:tcW w:w="2551" w:type="dxa"/>
            <w:vAlign w:val="center"/>
          </w:tcPr>
          <w:p w14:paraId="312707D9"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0.02]</w:t>
            </w:r>
          </w:p>
        </w:tc>
        <w:tc>
          <w:tcPr>
            <w:tcW w:w="2551" w:type="dxa"/>
            <w:vAlign w:val="center"/>
          </w:tcPr>
          <w:p w14:paraId="4164E015"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0.02]</w:t>
            </w:r>
          </w:p>
        </w:tc>
        <w:tc>
          <w:tcPr>
            <w:tcW w:w="2552" w:type="dxa"/>
            <w:vAlign w:val="center"/>
          </w:tcPr>
          <w:p w14:paraId="55F54DB5"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0.01 ± 0.01 [0.00 to 0.02]</w:t>
            </w:r>
          </w:p>
        </w:tc>
      </w:tr>
      <w:tr w:rsidR="005574C0" w:rsidRPr="00612C7C" w14:paraId="23C6401F" w14:textId="77777777" w:rsidTr="00D354DB">
        <w:tc>
          <w:tcPr>
            <w:tcW w:w="3261" w:type="dxa"/>
            <w:vAlign w:val="center"/>
          </w:tcPr>
          <w:p w14:paraId="76501201" w14:textId="77777777" w:rsidR="005574C0" w:rsidRPr="001A3B8B" w:rsidRDefault="005574C0" w:rsidP="00D354DB">
            <w:pPr>
              <w:rPr>
                <w:rFonts w:ascii="Times New Roman" w:hAnsi="Times New Roman" w:cs="Times New Roman"/>
                <w:sz w:val="20"/>
                <w:szCs w:val="20"/>
                <w:lang w:val="en-US"/>
              </w:rPr>
            </w:pPr>
            <w:r w:rsidRPr="001A3B8B">
              <w:rPr>
                <w:rFonts w:ascii="Times New Roman" w:hAnsi="Times New Roman" w:cs="Times New Roman"/>
                <w:sz w:val="20"/>
                <w:szCs w:val="20"/>
                <w:lang w:val="en-US"/>
              </w:rPr>
              <w:t>Innovation stimulus</w:t>
            </w:r>
          </w:p>
        </w:tc>
        <w:tc>
          <w:tcPr>
            <w:tcW w:w="2551" w:type="dxa"/>
            <w:vAlign w:val="center"/>
          </w:tcPr>
          <w:p w14:paraId="78CF98E3"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0.03]</w:t>
            </w:r>
          </w:p>
        </w:tc>
        <w:tc>
          <w:tcPr>
            <w:tcW w:w="2551" w:type="dxa"/>
            <w:vAlign w:val="center"/>
          </w:tcPr>
          <w:p w14:paraId="4F29254A"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0.03]</w:t>
            </w:r>
          </w:p>
        </w:tc>
        <w:tc>
          <w:tcPr>
            <w:tcW w:w="2552" w:type="dxa"/>
            <w:vAlign w:val="center"/>
          </w:tcPr>
          <w:p w14:paraId="78886637" w14:textId="77777777" w:rsidR="005574C0" w:rsidRPr="001A3B8B" w:rsidRDefault="005574C0" w:rsidP="00D354DB">
            <w:pPr>
              <w:jc w:val="center"/>
              <w:rPr>
                <w:rFonts w:ascii="Times New Roman" w:hAnsi="Times New Roman" w:cs="Times New Roman"/>
                <w:sz w:val="20"/>
                <w:szCs w:val="20"/>
                <w:lang w:val="en-US"/>
              </w:rPr>
            </w:pPr>
            <w:r>
              <w:rPr>
                <w:rFonts w:ascii="Times New Roman" w:hAnsi="Times New Roman" w:cs="Times New Roman"/>
                <w:sz w:val="20"/>
                <w:szCs w:val="20"/>
                <w:lang w:val="en-US"/>
              </w:rPr>
              <w:t>0.02 ± 0.01 [0.00 to 0.03]</w:t>
            </w:r>
          </w:p>
        </w:tc>
      </w:tr>
      <w:tr w:rsidR="005574C0" w:rsidRPr="00612C7C" w14:paraId="57C69B51" w14:textId="77777777" w:rsidTr="00D354DB">
        <w:tc>
          <w:tcPr>
            <w:tcW w:w="3261" w:type="dxa"/>
            <w:shd w:val="clear" w:color="auto" w:fill="000000" w:themeFill="text1"/>
            <w:vAlign w:val="center"/>
          </w:tcPr>
          <w:p w14:paraId="0796ADB9" w14:textId="77777777" w:rsidR="005574C0" w:rsidRPr="00211F40" w:rsidRDefault="005574C0" w:rsidP="00D354DB">
            <w:pPr>
              <w:rPr>
                <w:rFonts w:ascii="Times New Roman" w:hAnsi="Times New Roman" w:cs="Times New Roman"/>
                <w:b/>
                <w:bCs/>
                <w:color w:val="FFFFFF" w:themeColor="background1"/>
                <w:sz w:val="20"/>
                <w:szCs w:val="20"/>
                <w:lang w:val="en-US"/>
              </w:rPr>
            </w:pPr>
            <w:r w:rsidRPr="00211F40">
              <w:rPr>
                <w:rFonts w:ascii="Times New Roman" w:hAnsi="Times New Roman" w:cs="Times New Roman"/>
                <w:b/>
                <w:bCs/>
                <w:color w:val="FFFFFF" w:themeColor="background1"/>
                <w:sz w:val="20"/>
                <w:szCs w:val="20"/>
                <w:lang w:val="en-US"/>
              </w:rPr>
              <w:t>Total</w:t>
            </w:r>
          </w:p>
        </w:tc>
        <w:tc>
          <w:tcPr>
            <w:tcW w:w="2551" w:type="dxa"/>
            <w:shd w:val="clear" w:color="auto" w:fill="000000" w:themeFill="text1"/>
            <w:vAlign w:val="center"/>
          </w:tcPr>
          <w:p w14:paraId="3A93381F" w14:textId="77777777" w:rsidR="005574C0" w:rsidRPr="00211F40" w:rsidRDefault="005574C0" w:rsidP="00D354DB">
            <w:pPr>
              <w:jc w:val="center"/>
              <w:rPr>
                <w:rFonts w:ascii="Times New Roman" w:hAnsi="Times New Roman" w:cs="Times New Roman"/>
                <w:b/>
                <w:bCs/>
                <w:color w:val="FFFFFF" w:themeColor="background1"/>
                <w:sz w:val="20"/>
                <w:szCs w:val="20"/>
                <w:lang w:val="en-US"/>
              </w:rPr>
            </w:pPr>
            <w:r>
              <w:rPr>
                <w:rFonts w:ascii="Times New Roman" w:hAnsi="Times New Roman" w:cs="Times New Roman"/>
                <w:b/>
                <w:bCs/>
                <w:color w:val="FFFFFF" w:themeColor="background1"/>
                <w:sz w:val="20"/>
                <w:szCs w:val="20"/>
                <w:lang w:val="en-US"/>
              </w:rPr>
              <w:t>0.58 ± 0.12 [0.29 to 0.67]</w:t>
            </w:r>
          </w:p>
        </w:tc>
        <w:tc>
          <w:tcPr>
            <w:tcW w:w="2551" w:type="dxa"/>
            <w:shd w:val="clear" w:color="auto" w:fill="000000" w:themeFill="text1"/>
            <w:vAlign w:val="center"/>
          </w:tcPr>
          <w:p w14:paraId="3CDCD3A8" w14:textId="77777777" w:rsidR="005574C0" w:rsidRPr="00211F40" w:rsidRDefault="005574C0" w:rsidP="00D354DB">
            <w:pPr>
              <w:jc w:val="center"/>
              <w:rPr>
                <w:rFonts w:ascii="Times New Roman" w:hAnsi="Times New Roman" w:cs="Times New Roman"/>
                <w:b/>
                <w:bCs/>
                <w:color w:val="FFFFFF" w:themeColor="background1"/>
                <w:sz w:val="20"/>
                <w:szCs w:val="20"/>
                <w:lang w:val="en-US"/>
              </w:rPr>
            </w:pPr>
            <w:r>
              <w:rPr>
                <w:rFonts w:ascii="Times New Roman" w:hAnsi="Times New Roman" w:cs="Times New Roman"/>
                <w:b/>
                <w:bCs/>
                <w:color w:val="FFFFFF" w:themeColor="background1"/>
                <w:sz w:val="20"/>
                <w:szCs w:val="20"/>
                <w:lang w:val="en-US"/>
              </w:rPr>
              <w:t>0.54 ± 0.18 [0.29 to 0.67]</w:t>
            </w:r>
          </w:p>
        </w:tc>
        <w:tc>
          <w:tcPr>
            <w:tcW w:w="2552" w:type="dxa"/>
            <w:shd w:val="clear" w:color="auto" w:fill="000000" w:themeFill="text1"/>
            <w:vAlign w:val="center"/>
          </w:tcPr>
          <w:p w14:paraId="7EB09810" w14:textId="77777777" w:rsidR="005574C0" w:rsidRPr="00211F40" w:rsidRDefault="005574C0" w:rsidP="00D354DB">
            <w:pPr>
              <w:jc w:val="center"/>
              <w:rPr>
                <w:rFonts w:ascii="Times New Roman" w:hAnsi="Times New Roman" w:cs="Times New Roman"/>
                <w:b/>
                <w:bCs/>
                <w:color w:val="FFFFFF" w:themeColor="background1"/>
                <w:sz w:val="20"/>
                <w:szCs w:val="20"/>
                <w:lang w:val="en-US"/>
              </w:rPr>
            </w:pPr>
            <w:r>
              <w:rPr>
                <w:rFonts w:ascii="Times New Roman" w:hAnsi="Times New Roman" w:cs="Times New Roman"/>
                <w:b/>
                <w:bCs/>
                <w:color w:val="FFFFFF" w:themeColor="background1"/>
                <w:sz w:val="20"/>
                <w:szCs w:val="20"/>
                <w:lang w:val="en-US"/>
              </w:rPr>
              <w:t>0.62 ± 0.04 [0.56 to 0.66]</w:t>
            </w:r>
          </w:p>
        </w:tc>
      </w:tr>
    </w:tbl>
    <w:p w14:paraId="6A84A641" w14:textId="3F0FD7BF" w:rsidR="005574C0" w:rsidRDefault="005574C0" w:rsidP="00B25DE1">
      <w:pPr>
        <w:spacing w:before="120" w:after="120" w:line="240" w:lineRule="auto"/>
        <w:jc w:val="both"/>
        <w:rPr>
          <w:rFonts w:ascii="Times New Roman" w:hAnsi="Times New Roman" w:cs="Times New Roman"/>
          <w:sz w:val="24"/>
          <w:szCs w:val="24"/>
          <w:lang w:val="en-US"/>
        </w:rPr>
      </w:pPr>
    </w:p>
    <w:p w14:paraId="6194E1F2" w14:textId="4702F07C" w:rsidR="0012694A" w:rsidRDefault="002D3856" w:rsidP="00330B03">
      <w:pPr>
        <w:pStyle w:val="Ttulo2"/>
        <w:numPr>
          <w:ilvl w:val="0"/>
          <w:numId w:val="36"/>
        </w:numPr>
        <w:spacing w:after="0" w:line="360" w:lineRule="auto"/>
        <w:ind w:left="426"/>
        <w:rPr>
          <w:rFonts w:cs="Times New Roman"/>
          <w:szCs w:val="24"/>
          <w:lang w:val="en-US"/>
        </w:rPr>
      </w:pPr>
      <w:bookmarkStart w:id="17" w:name="_Toc135731186"/>
      <w:r>
        <w:rPr>
          <w:rFonts w:cs="Times New Roman"/>
          <w:szCs w:val="24"/>
          <w:lang w:val="en-US"/>
        </w:rPr>
        <w:lastRenderedPageBreak/>
        <w:t>Sensitivity analysis</w:t>
      </w:r>
      <w:bookmarkEnd w:id="17"/>
    </w:p>
    <w:p w14:paraId="400ABDF3" w14:textId="77777777" w:rsidR="00330B03" w:rsidRDefault="00330B03" w:rsidP="0034561D">
      <w:pPr>
        <w:spacing w:line="276" w:lineRule="auto"/>
        <w:jc w:val="both"/>
        <w:rPr>
          <w:rFonts w:ascii="Times New Roman" w:hAnsi="Times New Roman" w:cs="Times New Roman"/>
          <w:b/>
          <w:bCs/>
          <w:color w:val="000000"/>
          <w:sz w:val="24"/>
          <w:szCs w:val="24"/>
          <w:lang w:val="en-US"/>
        </w:rPr>
      </w:pPr>
    </w:p>
    <w:p w14:paraId="0B1C503E" w14:textId="5DD49952" w:rsidR="0034561D" w:rsidRPr="005978D1" w:rsidRDefault="0034561D" w:rsidP="0034561D">
      <w:pPr>
        <w:spacing w:line="276" w:lineRule="auto"/>
        <w:jc w:val="both"/>
        <w:rPr>
          <w:rFonts w:ascii="Times New Roman" w:hAnsi="Times New Roman" w:cs="Times New Roman"/>
          <w:b/>
          <w:bCs/>
          <w:color w:val="000000"/>
          <w:sz w:val="24"/>
          <w:szCs w:val="24"/>
          <w:lang w:val="en-US"/>
        </w:rPr>
      </w:pPr>
      <w:r w:rsidRPr="005978D1">
        <w:rPr>
          <w:rFonts w:ascii="Times New Roman" w:hAnsi="Times New Roman" w:cs="Times New Roman"/>
          <w:b/>
          <w:bCs/>
          <w:color w:val="000000"/>
          <w:sz w:val="24"/>
          <w:szCs w:val="24"/>
          <w:lang w:val="en-US"/>
        </w:rPr>
        <w:t>Table (S</w:t>
      </w:r>
      <w:r>
        <w:rPr>
          <w:rFonts w:ascii="Times New Roman" w:hAnsi="Times New Roman" w:cs="Times New Roman"/>
          <w:b/>
          <w:bCs/>
          <w:color w:val="000000"/>
          <w:sz w:val="24"/>
          <w:szCs w:val="24"/>
          <w:lang w:val="en-US"/>
        </w:rPr>
        <w:t>9</w:t>
      </w:r>
      <w:r w:rsidRPr="005978D1">
        <w:rPr>
          <w:rFonts w:ascii="Times New Roman" w:hAnsi="Times New Roman" w:cs="Times New Roman"/>
          <w:b/>
          <w:bCs/>
          <w:color w:val="000000"/>
          <w:sz w:val="24"/>
          <w:szCs w:val="24"/>
          <w:lang w:val="en-US"/>
        </w:rPr>
        <w:t>).</w:t>
      </w:r>
      <w:r>
        <w:rPr>
          <w:rFonts w:ascii="Times New Roman" w:hAnsi="Times New Roman" w:cs="Times New Roman"/>
          <w:b/>
          <w:bCs/>
          <w:color w:val="000000"/>
          <w:sz w:val="24"/>
          <w:szCs w:val="24"/>
          <w:lang w:val="en-US"/>
        </w:rPr>
        <w:t>5</w:t>
      </w:r>
      <w:r w:rsidRPr="005978D1">
        <w:rPr>
          <w:rFonts w:ascii="Times New Roman" w:hAnsi="Times New Roman" w:cs="Times New Roman"/>
          <w:b/>
          <w:bCs/>
          <w:color w:val="000000"/>
          <w:sz w:val="24"/>
          <w:szCs w:val="24"/>
          <w:lang w:val="en-US"/>
        </w:rPr>
        <w:t>. Retest of scores</w:t>
      </w:r>
      <w:r>
        <w:rPr>
          <w:rFonts w:ascii="Times New Roman" w:hAnsi="Times New Roman" w:cs="Times New Roman"/>
          <w:b/>
          <w:bCs/>
          <w:color w:val="000000"/>
          <w:sz w:val="24"/>
          <w:szCs w:val="24"/>
          <w:lang w:val="en-US"/>
        </w:rPr>
        <w:t>,</w:t>
      </w:r>
      <w:r w:rsidRPr="005978D1">
        <w:rPr>
          <w:rFonts w:ascii="Times New Roman" w:hAnsi="Times New Roman" w:cs="Times New Roman"/>
          <w:b/>
          <w:bCs/>
          <w:color w:val="000000"/>
          <w:sz w:val="24"/>
          <w:szCs w:val="24"/>
          <w:lang w:val="en-US"/>
        </w:rPr>
        <w:t xml:space="preserve"> and value estimates,</w:t>
      </w:r>
      <w:r w:rsidRPr="008E369C">
        <w:rPr>
          <w:b/>
          <w:bCs/>
          <w:lang w:val="en-US"/>
        </w:rPr>
        <w:t xml:space="preserve"> </w:t>
      </w:r>
      <w:r w:rsidRPr="005978D1">
        <w:rPr>
          <w:rFonts w:ascii="Times New Roman" w:hAnsi="Times New Roman" w:cs="Times New Roman"/>
          <w:b/>
          <w:bCs/>
          <w:color w:val="000000"/>
          <w:sz w:val="24"/>
          <w:szCs w:val="24"/>
          <w:lang w:val="en-US"/>
        </w:rPr>
        <w:t>intra</w:t>
      </w:r>
      <w:r>
        <w:rPr>
          <w:rFonts w:ascii="Times New Roman" w:hAnsi="Times New Roman" w:cs="Times New Roman"/>
          <w:b/>
          <w:bCs/>
          <w:color w:val="000000"/>
          <w:sz w:val="24"/>
          <w:szCs w:val="24"/>
          <w:lang w:val="en-US"/>
        </w:rPr>
        <w:t>-rater</w:t>
      </w:r>
      <w:r w:rsidRPr="005978D1">
        <w:rPr>
          <w:rFonts w:ascii="Times New Roman" w:hAnsi="Times New Roman" w:cs="Times New Roman"/>
          <w:b/>
          <w:bCs/>
          <w:color w:val="000000"/>
          <w:sz w:val="24"/>
          <w:szCs w:val="24"/>
          <w:lang w:val="en-US"/>
        </w:rPr>
        <w:t xml:space="preserve"> correlation coefficient (ICC), individual, average and probability</w:t>
      </w:r>
    </w:p>
    <w:tbl>
      <w:tblPr>
        <w:tblStyle w:val="Tabladelista3"/>
        <w:tblW w:w="9500" w:type="dxa"/>
        <w:tblInd w:w="-501" w:type="dxa"/>
        <w:tblLayout w:type="fixed"/>
        <w:tblLook w:val="04A0" w:firstRow="1" w:lastRow="0" w:firstColumn="1" w:lastColumn="0" w:noHBand="0" w:noVBand="1"/>
      </w:tblPr>
      <w:tblGrid>
        <w:gridCol w:w="4094"/>
        <w:gridCol w:w="2507"/>
        <w:gridCol w:w="1087"/>
        <w:gridCol w:w="1021"/>
        <w:gridCol w:w="791"/>
      </w:tblGrid>
      <w:tr w:rsidR="0034561D" w:rsidRPr="000960ED" w14:paraId="64DDF8AA" w14:textId="77777777" w:rsidTr="00D354D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094" w:type="dxa"/>
          </w:tcPr>
          <w:p w14:paraId="583F181D" w14:textId="77777777" w:rsidR="0034561D" w:rsidRPr="000960ED" w:rsidRDefault="0034561D" w:rsidP="00D354DB">
            <w:pPr>
              <w:jc w:val="both"/>
              <w:rPr>
                <w:rFonts w:ascii="Times New Roman" w:hAnsi="Times New Roman" w:cs="Times New Roman"/>
                <w:sz w:val="20"/>
                <w:szCs w:val="20"/>
                <w:lang w:val="en-US"/>
              </w:rPr>
            </w:pPr>
            <w:r w:rsidRPr="000960ED">
              <w:rPr>
                <w:rFonts w:ascii="Times New Roman" w:hAnsi="Times New Roman" w:cs="Times New Roman"/>
                <w:sz w:val="20"/>
                <w:szCs w:val="20"/>
                <w:lang w:val="en-US"/>
              </w:rPr>
              <w:t>Criteria</w:t>
            </w:r>
          </w:p>
        </w:tc>
        <w:tc>
          <w:tcPr>
            <w:tcW w:w="2507" w:type="dxa"/>
          </w:tcPr>
          <w:p w14:paraId="078CF637"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Test vs. re-test</w:t>
            </w:r>
          </w:p>
          <w:p w14:paraId="45CE621D"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w:t>
            </w:r>
            <w:r>
              <w:rPr>
                <w:rFonts w:ascii="Times New Roman" w:hAnsi="Times New Roman" w:cs="Times New Roman"/>
                <w:sz w:val="20"/>
                <w:szCs w:val="20"/>
                <w:lang w:val="en-US"/>
              </w:rPr>
              <w:t>mean</w:t>
            </w:r>
            <w:r w:rsidRPr="000960ED">
              <w:rPr>
                <w:rFonts w:ascii="Times New Roman" w:hAnsi="Times New Roman" w:cs="Times New Roman"/>
                <w:sz w:val="20"/>
                <w:szCs w:val="20"/>
                <w:lang w:val="en-US"/>
              </w:rPr>
              <w:t>, ∆%)</w:t>
            </w:r>
          </w:p>
        </w:tc>
        <w:tc>
          <w:tcPr>
            <w:tcW w:w="1087" w:type="dxa"/>
          </w:tcPr>
          <w:p w14:paraId="1996CCFA"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960ED">
              <w:rPr>
                <w:rFonts w:ascii="Times New Roman" w:hAnsi="Times New Roman" w:cs="Times New Roman"/>
                <w:sz w:val="20"/>
                <w:szCs w:val="20"/>
                <w:lang w:val="en-US"/>
              </w:rPr>
              <w:t xml:space="preserve">ICC </w:t>
            </w:r>
          </w:p>
          <w:p w14:paraId="49424F83"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(3,1)</w:t>
            </w:r>
          </w:p>
          <w:p w14:paraId="0FF13361"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individual</w:t>
            </w:r>
          </w:p>
        </w:tc>
        <w:tc>
          <w:tcPr>
            <w:tcW w:w="1021" w:type="dxa"/>
          </w:tcPr>
          <w:p w14:paraId="334CBB19" w14:textId="77777777" w:rsidR="0034561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960ED">
              <w:rPr>
                <w:rFonts w:ascii="Times New Roman" w:hAnsi="Times New Roman" w:cs="Times New Roman"/>
                <w:sz w:val="20"/>
                <w:szCs w:val="20"/>
                <w:lang w:val="en-US"/>
              </w:rPr>
              <w:t xml:space="preserve">ICC </w:t>
            </w:r>
          </w:p>
          <w:p w14:paraId="21B28407"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(3,1)</w:t>
            </w:r>
          </w:p>
          <w:p w14:paraId="587FC121"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average</w:t>
            </w:r>
          </w:p>
        </w:tc>
        <w:tc>
          <w:tcPr>
            <w:tcW w:w="791" w:type="dxa"/>
          </w:tcPr>
          <w:p w14:paraId="3820FEDB" w14:textId="77777777" w:rsidR="0034561D" w:rsidRPr="000960ED" w:rsidRDefault="0034561D" w:rsidP="00D354D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Prob &gt; F</w:t>
            </w:r>
          </w:p>
        </w:tc>
      </w:tr>
      <w:tr w:rsidR="0034561D" w:rsidRPr="000960ED" w14:paraId="62D80F59" w14:textId="77777777" w:rsidTr="00D354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4" w:type="dxa"/>
          </w:tcPr>
          <w:p w14:paraId="08995E4E" w14:textId="77777777" w:rsidR="0034561D" w:rsidRPr="000960ED" w:rsidRDefault="0034561D" w:rsidP="00D354DB">
            <w:pPr>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Scores, nirsevimab vs. palivizumab</w:t>
            </w:r>
          </w:p>
        </w:tc>
        <w:tc>
          <w:tcPr>
            <w:tcW w:w="2507" w:type="dxa"/>
          </w:tcPr>
          <w:p w14:paraId="7EC38277" w14:textId="77777777" w:rsidR="0034561D" w:rsidRPr="000960ED" w:rsidRDefault="0034561D" w:rsidP="00D354D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n.a.</w:t>
            </w:r>
          </w:p>
        </w:tc>
        <w:tc>
          <w:tcPr>
            <w:tcW w:w="1087" w:type="dxa"/>
          </w:tcPr>
          <w:p w14:paraId="2D710EE9" w14:textId="77777777" w:rsidR="0034561D" w:rsidRPr="000960ED" w:rsidRDefault="0034561D" w:rsidP="00D354D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0.8411</w:t>
            </w:r>
          </w:p>
        </w:tc>
        <w:tc>
          <w:tcPr>
            <w:tcW w:w="1021" w:type="dxa"/>
          </w:tcPr>
          <w:p w14:paraId="6555C7E6" w14:textId="77777777" w:rsidR="0034561D" w:rsidRPr="000960ED" w:rsidRDefault="0034561D" w:rsidP="00D354D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0.9137</w:t>
            </w:r>
          </w:p>
        </w:tc>
        <w:tc>
          <w:tcPr>
            <w:tcW w:w="791" w:type="dxa"/>
          </w:tcPr>
          <w:p w14:paraId="26E2B8CB" w14:textId="77777777" w:rsidR="0034561D" w:rsidRPr="000960ED" w:rsidRDefault="0034561D" w:rsidP="00D354D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0.0000</w:t>
            </w:r>
          </w:p>
        </w:tc>
      </w:tr>
      <w:tr w:rsidR="0034561D" w:rsidRPr="000960ED" w14:paraId="4B93BC2F" w14:textId="77777777" w:rsidTr="00D354DB">
        <w:tc>
          <w:tcPr>
            <w:cnfStyle w:val="001000000000" w:firstRow="0" w:lastRow="0" w:firstColumn="1" w:lastColumn="0" w:oddVBand="0" w:evenVBand="0" w:oddHBand="0" w:evenHBand="0" w:firstRowFirstColumn="0" w:firstRowLastColumn="0" w:lastRowFirstColumn="0" w:lastRowLastColumn="0"/>
            <w:tcW w:w="4094" w:type="dxa"/>
          </w:tcPr>
          <w:p w14:paraId="42298D52" w14:textId="77777777" w:rsidR="0034561D" w:rsidRPr="008E369C" w:rsidRDefault="0034561D" w:rsidP="00D354DB">
            <w:pPr>
              <w:rPr>
                <w:rFonts w:ascii="Times New Roman" w:hAnsi="Times New Roman" w:cs="Times New Roman"/>
                <w:color w:val="000000"/>
                <w:sz w:val="20"/>
                <w:szCs w:val="20"/>
              </w:rPr>
            </w:pPr>
            <w:r w:rsidRPr="008E369C">
              <w:rPr>
                <w:rFonts w:ascii="Times New Roman" w:hAnsi="Times New Roman" w:cs="Times New Roman"/>
                <w:color w:val="000000"/>
                <w:sz w:val="20"/>
                <w:szCs w:val="20"/>
              </w:rPr>
              <w:t xml:space="preserve">Value </w:t>
            </w:r>
            <w:proofErr w:type="spellStart"/>
            <w:r w:rsidRPr="008E369C">
              <w:rPr>
                <w:rFonts w:ascii="Times New Roman" w:hAnsi="Times New Roman" w:cs="Times New Roman"/>
                <w:color w:val="000000"/>
                <w:sz w:val="20"/>
                <w:szCs w:val="20"/>
              </w:rPr>
              <w:t>estimates</w:t>
            </w:r>
            <w:proofErr w:type="spellEnd"/>
            <w:r w:rsidRPr="008E369C">
              <w:rPr>
                <w:rFonts w:ascii="Times New Roman" w:hAnsi="Times New Roman" w:cs="Times New Roman"/>
                <w:color w:val="000000"/>
                <w:sz w:val="20"/>
                <w:szCs w:val="20"/>
              </w:rPr>
              <w:t>, nirsevimab vs. palivizumab</w:t>
            </w:r>
          </w:p>
        </w:tc>
        <w:tc>
          <w:tcPr>
            <w:tcW w:w="2507" w:type="dxa"/>
          </w:tcPr>
          <w:p w14:paraId="4F1F6252" w14:textId="77777777" w:rsidR="0034561D" w:rsidRPr="000960ED" w:rsidRDefault="0034561D" w:rsidP="00D354D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0.5848 vs. 0.6053 (+3.5%)</w:t>
            </w:r>
          </w:p>
        </w:tc>
        <w:tc>
          <w:tcPr>
            <w:tcW w:w="1087" w:type="dxa"/>
          </w:tcPr>
          <w:p w14:paraId="020BD456" w14:textId="77777777" w:rsidR="0034561D" w:rsidRPr="000960ED" w:rsidRDefault="0034561D" w:rsidP="00D354D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0.8768</w:t>
            </w:r>
          </w:p>
        </w:tc>
        <w:tc>
          <w:tcPr>
            <w:tcW w:w="1021" w:type="dxa"/>
          </w:tcPr>
          <w:p w14:paraId="1ADD93FA" w14:textId="77777777" w:rsidR="0034561D" w:rsidRPr="000960ED" w:rsidRDefault="0034561D" w:rsidP="00D354D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0.9344</w:t>
            </w:r>
          </w:p>
        </w:tc>
        <w:tc>
          <w:tcPr>
            <w:tcW w:w="791" w:type="dxa"/>
          </w:tcPr>
          <w:p w14:paraId="4182A228" w14:textId="77777777" w:rsidR="0034561D" w:rsidRPr="000960ED" w:rsidRDefault="0034561D" w:rsidP="00D354D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0.0000</w:t>
            </w:r>
          </w:p>
        </w:tc>
      </w:tr>
    </w:tbl>
    <w:p w14:paraId="0334BE86" w14:textId="77777777" w:rsidR="00330B03" w:rsidRDefault="00330B03" w:rsidP="002D1F04">
      <w:pPr>
        <w:spacing w:before="240" w:line="276" w:lineRule="auto"/>
        <w:jc w:val="both"/>
        <w:rPr>
          <w:rFonts w:ascii="Times New Roman" w:hAnsi="Times New Roman" w:cs="Times New Roman"/>
          <w:b/>
          <w:bCs/>
          <w:color w:val="000000"/>
          <w:sz w:val="24"/>
          <w:szCs w:val="24"/>
          <w:lang w:val="en-US"/>
        </w:rPr>
      </w:pPr>
    </w:p>
    <w:p w14:paraId="3D65DF15" w14:textId="7725E0FA" w:rsidR="00F40EC5" w:rsidRPr="005978D1" w:rsidRDefault="00F40EC5" w:rsidP="002D1F04">
      <w:pPr>
        <w:spacing w:before="240" w:line="276" w:lineRule="auto"/>
        <w:jc w:val="both"/>
        <w:rPr>
          <w:rFonts w:ascii="Times New Roman" w:hAnsi="Times New Roman" w:cs="Times New Roman"/>
          <w:b/>
          <w:bCs/>
          <w:color w:val="000000"/>
          <w:sz w:val="24"/>
          <w:szCs w:val="24"/>
          <w:lang w:val="en-US"/>
        </w:rPr>
      </w:pPr>
      <w:r w:rsidRPr="005978D1">
        <w:rPr>
          <w:rFonts w:ascii="Times New Roman" w:hAnsi="Times New Roman" w:cs="Times New Roman"/>
          <w:b/>
          <w:bCs/>
          <w:color w:val="000000"/>
          <w:sz w:val="24"/>
          <w:szCs w:val="24"/>
          <w:lang w:val="en-US"/>
        </w:rPr>
        <w:t>Table (S</w:t>
      </w:r>
      <w:r w:rsidR="00FD224B">
        <w:rPr>
          <w:rFonts w:ascii="Times New Roman" w:hAnsi="Times New Roman" w:cs="Times New Roman"/>
          <w:b/>
          <w:bCs/>
          <w:color w:val="000000"/>
          <w:sz w:val="24"/>
          <w:szCs w:val="24"/>
          <w:lang w:val="en-US"/>
        </w:rPr>
        <w:t>9</w:t>
      </w:r>
      <w:r w:rsidRPr="005978D1">
        <w:rPr>
          <w:rFonts w:ascii="Times New Roman" w:hAnsi="Times New Roman" w:cs="Times New Roman"/>
          <w:b/>
          <w:bCs/>
          <w:color w:val="000000"/>
          <w:sz w:val="24"/>
          <w:szCs w:val="24"/>
          <w:lang w:val="en-US"/>
        </w:rPr>
        <w:t>).</w:t>
      </w:r>
      <w:r w:rsidR="00FD224B">
        <w:rPr>
          <w:rFonts w:ascii="Times New Roman" w:hAnsi="Times New Roman" w:cs="Times New Roman"/>
          <w:b/>
          <w:bCs/>
          <w:color w:val="000000"/>
          <w:sz w:val="24"/>
          <w:szCs w:val="24"/>
          <w:lang w:val="en-US"/>
        </w:rPr>
        <w:t>6</w:t>
      </w:r>
      <w:r w:rsidRPr="005978D1">
        <w:rPr>
          <w:rFonts w:ascii="Times New Roman" w:hAnsi="Times New Roman" w:cs="Times New Roman"/>
          <w:b/>
          <w:bCs/>
          <w:color w:val="000000"/>
          <w:sz w:val="24"/>
          <w:szCs w:val="24"/>
          <w:lang w:val="en-US"/>
        </w:rPr>
        <w:t xml:space="preserve">. </w:t>
      </w:r>
      <w:r>
        <w:rPr>
          <w:rFonts w:ascii="Times New Roman" w:hAnsi="Times New Roman" w:cs="Times New Roman"/>
          <w:b/>
          <w:bCs/>
          <w:color w:val="000000"/>
          <w:sz w:val="24"/>
          <w:szCs w:val="24"/>
          <w:lang w:val="en-US"/>
        </w:rPr>
        <w:t>Mean value estimates, base case vs. substitution of weights (n, ∆%)</w:t>
      </w:r>
    </w:p>
    <w:tbl>
      <w:tblPr>
        <w:tblStyle w:val="Tabladelista3"/>
        <w:tblW w:w="0" w:type="auto"/>
        <w:tblLook w:val="04A0" w:firstRow="1" w:lastRow="0" w:firstColumn="1" w:lastColumn="0" w:noHBand="0" w:noVBand="1"/>
      </w:tblPr>
      <w:tblGrid>
        <w:gridCol w:w="2831"/>
        <w:gridCol w:w="2831"/>
        <w:gridCol w:w="2832"/>
      </w:tblGrid>
      <w:tr w:rsidR="00F40EC5" w:rsidRPr="00B53F10" w14:paraId="089E9822" w14:textId="77777777" w:rsidTr="00D354D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31" w:type="dxa"/>
          </w:tcPr>
          <w:p w14:paraId="082BFCA1" w14:textId="77777777" w:rsidR="00F40EC5" w:rsidRPr="00B53F10" w:rsidRDefault="00F40EC5" w:rsidP="00D354DB">
            <w:pPr>
              <w:spacing w:line="360" w:lineRule="auto"/>
              <w:jc w:val="both"/>
              <w:rPr>
                <w:rFonts w:ascii="Times New Roman" w:hAnsi="Times New Roman" w:cs="Times New Roman"/>
                <w:sz w:val="20"/>
                <w:szCs w:val="20"/>
                <w:lang w:val="en-US"/>
              </w:rPr>
            </w:pPr>
          </w:p>
        </w:tc>
        <w:tc>
          <w:tcPr>
            <w:tcW w:w="2831" w:type="dxa"/>
          </w:tcPr>
          <w:p w14:paraId="1A87515B" w14:textId="77777777" w:rsidR="00F40EC5" w:rsidRPr="00B53F10" w:rsidRDefault="00F40EC5" w:rsidP="00D354D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B53F10">
              <w:rPr>
                <w:rFonts w:ascii="Times New Roman" w:hAnsi="Times New Roman" w:cs="Times New Roman"/>
                <w:sz w:val="20"/>
                <w:szCs w:val="20"/>
                <w:lang w:val="en-US"/>
              </w:rPr>
              <w:t>Favorable analysis</w:t>
            </w:r>
          </w:p>
        </w:tc>
        <w:tc>
          <w:tcPr>
            <w:tcW w:w="2832" w:type="dxa"/>
          </w:tcPr>
          <w:p w14:paraId="5448D19F" w14:textId="77777777" w:rsidR="00F40EC5" w:rsidRPr="00B53F10" w:rsidRDefault="00F40EC5" w:rsidP="00D354D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B53F10">
              <w:rPr>
                <w:rFonts w:ascii="Times New Roman" w:hAnsi="Times New Roman" w:cs="Times New Roman"/>
                <w:sz w:val="20"/>
                <w:szCs w:val="20"/>
                <w:lang w:val="en-US"/>
              </w:rPr>
              <w:t>Unfavorable analysis</w:t>
            </w:r>
          </w:p>
        </w:tc>
      </w:tr>
      <w:tr w:rsidR="00F40EC5" w:rsidRPr="00B53F10" w14:paraId="6DCC4FF2" w14:textId="77777777" w:rsidTr="00D354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2B378DAA" w14:textId="77777777" w:rsidR="00F40EC5" w:rsidRPr="00B53F10" w:rsidRDefault="00F40EC5" w:rsidP="00D354DB">
            <w:pPr>
              <w:spacing w:line="360" w:lineRule="auto"/>
              <w:jc w:val="both"/>
              <w:rPr>
                <w:rFonts w:ascii="Times New Roman" w:hAnsi="Times New Roman" w:cs="Times New Roman"/>
                <w:color w:val="000000"/>
                <w:sz w:val="20"/>
                <w:szCs w:val="20"/>
                <w:lang w:val="en-US"/>
              </w:rPr>
            </w:pPr>
            <w:r w:rsidRPr="00B53F10">
              <w:rPr>
                <w:rFonts w:ascii="Times New Roman" w:hAnsi="Times New Roman" w:cs="Times New Roman"/>
                <w:color w:val="000000"/>
                <w:sz w:val="20"/>
                <w:szCs w:val="20"/>
                <w:lang w:val="en-US"/>
              </w:rPr>
              <w:t>Nirsevimab vs. palivizumab</w:t>
            </w:r>
          </w:p>
        </w:tc>
        <w:tc>
          <w:tcPr>
            <w:tcW w:w="2831" w:type="dxa"/>
          </w:tcPr>
          <w:p w14:paraId="0D427C31" w14:textId="77777777" w:rsidR="00F40EC5" w:rsidRPr="00B53F10" w:rsidRDefault="00F40EC5" w:rsidP="00D354D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DD4A20">
              <w:rPr>
                <w:rFonts w:ascii="Times New Roman" w:hAnsi="Times New Roman" w:cs="Times New Roman"/>
                <w:color w:val="000000"/>
                <w:sz w:val="20"/>
                <w:szCs w:val="20"/>
                <w:lang w:val="en-US"/>
              </w:rPr>
              <w:t xml:space="preserve">0.5848 vs. </w:t>
            </w:r>
            <w:r>
              <w:rPr>
                <w:rFonts w:ascii="Times New Roman" w:hAnsi="Times New Roman" w:cs="Times New Roman"/>
                <w:color w:val="000000"/>
                <w:sz w:val="20"/>
                <w:szCs w:val="20"/>
                <w:lang w:val="en-US"/>
              </w:rPr>
              <w:t>0.5786</w:t>
            </w:r>
            <w:r w:rsidRPr="00DD4A20">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t>-1.1</w:t>
            </w:r>
            <w:r w:rsidRPr="00DD4A20">
              <w:rPr>
                <w:rFonts w:ascii="Times New Roman" w:hAnsi="Times New Roman" w:cs="Times New Roman"/>
                <w:color w:val="000000"/>
                <w:sz w:val="20"/>
                <w:szCs w:val="20"/>
                <w:lang w:val="en-US"/>
              </w:rPr>
              <w:t>%)</w:t>
            </w:r>
          </w:p>
        </w:tc>
        <w:tc>
          <w:tcPr>
            <w:tcW w:w="2832" w:type="dxa"/>
          </w:tcPr>
          <w:p w14:paraId="4AA31793" w14:textId="77777777" w:rsidR="00F40EC5" w:rsidRPr="00B53F10" w:rsidRDefault="00F40EC5" w:rsidP="00D354D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DD4A20">
              <w:rPr>
                <w:rFonts w:ascii="Times New Roman" w:hAnsi="Times New Roman" w:cs="Times New Roman"/>
                <w:color w:val="000000"/>
                <w:sz w:val="20"/>
                <w:szCs w:val="20"/>
                <w:lang w:val="en-US"/>
              </w:rPr>
              <w:t xml:space="preserve">0.5848 vs. </w:t>
            </w:r>
            <w:r>
              <w:rPr>
                <w:rFonts w:ascii="Times New Roman" w:hAnsi="Times New Roman" w:cs="Times New Roman"/>
                <w:color w:val="000000"/>
                <w:sz w:val="20"/>
                <w:szCs w:val="20"/>
                <w:lang w:val="en-US"/>
              </w:rPr>
              <w:t>0.5797</w:t>
            </w:r>
            <w:r w:rsidRPr="00DD4A20">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t>-0.9</w:t>
            </w:r>
            <w:r w:rsidRPr="00DD4A20">
              <w:rPr>
                <w:rFonts w:ascii="Times New Roman" w:hAnsi="Times New Roman" w:cs="Times New Roman"/>
                <w:color w:val="000000"/>
                <w:sz w:val="20"/>
                <w:szCs w:val="20"/>
                <w:lang w:val="en-US"/>
              </w:rPr>
              <w:t>%)</w:t>
            </w:r>
          </w:p>
        </w:tc>
      </w:tr>
    </w:tbl>
    <w:p w14:paraId="0C998C58" w14:textId="77777777" w:rsidR="00330B03" w:rsidRDefault="00330B03" w:rsidP="00255778">
      <w:pPr>
        <w:spacing w:before="240" w:line="276" w:lineRule="auto"/>
        <w:jc w:val="both"/>
        <w:rPr>
          <w:rFonts w:ascii="Times New Roman" w:hAnsi="Times New Roman" w:cs="Times New Roman"/>
          <w:b/>
          <w:bCs/>
          <w:color w:val="000000"/>
          <w:sz w:val="24"/>
          <w:szCs w:val="24"/>
          <w:lang w:val="en-US"/>
        </w:rPr>
      </w:pPr>
    </w:p>
    <w:p w14:paraId="54529E51" w14:textId="00BAA33C" w:rsidR="00CE503F" w:rsidRDefault="00CE503F" w:rsidP="00255778">
      <w:pPr>
        <w:spacing w:before="240" w:line="276" w:lineRule="auto"/>
        <w:jc w:val="both"/>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t>Figure</w:t>
      </w:r>
      <w:r w:rsidRPr="005978D1">
        <w:rPr>
          <w:rFonts w:ascii="Times New Roman" w:hAnsi="Times New Roman" w:cs="Times New Roman"/>
          <w:b/>
          <w:bCs/>
          <w:color w:val="000000"/>
          <w:sz w:val="24"/>
          <w:szCs w:val="24"/>
          <w:lang w:val="en-US"/>
        </w:rPr>
        <w:t xml:space="preserve"> (S</w:t>
      </w:r>
      <w:r w:rsidR="00255778">
        <w:rPr>
          <w:rFonts w:ascii="Times New Roman" w:hAnsi="Times New Roman" w:cs="Times New Roman"/>
          <w:b/>
          <w:bCs/>
          <w:color w:val="000000"/>
          <w:sz w:val="24"/>
          <w:szCs w:val="24"/>
          <w:lang w:val="en-US"/>
        </w:rPr>
        <w:t>9</w:t>
      </w:r>
      <w:r w:rsidRPr="005978D1">
        <w:rPr>
          <w:rFonts w:ascii="Times New Roman" w:hAnsi="Times New Roman" w:cs="Times New Roman"/>
          <w:b/>
          <w:bCs/>
          <w:color w:val="000000"/>
          <w:sz w:val="24"/>
          <w:szCs w:val="24"/>
          <w:lang w:val="en-US"/>
        </w:rPr>
        <w:t>).</w:t>
      </w:r>
      <w:r w:rsidR="00330B03">
        <w:rPr>
          <w:rFonts w:ascii="Times New Roman" w:hAnsi="Times New Roman" w:cs="Times New Roman"/>
          <w:b/>
          <w:bCs/>
          <w:color w:val="000000"/>
          <w:sz w:val="24"/>
          <w:szCs w:val="24"/>
          <w:lang w:val="en-US"/>
        </w:rPr>
        <w:t>1</w:t>
      </w:r>
      <w:r w:rsidRPr="005978D1">
        <w:rPr>
          <w:rFonts w:ascii="Times New Roman" w:hAnsi="Times New Roman" w:cs="Times New Roman"/>
          <w:b/>
          <w:bCs/>
          <w:color w:val="000000"/>
          <w:sz w:val="24"/>
          <w:szCs w:val="24"/>
          <w:lang w:val="en-US"/>
        </w:rPr>
        <w:t xml:space="preserve">. </w:t>
      </w:r>
      <w:r>
        <w:rPr>
          <w:rFonts w:ascii="Times New Roman" w:hAnsi="Times New Roman" w:cs="Times New Roman"/>
          <w:b/>
          <w:bCs/>
          <w:color w:val="000000"/>
          <w:sz w:val="24"/>
          <w:szCs w:val="24"/>
          <w:lang w:val="en-US"/>
        </w:rPr>
        <w:t>Mean value estimates, base case vs. excluding outlier</w:t>
      </w:r>
    </w:p>
    <w:tbl>
      <w:tblPr>
        <w:tblStyle w:val="Tablaconcuadrcula"/>
        <w:tblW w:w="0" w:type="auto"/>
        <w:tblLook w:val="04A0" w:firstRow="1" w:lastRow="0" w:firstColumn="1" w:lastColumn="0" w:noHBand="0" w:noVBand="1"/>
      </w:tblPr>
      <w:tblGrid>
        <w:gridCol w:w="7933"/>
      </w:tblGrid>
      <w:tr w:rsidR="00255778" w14:paraId="553CDE0D" w14:textId="77777777" w:rsidTr="00255778">
        <w:tc>
          <w:tcPr>
            <w:tcW w:w="7933" w:type="dxa"/>
            <w:shd w:val="clear" w:color="auto" w:fill="000000" w:themeFill="text1"/>
          </w:tcPr>
          <w:p w14:paraId="3441A3FD" w14:textId="77777777" w:rsidR="00255778" w:rsidRPr="00451B7C" w:rsidRDefault="00255778" w:rsidP="00D354DB">
            <w:pPr>
              <w:spacing w:line="276" w:lineRule="auto"/>
              <w:jc w:val="center"/>
              <w:rPr>
                <w:rFonts w:ascii="Times New Roman" w:hAnsi="Times New Roman" w:cs="Times New Roman"/>
                <w:b/>
                <w:bCs/>
                <w:color w:val="FFFFFF" w:themeColor="background1"/>
                <w:sz w:val="24"/>
                <w:szCs w:val="24"/>
                <w:lang w:val="en-US"/>
              </w:rPr>
            </w:pPr>
            <w:r>
              <w:rPr>
                <w:rFonts w:ascii="Times New Roman" w:hAnsi="Times New Roman" w:cs="Times New Roman"/>
                <w:b/>
                <w:bCs/>
                <w:color w:val="FFFFFF" w:themeColor="background1"/>
                <w:sz w:val="24"/>
                <w:szCs w:val="24"/>
                <w:lang w:val="en-US"/>
              </w:rPr>
              <w:t>nirsevimab vs. palivizumab</w:t>
            </w:r>
          </w:p>
        </w:tc>
      </w:tr>
      <w:tr w:rsidR="00255778" w14:paraId="160F697F" w14:textId="77777777" w:rsidTr="00255778">
        <w:tc>
          <w:tcPr>
            <w:tcW w:w="7933" w:type="dxa"/>
          </w:tcPr>
          <w:p w14:paraId="022EDFC4" w14:textId="58AD2995" w:rsidR="00255778" w:rsidRDefault="00255778" w:rsidP="00D354DB">
            <w:pPr>
              <w:spacing w:line="276" w:lineRule="auto"/>
              <w:jc w:val="both"/>
              <w:rPr>
                <w:rFonts w:ascii="Times New Roman" w:hAnsi="Times New Roman" w:cs="Times New Roman"/>
                <w:b/>
                <w:bCs/>
                <w:color w:val="000000"/>
                <w:sz w:val="24"/>
                <w:szCs w:val="24"/>
                <w:lang w:val="en-US"/>
              </w:rPr>
            </w:pPr>
            <w:r>
              <w:rPr>
                <w:noProof/>
              </w:rPr>
              <w:drawing>
                <wp:anchor distT="0" distB="0" distL="114300" distR="114300" simplePos="0" relativeHeight="251662336" behindDoc="0" locked="0" layoutInCell="1" allowOverlap="1" wp14:anchorId="00398B56" wp14:editId="6E4D640D">
                  <wp:simplePos x="0" y="0"/>
                  <wp:positionH relativeFrom="column">
                    <wp:posOffset>770890</wp:posOffset>
                  </wp:positionH>
                  <wp:positionV relativeFrom="paragraph">
                    <wp:posOffset>77470</wp:posOffset>
                  </wp:positionV>
                  <wp:extent cx="3257550" cy="3200232"/>
                  <wp:effectExtent l="0" t="0" r="0" b="635"/>
                  <wp:wrapNone/>
                  <wp:docPr id="2" name="Imagen 2" descr="Interfaz de usuario gráfica, Aplicación, Tabla, Exc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Aplicación, Tabla, Excel&#10;&#10;Descripción generada automáticamente"/>
                          <pic:cNvPicPr/>
                        </pic:nvPicPr>
                        <pic:blipFill rotWithShape="1">
                          <a:blip r:embed="rId11">
                            <a:extLst>
                              <a:ext uri="{28A0092B-C50C-407E-A947-70E740481C1C}">
                                <a14:useLocalDpi xmlns:a14="http://schemas.microsoft.com/office/drawing/2010/main" val="0"/>
                              </a:ext>
                            </a:extLst>
                          </a:blip>
                          <a:srcRect l="23803" t="30958" r="49676" b="22742"/>
                          <a:stretch/>
                        </pic:blipFill>
                        <pic:spPr bwMode="auto">
                          <a:xfrm>
                            <a:off x="0" y="0"/>
                            <a:ext cx="3257550" cy="320023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29CA48"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614E6966" w14:textId="0F1C3029" w:rsidR="00255778" w:rsidRDefault="00255778" w:rsidP="00D354DB">
            <w:pPr>
              <w:spacing w:line="276" w:lineRule="auto"/>
              <w:jc w:val="both"/>
              <w:rPr>
                <w:rFonts w:ascii="Times New Roman" w:hAnsi="Times New Roman" w:cs="Times New Roman"/>
                <w:b/>
                <w:bCs/>
                <w:color w:val="000000"/>
                <w:sz w:val="24"/>
                <w:szCs w:val="24"/>
                <w:lang w:val="en-US"/>
              </w:rPr>
            </w:pPr>
          </w:p>
          <w:p w14:paraId="41260B99"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4D03CC19"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5F0B62AA"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517D2C48"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306AEC88"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69C723D6"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46FE1A85" w14:textId="2BFDA62C" w:rsidR="00255778" w:rsidRDefault="00255778" w:rsidP="00D354DB">
            <w:pPr>
              <w:spacing w:line="276" w:lineRule="auto"/>
              <w:jc w:val="both"/>
              <w:rPr>
                <w:rFonts w:ascii="Times New Roman" w:hAnsi="Times New Roman" w:cs="Times New Roman"/>
                <w:b/>
                <w:bCs/>
                <w:color w:val="000000"/>
                <w:sz w:val="24"/>
                <w:szCs w:val="24"/>
                <w:lang w:val="en-US"/>
              </w:rPr>
            </w:pPr>
          </w:p>
          <w:p w14:paraId="1256EB93"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063C71DF"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24BAE8AA"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12DA803C"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47D74167"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7B7409A7" w14:textId="77777777" w:rsidR="00255778" w:rsidRDefault="00255778" w:rsidP="00D354DB">
            <w:pPr>
              <w:spacing w:line="276" w:lineRule="auto"/>
              <w:jc w:val="both"/>
              <w:rPr>
                <w:rFonts w:ascii="Times New Roman" w:hAnsi="Times New Roman" w:cs="Times New Roman"/>
                <w:b/>
                <w:bCs/>
                <w:color w:val="000000"/>
                <w:sz w:val="24"/>
                <w:szCs w:val="24"/>
                <w:lang w:val="en-US"/>
              </w:rPr>
            </w:pPr>
          </w:p>
          <w:p w14:paraId="6CA877F8" w14:textId="00C9CC3E" w:rsidR="00255778" w:rsidRDefault="00255778" w:rsidP="00D354DB">
            <w:pPr>
              <w:spacing w:line="276" w:lineRule="auto"/>
              <w:jc w:val="both"/>
              <w:rPr>
                <w:rFonts w:ascii="Times New Roman" w:hAnsi="Times New Roman" w:cs="Times New Roman"/>
                <w:b/>
                <w:bCs/>
                <w:color w:val="000000"/>
                <w:sz w:val="24"/>
                <w:szCs w:val="24"/>
                <w:lang w:val="en-US"/>
              </w:rPr>
            </w:pPr>
          </w:p>
        </w:tc>
      </w:tr>
    </w:tbl>
    <w:p w14:paraId="73FA9DCF" w14:textId="77777777" w:rsidR="002D3856" w:rsidRDefault="002D3856" w:rsidP="002D3856">
      <w:pPr>
        <w:spacing w:before="240" w:after="120" w:line="360" w:lineRule="auto"/>
        <w:jc w:val="both"/>
        <w:rPr>
          <w:lang w:val="en-US"/>
        </w:rPr>
      </w:pPr>
    </w:p>
    <w:p w14:paraId="28AC1C44" w14:textId="77777777" w:rsidR="00804D0F" w:rsidRDefault="00804D0F" w:rsidP="002D3856">
      <w:pPr>
        <w:spacing w:before="240" w:after="120" w:line="360" w:lineRule="auto"/>
        <w:jc w:val="both"/>
        <w:rPr>
          <w:lang w:val="en-US"/>
        </w:rPr>
      </w:pPr>
    </w:p>
    <w:p w14:paraId="2B080088" w14:textId="151E88EB" w:rsidR="00F31975" w:rsidRPr="00EE6FD5" w:rsidRDefault="00ED0A7D" w:rsidP="00330B03">
      <w:pPr>
        <w:pStyle w:val="Ttulo2"/>
        <w:numPr>
          <w:ilvl w:val="0"/>
          <w:numId w:val="36"/>
        </w:numPr>
        <w:spacing w:after="0" w:line="360" w:lineRule="auto"/>
        <w:ind w:left="426"/>
        <w:rPr>
          <w:rFonts w:cs="Times New Roman"/>
          <w:szCs w:val="24"/>
          <w:lang w:val="en-US"/>
        </w:rPr>
      </w:pPr>
      <w:bookmarkStart w:id="18" w:name="_Toc135731187"/>
      <w:r>
        <w:rPr>
          <w:rFonts w:cs="Times New Roman"/>
          <w:szCs w:val="24"/>
          <w:lang w:val="en-US"/>
        </w:rPr>
        <w:lastRenderedPageBreak/>
        <w:t>Key differences between comparisons</w:t>
      </w:r>
      <w:bookmarkEnd w:id="18"/>
    </w:p>
    <w:p w14:paraId="559672CC" w14:textId="1C51BF58" w:rsidR="00F66C0B" w:rsidRDefault="0015530B" w:rsidP="00FE3498">
      <w:pPr>
        <w:spacing w:after="120" w:line="36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T</w:t>
      </w:r>
      <w:r w:rsidRPr="0015530B">
        <w:rPr>
          <w:rFonts w:ascii="Times New Roman" w:hAnsi="Times New Roman" w:cs="Times New Roman"/>
          <w:color w:val="000000"/>
          <w:sz w:val="24"/>
          <w:szCs w:val="24"/>
          <w:lang w:val="en-US"/>
        </w:rPr>
        <w:t>he two criteria which mark the distinction between the comparisons</w:t>
      </w:r>
      <w:r>
        <w:rPr>
          <w:rFonts w:ascii="Times New Roman" w:hAnsi="Times New Roman" w:cs="Times New Roman"/>
          <w:color w:val="000000"/>
          <w:sz w:val="24"/>
          <w:szCs w:val="24"/>
          <w:lang w:val="en-US"/>
        </w:rPr>
        <w:t xml:space="preserve"> between nirsevimab vs placebo and nirsevimab vs. palivizumab are</w:t>
      </w:r>
      <w:r w:rsidRPr="0015530B">
        <w:rPr>
          <w:rFonts w:ascii="Times New Roman" w:hAnsi="Times New Roman" w:cs="Times New Roman"/>
          <w:color w:val="000000"/>
          <w:sz w:val="24"/>
          <w:szCs w:val="24"/>
          <w:lang w:val="en-US"/>
        </w:rPr>
        <w:t>: (i) in efficacy of the preventive measure, nirsevimab has an estimated value of 0.04 vs. placebo and 0.02 vs. palivizumab; (ii) in monetary cost of the preventive measure, nirsevimab obtained an estimated value of -0.03 vs. placebo, and 0.02 vs. palivizumab. (iii) on the remaining relative criteria, final estimated values were close to equal, in both comparisons</w:t>
      </w:r>
      <w:r w:rsidR="00FE3498">
        <w:rPr>
          <w:rFonts w:ascii="Times New Roman" w:hAnsi="Times New Roman" w:cs="Times New Roman"/>
          <w:color w:val="000000"/>
          <w:sz w:val="24"/>
          <w:szCs w:val="24"/>
          <w:lang w:val="en-US"/>
        </w:rPr>
        <w:t>.</w:t>
      </w:r>
    </w:p>
    <w:p w14:paraId="6ADF753A" w14:textId="77777777" w:rsidR="005436A8" w:rsidRDefault="005436A8" w:rsidP="00FE3498">
      <w:pPr>
        <w:spacing w:after="120" w:line="360" w:lineRule="auto"/>
        <w:jc w:val="both"/>
        <w:rPr>
          <w:rFonts w:ascii="Times New Roman" w:hAnsi="Times New Roman" w:cs="Times New Roman"/>
          <w:color w:val="000000"/>
          <w:sz w:val="24"/>
          <w:szCs w:val="24"/>
          <w:lang w:val="en-US"/>
        </w:rPr>
      </w:pPr>
    </w:p>
    <w:p w14:paraId="590C9326"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16034A66"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12290F7C"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62630108"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3A6D2DB7"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1AF5F451"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68BBFDBE"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1B9D570C"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3BD2A7D1"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240C0D78"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3B210156"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2C11D9CF"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68BF2B4C"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2DA97212"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3B4FF7F0"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334BD1BF"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316E1728"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78223D73" w14:textId="77777777" w:rsidR="003F0334" w:rsidRDefault="003F0334" w:rsidP="00FE3498">
      <w:pPr>
        <w:spacing w:after="120" w:line="360" w:lineRule="auto"/>
        <w:jc w:val="both"/>
        <w:rPr>
          <w:rFonts w:ascii="Times New Roman" w:hAnsi="Times New Roman" w:cs="Times New Roman"/>
          <w:color w:val="000000"/>
          <w:sz w:val="24"/>
          <w:szCs w:val="24"/>
          <w:lang w:val="en-US"/>
        </w:rPr>
      </w:pPr>
    </w:p>
    <w:p w14:paraId="5D2B8230" w14:textId="77777777" w:rsidR="00940170" w:rsidRDefault="00940170" w:rsidP="00940170">
      <w:pPr>
        <w:pStyle w:val="Ttulo1"/>
        <w:rPr>
          <w:lang w:val="en-US"/>
        </w:rPr>
      </w:pPr>
      <w:bookmarkStart w:id="19" w:name="_Toc135731188"/>
      <w:r>
        <w:rPr>
          <w:lang w:val="en-US"/>
        </w:rPr>
        <w:lastRenderedPageBreak/>
        <w:t>List of abbreviations</w:t>
      </w:r>
      <w:bookmarkEnd w:id="19"/>
    </w:p>
    <w:p w14:paraId="1FCC2C57" w14:textId="788843CE" w:rsidR="001F3800" w:rsidRDefault="001F380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ALRTI</w:t>
      </w:r>
      <w:r>
        <w:rPr>
          <w:rFonts w:ascii="Times New Roman" w:hAnsi="Times New Roman" w:cs="Times New Roman"/>
          <w:sz w:val="24"/>
          <w:szCs w:val="24"/>
          <w:lang w:val="en-US"/>
        </w:rPr>
        <w:tab/>
      </w:r>
      <w:r>
        <w:rPr>
          <w:rFonts w:ascii="Times New Roman" w:hAnsi="Times New Roman" w:cs="Times New Roman"/>
          <w:sz w:val="24"/>
          <w:szCs w:val="24"/>
          <w:lang w:val="en-US"/>
        </w:rPr>
        <w:tab/>
        <w:t>acute lower</w:t>
      </w:r>
      <w:r w:rsidR="007F6DA0">
        <w:rPr>
          <w:rFonts w:ascii="Times New Roman" w:hAnsi="Times New Roman" w:cs="Times New Roman"/>
          <w:sz w:val="24"/>
          <w:szCs w:val="24"/>
          <w:lang w:val="en-US"/>
        </w:rPr>
        <w:t xml:space="preserve"> respiratory tract infections</w:t>
      </w:r>
      <w:r>
        <w:rPr>
          <w:rFonts w:ascii="Times New Roman" w:hAnsi="Times New Roman" w:cs="Times New Roman"/>
          <w:sz w:val="24"/>
          <w:szCs w:val="24"/>
          <w:lang w:val="en-US"/>
        </w:rPr>
        <w:t xml:space="preserve"> </w:t>
      </w:r>
    </w:p>
    <w:p w14:paraId="44A3867F" w14:textId="4F99C04E" w:rsidR="00620AB4" w:rsidRDefault="00620AB4"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CHD</w:t>
      </w:r>
      <w:r>
        <w:rPr>
          <w:rFonts w:ascii="Times New Roman" w:hAnsi="Times New Roman" w:cs="Times New Roman"/>
          <w:sz w:val="24"/>
          <w:szCs w:val="24"/>
          <w:lang w:val="en-US"/>
        </w:rPr>
        <w:tab/>
      </w:r>
      <w:r>
        <w:rPr>
          <w:rFonts w:ascii="Times New Roman" w:hAnsi="Times New Roman" w:cs="Times New Roman"/>
          <w:sz w:val="24"/>
          <w:szCs w:val="24"/>
          <w:lang w:val="en-US"/>
        </w:rPr>
        <w:tab/>
        <w:t>congenital heart disease</w:t>
      </w:r>
    </w:p>
    <w:p w14:paraId="0E6D847B" w14:textId="407E3427" w:rsidR="001F3800" w:rsidRDefault="001F380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CHMP</w:t>
      </w:r>
      <w:r>
        <w:rPr>
          <w:rFonts w:ascii="Times New Roman" w:hAnsi="Times New Roman" w:cs="Times New Roman"/>
          <w:sz w:val="24"/>
          <w:szCs w:val="24"/>
          <w:lang w:val="en-US"/>
        </w:rPr>
        <w:tab/>
      </w:r>
      <w:r>
        <w:rPr>
          <w:rFonts w:ascii="Times New Roman" w:hAnsi="Times New Roman" w:cs="Times New Roman"/>
          <w:sz w:val="24"/>
          <w:szCs w:val="24"/>
          <w:lang w:val="en-US"/>
        </w:rPr>
        <w:tab/>
        <w:t>Committee for the Evaluation of Medicinal Products for Human Use (EMA)</w:t>
      </w:r>
    </w:p>
    <w:p w14:paraId="58566483" w14:textId="3BA6C05B" w:rsidR="00620AB4" w:rsidRDefault="00620AB4"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CLD</w:t>
      </w:r>
      <w:r>
        <w:rPr>
          <w:rFonts w:ascii="Times New Roman" w:hAnsi="Times New Roman" w:cs="Times New Roman"/>
          <w:sz w:val="24"/>
          <w:szCs w:val="24"/>
          <w:lang w:val="en-US"/>
        </w:rPr>
        <w:tab/>
      </w:r>
      <w:r>
        <w:rPr>
          <w:rFonts w:ascii="Times New Roman" w:hAnsi="Times New Roman" w:cs="Times New Roman"/>
          <w:sz w:val="24"/>
          <w:szCs w:val="24"/>
          <w:lang w:val="en-US"/>
        </w:rPr>
        <w:tab/>
        <w:t>c</w:t>
      </w:r>
      <w:r w:rsidR="004653EE">
        <w:rPr>
          <w:rFonts w:ascii="Times New Roman" w:hAnsi="Times New Roman" w:cs="Times New Roman"/>
          <w:sz w:val="24"/>
          <w:szCs w:val="24"/>
          <w:lang w:val="en-US"/>
        </w:rPr>
        <w:t>hronic lung disease</w:t>
      </w:r>
    </w:p>
    <w:p w14:paraId="43DE856B" w14:textId="58733F76" w:rsidR="007F6DA0" w:rsidRDefault="007F6DA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ED</w:t>
      </w:r>
      <w:r>
        <w:rPr>
          <w:rFonts w:ascii="Times New Roman" w:hAnsi="Times New Roman" w:cs="Times New Roman"/>
          <w:sz w:val="24"/>
          <w:szCs w:val="24"/>
          <w:lang w:val="en-US"/>
        </w:rPr>
        <w:tab/>
      </w:r>
      <w:r>
        <w:rPr>
          <w:rFonts w:ascii="Times New Roman" w:hAnsi="Times New Roman" w:cs="Times New Roman"/>
          <w:sz w:val="24"/>
          <w:szCs w:val="24"/>
          <w:lang w:val="en-US"/>
        </w:rPr>
        <w:tab/>
        <w:t>emergency department</w:t>
      </w:r>
    </w:p>
    <w:p w14:paraId="49488397" w14:textId="2540D956" w:rsidR="001F3800" w:rsidRDefault="001F380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EMA</w:t>
      </w:r>
      <w:r>
        <w:rPr>
          <w:rFonts w:ascii="Times New Roman" w:hAnsi="Times New Roman" w:cs="Times New Roman"/>
          <w:sz w:val="24"/>
          <w:szCs w:val="24"/>
          <w:lang w:val="en-US"/>
        </w:rPr>
        <w:tab/>
      </w:r>
      <w:r>
        <w:rPr>
          <w:rFonts w:ascii="Times New Roman" w:hAnsi="Times New Roman" w:cs="Times New Roman"/>
          <w:sz w:val="24"/>
          <w:szCs w:val="24"/>
          <w:lang w:val="en-US"/>
        </w:rPr>
        <w:tab/>
        <w:t>European Medicines Agency</w:t>
      </w:r>
    </w:p>
    <w:p w14:paraId="4553070B" w14:textId="60444818" w:rsidR="004653EE" w:rsidRDefault="004653EE"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GCP</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4653EE">
        <w:rPr>
          <w:rFonts w:ascii="Times New Roman" w:hAnsi="Times New Roman" w:cs="Times New Roman"/>
          <w:sz w:val="24"/>
          <w:szCs w:val="24"/>
          <w:lang w:val="en-US"/>
        </w:rPr>
        <w:t>Good Clinical Practices</w:t>
      </w:r>
    </w:p>
    <w:p w14:paraId="6AB40FEE" w14:textId="532E45E6" w:rsidR="004653EE" w:rsidRDefault="004653EE" w:rsidP="004653EE">
      <w:pPr>
        <w:spacing w:before="240" w:after="120" w:line="360" w:lineRule="auto"/>
        <w:ind w:left="1410" w:hanging="1410"/>
        <w:jc w:val="both"/>
        <w:rPr>
          <w:rFonts w:ascii="Times New Roman" w:hAnsi="Times New Roman" w:cs="Times New Roman"/>
          <w:sz w:val="24"/>
          <w:szCs w:val="24"/>
          <w:lang w:val="en-US"/>
        </w:rPr>
      </w:pPr>
      <w:r>
        <w:rPr>
          <w:rFonts w:ascii="Times New Roman" w:hAnsi="Times New Roman" w:cs="Times New Roman"/>
          <w:sz w:val="24"/>
          <w:szCs w:val="24"/>
          <w:lang w:val="en-US"/>
        </w:rPr>
        <w:t>ICH</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4653EE">
        <w:rPr>
          <w:rFonts w:ascii="Times New Roman" w:hAnsi="Times New Roman" w:cs="Times New Roman"/>
          <w:sz w:val="24"/>
          <w:szCs w:val="24"/>
          <w:lang w:val="en-US"/>
        </w:rPr>
        <w:t>International Conference on Harmonization of Technical Requirements for Pharmaceuticals for Human Use</w:t>
      </w:r>
    </w:p>
    <w:p w14:paraId="7557E9ED" w14:textId="0F3B22D5" w:rsidR="0077637B" w:rsidRDefault="0077637B"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MCDA</w:t>
      </w:r>
      <w:r>
        <w:rPr>
          <w:rFonts w:ascii="Times New Roman" w:hAnsi="Times New Roman" w:cs="Times New Roman"/>
          <w:sz w:val="24"/>
          <w:szCs w:val="24"/>
          <w:lang w:val="en-US"/>
        </w:rPr>
        <w:tab/>
        <w:t>multi-criteria decision analysis</w:t>
      </w:r>
    </w:p>
    <w:p w14:paraId="353E7E62" w14:textId="7D6D94C0" w:rsidR="007F6DA0" w:rsidRDefault="007F6DA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OR</w:t>
      </w:r>
      <w:r>
        <w:rPr>
          <w:rFonts w:ascii="Times New Roman" w:hAnsi="Times New Roman" w:cs="Times New Roman"/>
          <w:sz w:val="24"/>
          <w:szCs w:val="24"/>
          <w:lang w:val="en-US"/>
        </w:rPr>
        <w:tab/>
      </w:r>
      <w:r>
        <w:rPr>
          <w:rFonts w:ascii="Times New Roman" w:hAnsi="Times New Roman" w:cs="Times New Roman"/>
          <w:sz w:val="24"/>
          <w:szCs w:val="24"/>
          <w:lang w:val="en-US"/>
        </w:rPr>
        <w:tab/>
      </w:r>
      <w:r w:rsidR="00620AB4">
        <w:rPr>
          <w:rFonts w:ascii="Times New Roman" w:hAnsi="Times New Roman" w:cs="Times New Roman"/>
          <w:sz w:val="24"/>
          <w:szCs w:val="24"/>
          <w:lang w:val="en-US"/>
        </w:rPr>
        <w:t>o</w:t>
      </w:r>
      <w:r>
        <w:rPr>
          <w:rFonts w:ascii="Times New Roman" w:hAnsi="Times New Roman" w:cs="Times New Roman"/>
          <w:sz w:val="24"/>
          <w:szCs w:val="24"/>
          <w:lang w:val="en-US"/>
        </w:rPr>
        <w:t>dd ratio</w:t>
      </w:r>
    </w:p>
    <w:p w14:paraId="21724DB0" w14:textId="4880D0B8" w:rsidR="00D30629" w:rsidRDefault="00D30629"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w:t>
      </w:r>
      <w:r w:rsidRPr="00D30629">
        <w:rPr>
          <w:rFonts w:ascii="Times New Roman" w:hAnsi="Times New Roman" w:cs="Times New Roman"/>
          <w:sz w:val="24"/>
          <w:szCs w:val="24"/>
          <w:vertAlign w:val="subscript"/>
          <w:lang w:val="en-US"/>
        </w:rPr>
        <w:t>0</w:t>
      </w:r>
      <w:r>
        <w:rPr>
          <w:rFonts w:ascii="Times New Roman" w:hAnsi="Times New Roman" w:cs="Times New Roman"/>
          <w:sz w:val="24"/>
          <w:szCs w:val="24"/>
          <w:lang w:val="en-US"/>
        </w:rPr>
        <w:tab/>
      </w:r>
      <w:r>
        <w:rPr>
          <w:rFonts w:ascii="Times New Roman" w:hAnsi="Times New Roman" w:cs="Times New Roman"/>
          <w:sz w:val="24"/>
          <w:szCs w:val="24"/>
          <w:lang w:val="en-US"/>
        </w:rPr>
        <w:tab/>
        <w:t>R-naught, basic reproduction number</w:t>
      </w:r>
    </w:p>
    <w:p w14:paraId="762CDC20" w14:textId="77777777" w:rsidR="004653EE" w:rsidRDefault="0077637B"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RSV</w:t>
      </w:r>
      <w:r>
        <w:rPr>
          <w:rFonts w:ascii="Times New Roman" w:hAnsi="Times New Roman" w:cs="Times New Roman"/>
          <w:sz w:val="24"/>
          <w:szCs w:val="24"/>
          <w:lang w:val="en-US"/>
        </w:rPr>
        <w:tab/>
      </w:r>
      <w:r>
        <w:rPr>
          <w:rFonts w:ascii="Times New Roman" w:hAnsi="Times New Roman" w:cs="Times New Roman"/>
          <w:sz w:val="24"/>
          <w:szCs w:val="24"/>
          <w:lang w:val="en-US"/>
        </w:rPr>
        <w:tab/>
        <w:t>respiratory syncytial virus</w:t>
      </w:r>
    </w:p>
    <w:p w14:paraId="10E1250B" w14:textId="1ECE911F" w:rsidR="00A442E9" w:rsidRPr="00940170" w:rsidRDefault="004653EE" w:rsidP="005A010F">
      <w:pPr>
        <w:spacing w:before="240" w:after="120" w:line="360" w:lineRule="auto"/>
        <w:jc w:val="both"/>
        <w:rPr>
          <w:rFonts w:ascii="Times New Roman" w:eastAsiaTheme="majorEastAsia" w:hAnsi="Times New Roman" w:cs="Times New Roman"/>
          <w:sz w:val="24"/>
          <w:szCs w:val="24"/>
          <w:lang w:val="en-US"/>
        </w:rPr>
      </w:pPr>
      <w:r>
        <w:rPr>
          <w:rFonts w:ascii="Times New Roman" w:hAnsi="Times New Roman" w:cs="Times New Roman"/>
          <w:sz w:val="24"/>
          <w:szCs w:val="24"/>
          <w:lang w:val="en-US"/>
        </w:rPr>
        <w:t>WHO</w:t>
      </w:r>
      <w:r>
        <w:rPr>
          <w:rFonts w:ascii="Times New Roman" w:hAnsi="Times New Roman" w:cs="Times New Roman"/>
          <w:sz w:val="24"/>
          <w:szCs w:val="24"/>
          <w:lang w:val="en-US"/>
        </w:rPr>
        <w:tab/>
      </w:r>
      <w:r>
        <w:rPr>
          <w:rFonts w:ascii="Times New Roman" w:hAnsi="Times New Roman" w:cs="Times New Roman"/>
          <w:sz w:val="24"/>
          <w:szCs w:val="24"/>
          <w:lang w:val="en-US"/>
        </w:rPr>
        <w:tab/>
        <w:t>World Health Organization</w:t>
      </w:r>
      <w:r w:rsidR="00AD23AB" w:rsidRPr="00940170">
        <w:rPr>
          <w:rFonts w:ascii="Times New Roman" w:hAnsi="Times New Roman" w:cs="Times New Roman"/>
          <w:sz w:val="24"/>
          <w:szCs w:val="24"/>
          <w:lang w:val="en-US"/>
        </w:rPr>
        <w:br w:type="page"/>
      </w:r>
    </w:p>
    <w:p w14:paraId="2856C288" w14:textId="695B53F5" w:rsidR="00A442E9" w:rsidRPr="00B21236" w:rsidRDefault="00E45F2A">
      <w:pPr>
        <w:pStyle w:val="Ttulo1"/>
        <w:spacing w:after="480" w:line="360" w:lineRule="auto"/>
        <w:rPr>
          <w:rFonts w:cs="Times New Roman"/>
          <w:szCs w:val="28"/>
          <w:lang w:val="en-US"/>
        </w:rPr>
      </w:pPr>
      <w:bookmarkStart w:id="20" w:name="_Toc135731189"/>
      <w:r w:rsidRPr="00B21236">
        <w:rPr>
          <w:rFonts w:cs="Times New Roman"/>
          <w:szCs w:val="28"/>
          <w:lang w:val="en-US"/>
        </w:rPr>
        <w:lastRenderedPageBreak/>
        <w:t>References</w:t>
      </w:r>
      <w:bookmarkEnd w:id="20"/>
    </w:p>
    <w:bookmarkStart w:id="21" w:name="_Hlk138160046"/>
    <w:p w14:paraId="244A718C" w14:textId="77777777" w:rsidR="00874409" w:rsidRPr="00874409" w:rsidRDefault="00E50024" w:rsidP="00874409">
      <w:pPr>
        <w:pStyle w:val="Bibliografa"/>
        <w:rPr>
          <w:rFonts w:ascii="Calibri" w:hAnsi="Calibri" w:cs="Calibri"/>
        </w:rPr>
      </w:pPr>
      <w:r w:rsidRPr="00B21236">
        <w:rPr>
          <w:lang w:val="en-US"/>
        </w:rPr>
        <w:fldChar w:fldCharType="begin"/>
      </w:r>
      <w:r w:rsidR="007A550A">
        <w:rPr>
          <w:lang w:val="en-US"/>
        </w:rPr>
        <w:instrText xml:space="preserve"> ADDIN ZOTERO_BIBL {"uncited":[],"omitted":[],"custom":[]} CSL_BIBLIOGRAPHY </w:instrText>
      </w:r>
      <w:r w:rsidRPr="00B21236">
        <w:rPr>
          <w:lang w:val="en-US"/>
        </w:rPr>
        <w:fldChar w:fldCharType="separate"/>
      </w:r>
      <w:r w:rsidR="00874409" w:rsidRPr="00874409">
        <w:rPr>
          <w:rFonts w:ascii="Calibri" w:hAnsi="Calibri" w:cs="Calibri"/>
        </w:rPr>
        <w:t xml:space="preserve">[1] </w:t>
      </w:r>
      <w:r w:rsidR="00874409" w:rsidRPr="00874409">
        <w:rPr>
          <w:rFonts w:ascii="Calibri" w:hAnsi="Calibri" w:cs="Calibri"/>
        </w:rPr>
        <w:tab/>
        <w:t>Steen JT van der, Bogert CA van den, Soest-Poortvliet MC van, et al. Determinants of selective reporting: A taxonomy based on content analysis of a random selection of the literature. PLOS ONE. 2018;13:e0188247.</w:t>
      </w:r>
    </w:p>
    <w:p w14:paraId="56F2C094" w14:textId="77777777" w:rsidR="00874409" w:rsidRPr="00874409" w:rsidRDefault="00874409" w:rsidP="00874409">
      <w:pPr>
        <w:pStyle w:val="Bibliografa"/>
        <w:rPr>
          <w:rFonts w:ascii="Calibri" w:hAnsi="Calibri" w:cs="Calibri"/>
        </w:rPr>
      </w:pPr>
      <w:r w:rsidRPr="00874409">
        <w:rPr>
          <w:rFonts w:ascii="Calibri" w:hAnsi="Calibri" w:cs="Calibri"/>
        </w:rPr>
        <w:t xml:space="preserve">[2] </w:t>
      </w:r>
      <w:r w:rsidRPr="00874409">
        <w:rPr>
          <w:rFonts w:ascii="Calibri" w:hAnsi="Calibri" w:cs="Calibri"/>
        </w:rPr>
        <w:tab/>
        <w:t>EMA. Beyfortus marketing authorisation [Internet]. Eur. Med. Agency. 2022. Available from: https://www.ema.europa.eu/en/medicines/human/EPAR/beyfortus.</w:t>
      </w:r>
    </w:p>
    <w:p w14:paraId="39D2DADD" w14:textId="77777777" w:rsidR="00874409" w:rsidRPr="00874409" w:rsidRDefault="00874409" w:rsidP="00874409">
      <w:pPr>
        <w:pStyle w:val="Bibliografa"/>
        <w:rPr>
          <w:rFonts w:ascii="Calibri" w:hAnsi="Calibri" w:cs="Calibri"/>
        </w:rPr>
      </w:pPr>
      <w:r w:rsidRPr="00874409">
        <w:rPr>
          <w:rFonts w:ascii="Calibri" w:hAnsi="Calibri" w:cs="Calibri"/>
        </w:rPr>
        <w:t xml:space="preserve">[3] </w:t>
      </w:r>
      <w:r w:rsidRPr="00874409">
        <w:rPr>
          <w:rFonts w:ascii="Calibri" w:hAnsi="Calibri" w:cs="Calibri"/>
        </w:rPr>
        <w:tab/>
        <w:t>EMA. Authorisation details of palivizumab (Synagis®) [Internet]. Eur. Med. Agency. 1999 [cited 2022 Oct 25]. Available from: https://www.ema.europa.eu/en/medicines/human/EPAR/synagis.</w:t>
      </w:r>
    </w:p>
    <w:p w14:paraId="692315BE" w14:textId="77777777" w:rsidR="00874409" w:rsidRPr="00874409" w:rsidRDefault="00874409" w:rsidP="00874409">
      <w:pPr>
        <w:pStyle w:val="Bibliografa"/>
        <w:rPr>
          <w:rFonts w:ascii="Calibri" w:hAnsi="Calibri" w:cs="Calibri"/>
        </w:rPr>
      </w:pPr>
      <w:r w:rsidRPr="00874409">
        <w:rPr>
          <w:rFonts w:ascii="Calibri" w:hAnsi="Calibri" w:cs="Calibri"/>
        </w:rPr>
        <w:t xml:space="preserve">[4] </w:t>
      </w:r>
      <w:r w:rsidRPr="00874409">
        <w:rPr>
          <w:rFonts w:ascii="Calibri" w:hAnsi="Calibri" w:cs="Calibri"/>
        </w:rPr>
        <w:tab/>
        <w:t>Agència d’informació, Avaluació i Qualitat en Salut. Recomanacions d’ús de palivizumab per a la prevenció de les hospitalitzacions per infecció greu per virus sincític respiratori. 2012;32.</w:t>
      </w:r>
    </w:p>
    <w:p w14:paraId="0206027A" w14:textId="77777777" w:rsidR="00874409" w:rsidRPr="00874409" w:rsidRDefault="00874409" w:rsidP="00874409">
      <w:pPr>
        <w:pStyle w:val="Bibliografa"/>
        <w:rPr>
          <w:rFonts w:ascii="Calibri" w:hAnsi="Calibri" w:cs="Calibri"/>
        </w:rPr>
      </w:pPr>
      <w:r w:rsidRPr="00874409">
        <w:rPr>
          <w:rFonts w:ascii="Calibri" w:hAnsi="Calibri" w:cs="Calibri"/>
        </w:rPr>
        <w:t xml:space="preserve">[5] </w:t>
      </w:r>
      <w:r w:rsidRPr="00874409">
        <w:rPr>
          <w:rFonts w:ascii="Calibri" w:hAnsi="Calibri" w:cs="Calibri"/>
        </w:rPr>
        <w:tab/>
        <w:t>Drago G, Roiz J, Kazmierska P, et al. Modeled impact of Nirsevimab against respiratory syncytial virus (RSV) AMONG Spanish infants experiencing their first RSV season [oral presentation O024 / #1329]. ESPID Athens 9-13th May [Internet]. 2022; Available from: https://keneswp.azureedge.net/wp-content/uploads/sites/162/2022/05/ESPID22-Abstracts-Book.pdf.</w:t>
      </w:r>
    </w:p>
    <w:p w14:paraId="3B99BDBD" w14:textId="77777777" w:rsidR="00874409" w:rsidRPr="00874409" w:rsidRDefault="00874409" w:rsidP="00874409">
      <w:pPr>
        <w:pStyle w:val="Bibliografa"/>
        <w:rPr>
          <w:rFonts w:ascii="Calibri" w:hAnsi="Calibri" w:cs="Calibri"/>
        </w:rPr>
      </w:pPr>
      <w:r w:rsidRPr="00874409">
        <w:rPr>
          <w:rFonts w:ascii="Calibri" w:hAnsi="Calibri" w:cs="Calibri"/>
        </w:rPr>
        <w:t xml:space="preserve">[6] </w:t>
      </w:r>
      <w:r w:rsidRPr="00874409">
        <w:rPr>
          <w:rFonts w:ascii="Calibri" w:hAnsi="Calibri" w:cs="Calibri"/>
        </w:rPr>
        <w:tab/>
        <w:t>IMpact-RSV Study Group. Palivizumab, a humanized respiratory syncytial virus monoclonal antibody, reduces hospitalization from respiratory syncytial virus infection in high-risk infants. The IMpact-RSV Study Group. Pediatrics. 1998;102:531–537.</w:t>
      </w:r>
    </w:p>
    <w:p w14:paraId="1410D714" w14:textId="77777777" w:rsidR="00874409" w:rsidRPr="00874409" w:rsidRDefault="00874409" w:rsidP="00874409">
      <w:pPr>
        <w:pStyle w:val="Bibliografa"/>
        <w:rPr>
          <w:rFonts w:ascii="Calibri" w:hAnsi="Calibri" w:cs="Calibri"/>
        </w:rPr>
      </w:pPr>
      <w:r w:rsidRPr="00874409">
        <w:rPr>
          <w:rFonts w:ascii="Calibri" w:hAnsi="Calibri" w:cs="Calibri"/>
        </w:rPr>
        <w:t xml:space="preserve">[7] </w:t>
      </w:r>
      <w:r w:rsidRPr="00874409">
        <w:rPr>
          <w:rFonts w:ascii="Calibri" w:hAnsi="Calibri" w:cs="Calibri"/>
        </w:rPr>
        <w:tab/>
        <w:t>ClinicalTrials.gov. A Phase 2b Randomized, Double-Blind, Placebo-controlled Study to Evaluate the Safety and Efficacy of MEDI8897, a Monoclonal Antibody With an Extended Half-life Against Respiratory Syncytial Virus, in Healthy Preterm Infants [Internet]. 2019. Available from: https://clinicaltrials.gov/ct2/show/NCT02878330.</w:t>
      </w:r>
    </w:p>
    <w:p w14:paraId="6517D575" w14:textId="77777777" w:rsidR="00874409" w:rsidRPr="00874409" w:rsidRDefault="00874409" w:rsidP="00874409">
      <w:pPr>
        <w:pStyle w:val="Bibliografa"/>
        <w:rPr>
          <w:rFonts w:ascii="Calibri" w:hAnsi="Calibri" w:cs="Calibri"/>
        </w:rPr>
      </w:pPr>
      <w:r w:rsidRPr="00874409">
        <w:rPr>
          <w:rFonts w:ascii="Calibri" w:hAnsi="Calibri" w:cs="Calibri"/>
        </w:rPr>
        <w:t xml:space="preserve">[8] </w:t>
      </w:r>
      <w:r w:rsidRPr="00874409">
        <w:rPr>
          <w:rFonts w:ascii="Calibri" w:hAnsi="Calibri" w:cs="Calibri"/>
        </w:rPr>
        <w:tab/>
        <w:t>Griffin MP, Yuan Y, Takas T, et al. Single-Dose Nirsevimab for Prevention of RSV in Preterm Infants. N Engl J Med. 2020;383:415–425.</w:t>
      </w:r>
    </w:p>
    <w:p w14:paraId="5E64D660" w14:textId="77777777" w:rsidR="00874409" w:rsidRPr="00874409" w:rsidRDefault="00874409" w:rsidP="00874409">
      <w:pPr>
        <w:pStyle w:val="Bibliografa"/>
        <w:rPr>
          <w:rFonts w:ascii="Calibri" w:hAnsi="Calibri" w:cs="Calibri"/>
        </w:rPr>
      </w:pPr>
      <w:r w:rsidRPr="00874409">
        <w:rPr>
          <w:rFonts w:ascii="Calibri" w:hAnsi="Calibri" w:cs="Calibri"/>
        </w:rPr>
        <w:t xml:space="preserve">[9] </w:t>
      </w:r>
      <w:r w:rsidRPr="00874409">
        <w:rPr>
          <w:rFonts w:ascii="Calibri" w:hAnsi="Calibri" w:cs="Calibri"/>
        </w:rPr>
        <w:tab/>
        <w:t>ClinicalTrials.gov. A Phase 2/3 Randomized, Double-blind, Palivizumab-controlled Study to Evaluate the Safety of MEDI8897, a Monoclonal Antibody With an Extended Half-life Against Respiratory Syncytial Virus, in High-risk Children (MEDLEY), NCT03959488 [Internet]. 2022. Available from: https://clinicaltrials.gov/ct2/show/NCT03959488.</w:t>
      </w:r>
    </w:p>
    <w:p w14:paraId="5D80F7CA" w14:textId="77777777" w:rsidR="00874409" w:rsidRPr="00874409" w:rsidRDefault="00874409" w:rsidP="00874409">
      <w:pPr>
        <w:pStyle w:val="Bibliografa"/>
        <w:rPr>
          <w:rFonts w:ascii="Calibri" w:hAnsi="Calibri" w:cs="Calibri"/>
        </w:rPr>
      </w:pPr>
      <w:r w:rsidRPr="00874409">
        <w:rPr>
          <w:rFonts w:ascii="Calibri" w:hAnsi="Calibri" w:cs="Calibri"/>
        </w:rPr>
        <w:t xml:space="preserve">[10] </w:t>
      </w:r>
      <w:r w:rsidRPr="00874409">
        <w:rPr>
          <w:rFonts w:ascii="Calibri" w:hAnsi="Calibri" w:cs="Calibri"/>
        </w:rPr>
        <w:tab/>
        <w:t>ClinicalTrials.gov. A Phase 3 Randomized, Double-blind, Placebo-controlled Study to Evaluate the Safety and Efficacy of MEDI8897, a Monoclonal Antibody With an Extended Half-life Against Respiratory Syncytial Virus, in Healthy Late Preterm and Term Infants (MELODY), NCT03979313 [Internet]. 2022. Available from: https://clinicaltrials.gov/ct2/show/NCT03979313.</w:t>
      </w:r>
    </w:p>
    <w:p w14:paraId="37AEF532" w14:textId="77777777" w:rsidR="00874409" w:rsidRPr="00874409" w:rsidRDefault="00874409" w:rsidP="00874409">
      <w:pPr>
        <w:pStyle w:val="Bibliografa"/>
        <w:rPr>
          <w:rFonts w:ascii="Calibri" w:hAnsi="Calibri" w:cs="Calibri"/>
        </w:rPr>
      </w:pPr>
      <w:r w:rsidRPr="00874409">
        <w:rPr>
          <w:rFonts w:ascii="Calibri" w:hAnsi="Calibri" w:cs="Calibri"/>
        </w:rPr>
        <w:t xml:space="preserve">[11] </w:t>
      </w:r>
      <w:r w:rsidRPr="00874409">
        <w:rPr>
          <w:rFonts w:ascii="Calibri" w:hAnsi="Calibri" w:cs="Calibri"/>
        </w:rPr>
        <w:tab/>
        <w:t>Hammitt LL, Dagan R, Yuan Y, et al. Nirsevimab for Prevention of RSV in Healthy Late-Preterm and Term Infants. N Engl J Med. 2022;386:837–846.</w:t>
      </w:r>
    </w:p>
    <w:p w14:paraId="4E015FD2" w14:textId="77777777" w:rsidR="00874409" w:rsidRPr="00874409" w:rsidRDefault="00874409" w:rsidP="00874409">
      <w:pPr>
        <w:pStyle w:val="Bibliografa"/>
        <w:rPr>
          <w:rFonts w:ascii="Calibri" w:hAnsi="Calibri" w:cs="Calibri"/>
        </w:rPr>
      </w:pPr>
      <w:r w:rsidRPr="00874409">
        <w:rPr>
          <w:rFonts w:ascii="Calibri" w:hAnsi="Calibri" w:cs="Calibri"/>
        </w:rPr>
        <w:t xml:space="preserve">[12] </w:t>
      </w:r>
      <w:r w:rsidRPr="00874409">
        <w:rPr>
          <w:rFonts w:ascii="Calibri" w:hAnsi="Calibri" w:cs="Calibri"/>
        </w:rPr>
        <w:tab/>
        <w:t xml:space="preserve">Simões EAF, Madhi SA, Muller WJ, et al. Efficacy of nirsevimab against respiratory syncytial virus lower respiratory tract infections in preterm and term infants, and pharmacokinetic </w:t>
      </w:r>
      <w:r w:rsidRPr="00874409">
        <w:rPr>
          <w:rFonts w:ascii="Calibri" w:hAnsi="Calibri" w:cs="Calibri"/>
        </w:rPr>
        <w:lastRenderedPageBreak/>
        <w:t>extrapolation to infants with congenital heart disease and chronic lung disease: a pooled analysis of randomised controlled trials. Lancet Child Adolesc Health. 2023;7:180–189.</w:t>
      </w:r>
    </w:p>
    <w:p w14:paraId="25C5E145" w14:textId="77777777" w:rsidR="00874409" w:rsidRPr="00874409" w:rsidRDefault="00874409" w:rsidP="00874409">
      <w:pPr>
        <w:pStyle w:val="Bibliografa"/>
        <w:rPr>
          <w:rFonts w:ascii="Calibri" w:hAnsi="Calibri" w:cs="Calibri"/>
        </w:rPr>
      </w:pPr>
      <w:r w:rsidRPr="00874409">
        <w:rPr>
          <w:rFonts w:ascii="Calibri" w:hAnsi="Calibri" w:cs="Calibri"/>
        </w:rPr>
        <w:t xml:space="preserve">[13] </w:t>
      </w:r>
      <w:r w:rsidRPr="00874409">
        <w:rPr>
          <w:rFonts w:ascii="Calibri" w:hAnsi="Calibri" w:cs="Calibri"/>
        </w:rPr>
        <w:tab/>
        <w:t>Domachowske J, Madhi SA, Simões EAF, et al. Safety of Nirsevimab for RSV in Infants with Heart or Lung Disease or Prematurity. N Engl J Med. 2022;386:892–894.</w:t>
      </w:r>
    </w:p>
    <w:p w14:paraId="335FCFB6" w14:textId="77777777" w:rsidR="00874409" w:rsidRPr="00874409" w:rsidRDefault="00874409" w:rsidP="00874409">
      <w:pPr>
        <w:pStyle w:val="Bibliografa"/>
        <w:rPr>
          <w:rFonts w:ascii="Calibri" w:hAnsi="Calibri" w:cs="Calibri"/>
        </w:rPr>
      </w:pPr>
      <w:r w:rsidRPr="00874409">
        <w:rPr>
          <w:rFonts w:ascii="Calibri" w:hAnsi="Calibri" w:cs="Calibri"/>
        </w:rPr>
        <w:t xml:space="preserve">[14] </w:t>
      </w:r>
      <w:r w:rsidRPr="00874409">
        <w:rPr>
          <w:rFonts w:ascii="Calibri" w:hAnsi="Calibri" w:cs="Calibri"/>
        </w:rPr>
        <w:tab/>
        <w:t>Agencia Española de Medicamentos y Productos Sanitarios (AEMPS). Ficha técnica de palivizumab (Synagis®) [Internet]. 2022. Available from: https://cima.aemps.es/cima/dochtml/ft/199117004/FT_199117004.html.</w:t>
      </w:r>
    </w:p>
    <w:p w14:paraId="7DB04311" w14:textId="77777777" w:rsidR="00874409" w:rsidRPr="00874409" w:rsidRDefault="00874409" w:rsidP="00874409">
      <w:pPr>
        <w:pStyle w:val="Bibliografa"/>
        <w:rPr>
          <w:rFonts w:ascii="Calibri" w:hAnsi="Calibri" w:cs="Calibri"/>
        </w:rPr>
      </w:pPr>
      <w:r w:rsidRPr="00874409">
        <w:rPr>
          <w:rFonts w:ascii="Calibri" w:hAnsi="Calibri" w:cs="Calibri"/>
        </w:rPr>
        <w:t xml:space="preserve">[15] </w:t>
      </w:r>
      <w:r w:rsidRPr="00874409">
        <w:rPr>
          <w:rFonts w:ascii="Calibri" w:hAnsi="Calibri" w:cs="Calibri"/>
        </w:rPr>
        <w:tab/>
        <w:t>EMA. Synagis [Internet]. Eur. Med. Agency. 2018 [cited 2021 Jul 26]. Available from: https://www.ema.europa.eu/en/medicines/human/EPAR/synagis.</w:t>
      </w:r>
    </w:p>
    <w:p w14:paraId="6E09EE17" w14:textId="77777777" w:rsidR="00874409" w:rsidRPr="00874409" w:rsidRDefault="00874409" w:rsidP="00874409">
      <w:pPr>
        <w:pStyle w:val="Bibliografa"/>
        <w:rPr>
          <w:rFonts w:ascii="Calibri" w:hAnsi="Calibri" w:cs="Calibri"/>
        </w:rPr>
      </w:pPr>
      <w:r w:rsidRPr="00874409">
        <w:rPr>
          <w:rFonts w:ascii="Calibri" w:hAnsi="Calibri" w:cs="Calibri"/>
        </w:rPr>
        <w:t xml:space="preserve">[16] </w:t>
      </w:r>
      <w:r w:rsidRPr="00874409">
        <w:rPr>
          <w:rFonts w:ascii="Calibri" w:hAnsi="Calibri" w:cs="Calibri"/>
        </w:rPr>
        <w:tab/>
        <w:t>AEMPS. Synagis®: Ficha técnica o resumen de las características del producto [Internet]. 2009 [cited 2021 May 19]. Available from: https://cima.aemps.es/cima/dochtml/ft/199117003/FT_199117003.html.</w:t>
      </w:r>
    </w:p>
    <w:p w14:paraId="0DFFDF92" w14:textId="77777777" w:rsidR="00874409" w:rsidRPr="00874409" w:rsidRDefault="00874409" w:rsidP="00874409">
      <w:pPr>
        <w:pStyle w:val="Bibliografa"/>
        <w:rPr>
          <w:rFonts w:ascii="Calibri" w:hAnsi="Calibri" w:cs="Calibri"/>
        </w:rPr>
      </w:pPr>
      <w:r w:rsidRPr="00874409">
        <w:rPr>
          <w:rFonts w:ascii="Calibri" w:hAnsi="Calibri" w:cs="Calibri"/>
        </w:rPr>
        <w:t xml:space="preserve">[17] </w:t>
      </w:r>
      <w:r w:rsidRPr="00874409">
        <w:rPr>
          <w:rFonts w:ascii="Calibri" w:hAnsi="Calibri" w:cs="Calibri"/>
        </w:rPr>
        <w:tab/>
        <w:t>Sánchez Luna M, Pérez Muñuzuri A, Leante Castellanos JL, et al. Recomendaciones de la Sociedad Española de Neonatología para la utilización de palivizumab como profilaxis de las infecciones graves por el virus respiratorio sincitial en lactantes de alto riesgo, actualización. An Pediatría. 2019;91:348–350.</w:t>
      </w:r>
    </w:p>
    <w:p w14:paraId="2C309737" w14:textId="77777777" w:rsidR="00874409" w:rsidRPr="00874409" w:rsidRDefault="00874409" w:rsidP="00874409">
      <w:pPr>
        <w:pStyle w:val="Bibliografa"/>
        <w:rPr>
          <w:rFonts w:ascii="Calibri" w:hAnsi="Calibri" w:cs="Calibri"/>
        </w:rPr>
      </w:pPr>
      <w:r w:rsidRPr="00874409">
        <w:rPr>
          <w:rFonts w:ascii="Calibri" w:hAnsi="Calibri" w:cs="Calibri"/>
        </w:rPr>
        <w:t xml:space="preserve">[18] </w:t>
      </w:r>
      <w:r w:rsidRPr="00874409">
        <w:rPr>
          <w:rFonts w:ascii="Calibri" w:hAnsi="Calibri" w:cs="Calibri"/>
        </w:rPr>
        <w:tab/>
        <w:t>Sanofi. Nirsevimab EMA regulatory submission accepted under accelerated assessment for RSV protection in all infants [Internet]. 2022. Available from: https://www.sanofi.com/media-room/press-releases/2022/2022-02-17 14-00-00 2387084.</w:t>
      </w:r>
    </w:p>
    <w:p w14:paraId="5F25F524" w14:textId="77777777" w:rsidR="00874409" w:rsidRPr="00874409" w:rsidRDefault="00874409" w:rsidP="00874409">
      <w:pPr>
        <w:pStyle w:val="Bibliografa"/>
        <w:rPr>
          <w:rFonts w:ascii="Calibri" w:hAnsi="Calibri" w:cs="Calibri"/>
        </w:rPr>
      </w:pPr>
      <w:r w:rsidRPr="00874409">
        <w:rPr>
          <w:rFonts w:ascii="Calibri" w:hAnsi="Calibri" w:cs="Calibri"/>
        </w:rPr>
        <w:t xml:space="preserve">[19] </w:t>
      </w:r>
      <w:r w:rsidRPr="00874409">
        <w:rPr>
          <w:rFonts w:ascii="Calibri" w:hAnsi="Calibri" w:cs="Calibri"/>
        </w:rPr>
        <w:tab/>
        <w:t>Nuijten MJ, Wittenberg W. Cost effectiveness of palivizumab in Spain: an analysis using observational data. Eur J Health Econ HEPAC Health Econ Prev Care. 2010;11:105–115.</w:t>
      </w:r>
    </w:p>
    <w:p w14:paraId="4E3A4FF4" w14:textId="77777777" w:rsidR="00874409" w:rsidRPr="00874409" w:rsidRDefault="00874409" w:rsidP="00874409">
      <w:pPr>
        <w:pStyle w:val="Bibliografa"/>
        <w:rPr>
          <w:rFonts w:ascii="Calibri" w:hAnsi="Calibri" w:cs="Calibri"/>
        </w:rPr>
      </w:pPr>
      <w:r w:rsidRPr="00874409">
        <w:rPr>
          <w:rFonts w:ascii="Calibri" w:hAnsi="Calibri" w:cs="Calibri"/>
        </w:rPr>
        <w:t xml:space="preserve">[20] </w:t>
      </w:r>
      <w:r w:rsidRPr="00874409">
        <w:rPr>
          <w:rFonts w:ascii="Calibri" w:hAnsi="Calibri" w:cs="Calibri"/>
        </w:rPr>
        <w:tab/>
        <w:t>INE. Actualización de rentas con el IPC general (sistema IPC base 2021) para periodos anuales completos [Internet]. 2022. Available from: https://www.ine.es/calcula/.</w:t>
      </w:r>
    </w:p>
    <w:p w14:paraId="2E1A105E" w14:textId="77777777" w:rsidR="00874409" w:rsidRPr="00874409" w:rsidRDefault="00874409" w:rsidP="00874409">
      <w:pPr>
        <w:pStyle w:val="Bibliografa"/>
        <w:rPr>
          <w:rFonts w:ascii="Calibri" w:hAnsi="Calibri" w:cs="Calibri"/>
        </w:rPr>
      </w:pPr>
      <w:r w:rsidRPr="00874409">
        <w:rPr>
          <w:rFonts w:ascii="Calibri" w:hAnsi="Calibri" w:cs="Calibri"/>
        </w:rPr>
        <w:t xml:space="preserve">[21] </w:t>
      </w:r>
      <w:r w:rsidRPr="00874409">
        <w:rPr>
          <w:rFonts w:ascii="Calibri" w:hAnsi="Calibri" w:cs="Calibri"/>
        </w:rPr>
        <w:tab/>
        <w:t>INE. Movimiento natural de la población: Nacimientos [Internet]. 2021. Available from: https://www.ine.es/dyngs/INEbase/es/operacion.htm?c=Estadistica_C&amp;cid=1254736177007&amp;menu=ultiDatos&amp;idp=1254735573002.</w:t>
      </w:r>
    </w:p>
    <w:p w14:paraId="38F2BFFD" w14:textId="77777777" w:rsidR="00874409" w:rsidRPr="00874409" w:rsidRDefault="00874409" w:rsidP="00874409">
      <w:pPr>
        <w:pStyle w:val="Bibliografa"/>
        <w:rPr>
          <w:rFonts w:ascii="Calibri" w:hAnsi="Calibri" w:cs="Calibri"/>
        </w:rPr>
      </w:pPr>
      <w:r w:rsidRPr="00874409">
        <w:rPr>
          <w:rFonts w:ascii="Calibri" w:hAnsi="Calibri" w:cs="Calibri"/>
        </w:rPr>
        <w:t xml:space="preserve">[22] </w:t>
      </w:r>
      <w:r w:rsidRPr="00874409">
        <w:rPr>
          <w:rFonts w:ascii="Calibri" w:hAnsi="Calibri" w:cs="Calibri"/>
        </w:rPr>
        <w:tab/>
        <w:t>BotPlus. Base de datos de medicamentos - PVL [Internet]. 2022. Available from: https://botplusweb.portalfarma.com/.</w:t>
      </w:r>
    </w:p>
    <w:p w14:paraId="53BC1E95" w14:textId="77777777" w:rsidR="00874409" w:rsidRPr="00874409" w:rsidRDefault="00874409" w:rsidP="00874409">
      <w:pPr>
        <w:pStyle w:val="Bibliografa"/>
        <w:rPr>
          <w:rFonts w:ascii="Calibri" w:hAnsi="Calibri" w:cs="Calibri"/>
        </w:rPr>
      </w:pPr>
      <w:r w:rsidRPr="00874409">
        <w:rPr>
          <w:rFonts w:ascii="Calibri" w:hAnsi="Calibri" w:cs="Calibri"/>
        </w:rPr>
        <w:t xml:space="preserve">[23] </w:t>
      </w:r>
      <w:r w:rsidRPr="00874409">
        <w:rPr>
          <w:rFonts w:ascii="Calibri" w:hAnsi="Calibri" w:cs="Calibri"/>
        </w:rPr>
        <w:tab/>
        <w:t>Martinón-Torres F, Carmo M, Platero L, et al. Clinical and economic burden of respiratory syncytial virus in Spanish children: the BARI study. BMC Infect Dis. 2022;22:759.</w:t>
      </w:r>
    </w:p>
    <w:p w14:paraId="72EE1384" w14:textId="77777777" w:rsidR="00874409" w:rsidRPr="00874409" w:rsidRDefault="00874409" w:rsidP="00874409">
      <w:pPr>
        <w:pStyle w:val="Bibliografa"/>
        <w:rPr>
          <w:rFonts w:ascii="Calibri" w:hAnsi="Calibri" w:cs="Calibri"/>
        </w:rPr>
      </w:pPr>
      <w:r w:rsidRPr="00874409">
        <w:rPr>
          <w:rFonts w:ascii="Calibri" w:hAnsi="Calibri" w:cs="Calibri"/>
        </w:rPr>
        <w:t xml:space="preserve">[24] </w:t>
      </w:r>
      <w:r w:rsidRPr="00874409">
        <w:rPr>
          <w:rFonts w:ascii="Calibri" w:hAnsi="Calibri" w:cs="Calibri"/>
        </w:rPr>
        <w:tab/>
        <w:t>Instituto Nacional de Estadística. Datos del padrón continuo. 2021.</w:t>
      </w:r>
    </w:p>
    <w:p w14:paraId="326FA38B" w14:textId="77777777" w:rsidR="00874409" w:rsidRPr="00874409" w:rsidRDefault="00874409" w:rsidP="00874409">
      <w:pPr>
        <w:pStyle w:val="Bibliografa"/>
        <w:rPr>
          <w:rFonts w:ascii="Calibri" w:hAnsi="Calibri" w:cs="Calibri"/>
        </w:rPr>
      </w:pPr>
      <w:r w:rsidRPr="00874409">
        <w:rPr>
          <w:rFonts w:ascii="Calibri" w:hAnsi="Calibri" w:cs="Calibri"/>
        </w:rPr>
        <w:t xml:space="preserve">[25] </w:t>
      </w:r>
      <w:r w:rsidRPr="00874409">
        <w:rPr>
          <w:rFonts w:ascii="Calibri" w:hAnsi="Calibri" w:cs="Calibri"/>
        </w:rPr>
        <w:tab/>
        <w:t>Pokrzywinski RM, Swett LL, Pannaraj PS, et al. Impact of Respiratory Syncytial Virus–Confirmed Hospitalizations on Caregivers of US Preterm Infants. Clin Pediatr (Phila). 2019;58:837–850.</w:t>
      </w:r>
    </w:p>
    <w:p w14:paraId="7FE1D73F" w14:textId="77777777" w:rsidR="00874409" w:rsidRPr="00874409" w:rsidRDefault="00874409" w:rsidP="00874409">
      <w:pPr>
        <w:pStyle w:val="Bibliografa"/>
        <w:rPr>
          <w:rFonts w:ascii="Calibri" w:hAnsi="Calibri" w:cs="Calibri"/>
        </w:rPr>
      </w:pPr>
      <w:r w:rsidRPr="00874409">
        <w:rPr>
          <w:rFonts w:ascii="Calibri" w:hAnsi="Calibri" w:cs="Calibri"/>
        </w:rPr>
        <w:t xml:space="preserve">[26] </w:t>
      </w:r>
      <w:r w:rsidRPr="00874409">
        <w:rPr>
          <w:rFonts w:ascii="Calibri" w:hAnsi="Calibri" w:cs="Calibri"/>
        </w:rPr>
        <w:tab/>
        <w:t>Garcia-Marcos L, Valverde-Molina J, Pavlovic-Nesic S, et al. Pediatricians’ attitudes and costs of bronchiolitis in the emergency department: a prospective multicentre study. Pediatr Pulmonol. 2014;49:1011–1019.</w:t>
      </w:r>
    </w:p>
    <w:p w14:paraId="160B7E3B" w14:textId="77777777" w:rsidR="00874409" w:rsidRPr="00874409" w:rsidRDefault="00874409" w:rsidP="00874409">
      <w:pPr>
        <w:pStyle w:val="Bibliografa"/>
        <w:rPr>
          <w:rFonts w:ascii="Calibri" w:hAnsi="Calibri" w:cs="Calibri"/>
        </w:rPr>
      </w:pPr>
      <w:r w:rsidRPr="00874409">
        <w:rPr>
          <w:rFonts w:ascii="Calibri" w:hAnsi="Calibri" w:cs="Calibri"/>
        </w:rPr>
        <w:lastRenderedPageBreak/>
        <w:t xml:space="preserve">[27] </w:t>
      </w:r>
      <w:r w:rsidRPr="00874409">
        <w:rPr>
          <w:rFonts w:ascii="Calibri" w:hAnsi="Calibri" w:cs="Calibri"/>
        </w:rPr>
        <w:tab/>
        <w:t>Leader S, Yang H, DeVincenzo J, et al. Time and Out-of-Pocket Costs Associated with Respiratory Syncytial Virus Hospitalization of Infants. Value Health. 2003;6:100–106.</w:t>
      </w:r>
    </w:p>
    <w:p w14:paraId="51F6581A" w14:textId="77777777" w:rsidR="00874409" w:rsidRPr="00874409" w:rsidRDefault="00874409" w:rsidP="00874409">
      <w:pPr>
        <w:pStyle w:val="Bibliografa"/>
        <w:rPr>
          <w:rFonts w:ascii="Calibri" w:hAnsi="Calibri" w:cs="Calibri"/>
        </w:rPr>
      </w:pPr>
      <w:r w:rsidRPr="00874409">
        <w:rPr>
          <w:rFonts w:ascii="Calibri" w:hAnsi="Calibri" w:cs="Calibri"/>
        </w:rPr>
        <w:t xml:space="preserve">[28] </w:t>
      </w:r>
      <w:r w:rsidRPr="00874409">
        <w:rPr>
          <w:rFonts w:ascii="Calibri" w:hAnsi="Calibri" w:cs="Calibri"/>
        </w:rPr>
        <w:tab/>
        <w:t>OMS. Health Equity -- Global [Internet]. [cited 2022 May 20]. Available from: https://www.who.int/health-topics/health-equity.</w:t>
      </w:r>
    </w:p>
    <w:p w14:paraId="729EBFE6" w14:textId="77777777" w:rsidR="00874409" w:rsidRPr="00874409" w:rsidRDefault="00874409" w:rsidP="00874409">
      <w:pPr>
        <w:pStyle w:val="Bibliografa"/>
        <w:rPr>
          <w:rFonts w:ascii="Calibri" w:hAnsi="Calibri" w:cs="Calibri"/>
        </w:rPr>
      </w:pPr>
      <w:r w:rsidRPr="00874409">
        <w:rPr>
          <w:rFonts w:ascii="Calibri" w:hAnsi="Calibri" w:cs="Calibri"/>
        </w:rPr>
        <w:t xml:space="preserve">[29] </w:t>
      </w:r>
      <w:r w:rsidRPr="00874409">
        <w:rPr>
          <w:rFonts w:ascii="Calibri" w:hAnsi="Calibri" w:cs="Calibri"/>
        </w:rPr>
        <w:tab/>
        <w:t>Mac S, Sumner A, Duchesne-Belanger S, et al. Cost-effectiveness of Palivizumab for Respiratory Syncytial Virus: A Systematic Review. Pediatrics. 2019;143:e20184064.</w:t>
      </w:r>
    </w:p>
    <w:p w14:paraId="6A418743" w14:textId="37DBEBB1" w:rsidR="009907FA" w:rsidRPr="00B21236" w:rsidRDefault="00E50024" w:rsidP="007B73A4">
      <w:pPr>
        <w:pStyle w:val="Bibliografa"/>
        <w:tabs>
          <w:tab w:val="left" w:pos="567"/>
        </w:tabs>
        <w:spacing w:after="120" w:line="360" w:lineRule="auto"/>
        <w:ind w:left="0" w:firstLine="0"/>
        <w:rPr>
          <w:rFonts w:ascii="Times New Roman" w:hAnsi="Times New Roman" w:cs="Times New Roman"/>
          <w:sz w:val="24"/>
          <w:szCs w:val="24"/>
          <w:lang w:val="en-US"/>
        </w:rPr>
      </w:pPr>
      <w:r w:rsidRPr="00B21236">
        <w:rPr>
          <w:rFonts w:ascii="Times New Roman" w:hAnsi="Times New Roman" w:cs="Times New Roman"/>
          <w:sz w:val="24"/>
          <w:szCs w:val="24"/>
          <w:lang w:val="en-US"/>
        </w:rPr>
        <w:fldChar w:fldCharType="end"/>
      </w:r>
      <w:bookmarkEnd w:id="21"/>
    </w:p>
    <w:sectPr w:rsidR="009907FA" w:rsidRPr="00B21236" w:rsidSect="00A40350">
      <w:footerReference w:type="default" r:id="rId12"/>
      <w:footnotePr>
        <w:numFmt w:val="lowerLetter"/>
      </w:footnotePr>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FFE8A" w14:textId="77777777" w:rsidR="000951F3" w:rsidRDefault="000951F3" w:rsidP="0076627C">
      <w:pPr>
        <w:spacing w:after="0" w:line="240" w:lineRule="auto"/>
      </w:pPr>
      <w:r>
        <w:separator/>
      </w:r>
    </w:p>
  </w:endnote>
  <w:endnote w:type="continuationSeparator" w:id="0">
    <w:p w14:paraId="3D139807" w14:textId="77777777" w:rsidR="000951F3" w:rsidRDefault="000951F3" w:rsidP="0076627C">
      <w:pPr>
        <w:spacing w:after="0" w:line="240" w:lineRule="auto"/>
      </w:pPr>
      <w:r>
        <w:continuationSeparator/>
      </w:r>
    </w:p>
  </w:endnote>
  <w:endnote w:type="continuationNotice" w:id="1">
    <w:p w14:paraId="4F824E54" w14:textId="77777777" w:rsidR="000951F3" w:rsidRDefault="000951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52CA" w14:textId="5A8E4700" w:rsidR="00A442E9" w:rsidRDefault="0035421E">
    <w:pPr>
      <w:pStyle w:val="Piedepgina"/>
      <w:jc w:val="center"/>
      <w:rPr>
        <w:rFonts w:ascii="Times New Roman" w:hAnsi="Times New Roman" w:cs="Times New Roman"/>
        <w:b/>
        <w:bCs/>
      </w:rPr>
    </w:pPr>
    <w:sdt>
      <w:sdtPr>
        <w:id w:val="734357193"/>
        <w:docPartObj>
          <w:docPartGallery w:val="Page Numbers (Bottom of Page)"/>
          <w:docPartUnique/>
        </w:docPartObj>
      </w:sdtPr>
      <w:sdtEndPr>
        <w:rPr>
          <w:rFonts w:ascii="Times New Roman" w:hAnsi="Times New Roman" w:cs="Times New Roman"/>
          <w:b/>
          <w:bCs/>
        </w:rPr>
      </w:sdtEndPr>
      <w:sdtContent>
        <w:r w:rsidR="00E6483D" w:rsidRPr="000860BC">
          <w:rPr>
            <w:rFonts w:ascii="Times New Roman" w:hAnsi="Times New Roman" w:cs="Times New Roman"/>
            <w:b/>
            <w:bCs/>
          </w:rPr>
          <w:fldChar w:fldCharType="begin"/>
        </w:r>
        <w:r w:rsidR="00E6483D" w:rsidRPr="000860BC">
          <w:rPr>
            <w:rFonts w:ascii="Times New Roman" w:hAnsi="Times New Roman" w:cs="Times New Roman"/>
            <w:b/>
            <w:bCs/>
          </w:rPr>
          <w:instrText>PAGE   \* MERGEFORMAT</w:instrText>
        </w:r>
        <w:r w:rsidR="00E6483D" w:rsidRPr="000860BC">
          <w:rPr>
            <w:rFonts w:ascii="Times New Roman" w:hAnsi="Times New Roman" w:cs="Times New Roman"/>
            <w:b/>
            <w:bCs/>
          </w:rPr>
          <w:fldChar w:fldCharType="separate"/>
        </w:r>
        <w:r w:rsidR="00F27319">
          <w:rPr>
            <w:rFonts w:ascii="Times New Roman" w:hAnsi="Times New Roman" w:cs="Times New Roman"/>
            <w:b/>
            <w:bCs/>
            <w:noProof/>
          </w:rPr>
          <w:t>1</w:t>
        </w:r>
        <w:r w:rsidR="00E6483D" w:rsidRPr="000860BC">
          <w:rPr>
            <w:rFonts w:ascii="Times New Roman" w:hAnsi="Times New Roman" w:cs="Times New Roman"/>
            <w:b/>
            <w:bCs/>
          </w:rPr>
          <w:fldChar w:fldCharType="end"/>
        </w:r>
      </w:sdtContent>
    </w:sdt>
  </w:p>
  <w:p w14:paraId="0717FFEB" w14:textId="77777777" w:rsidR="00E6483D" w:rsidRDefault="00E6483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39E05" w14:textId="77777777" w:rsidR="000951F3" w:rsidRDefault="000951F3" w:rsidP="0076627C">
      <w:pPr>
        <w:spacing w:after="0" w:line="240" w:lineRule="auto"/>
      </w:pPr>
      <w:r>
        <w:separator/>
      </w:r>
    </w:p>
  </w:footnote>
  <w:footnote w:type="continuationSeparator" w:id="0">
    <w:p w14:paraId="44CE89CB" w14:textId="77777777" w:rsidR="000951F3" w:rsidRDefault="000951F3" w:rsidP="0076627C">
      <w:pPr>
        <w:spacing w:after="0" w:line="240" w:lineRule="auto"/>
      </w:pPr>
      <w:r>
        <w:continuationSeparator/>
      </w:r>
    </w:p>
  </w:footnote>
  <w:footnote w:type="continuationNotice" w:id="1">
    <w:p w14:paraId="20115B07" w14:textId="77777777" w:rsidR="000951F3" w:rsidRDefault="000951F3">
      <w:pPr>
        <w:spacing w:after="0" w:line="240" w:lineRule="auto"/>
      </w:pPr>
    </w:p>
  </w:footnote>
  <w:footnote w:id="2">
    <w:p w14:paraId="068CD380" w14:textId="77777777" w:rsidR="00A442E9" w:rsidRPr="008E369C" w:rsidRDefault="006047C3">
      <w:pPr>
        <w:pStyle w:val="Textonotapie"/>
        <w:rPr>
          <w:rFonts w:ascii="Times New Roman" w:hAnsi="Times New Roman" w:cs="Times New Roman"/>
        </w:rPr>
      </w:pPr>
      <w:r w:rsidRPr="00E67D5F">
        <w:rPr>
          <w:rStyle w:val="Refdenotaalpie"/>
          <w:rFonts w:ascii="Times New Roman" w:hAnsi="Times New Roman" w:cs="Times New Roman"/>
        </w:rPr>
        <w:footnoteRef/>
      </w:r>
      <w:r w:rsidRPr="008E369C">
        <w:rPr>
          <w:rFonts w:ascii="Times New Roman" w:hAnsi="Times New Roman" w:cs="Times New Roman"/>
          <w:color w:val="000000"/>
        </w:rPr>
        <w:t xml:space="preserve"> non-inferiority test, where efficacy is seen only as an exploratory goal</w:t>
      </w:r>
    </w:p>
  </w:footnote>
  <w:footnote w:id="3">
    <w:p w14:paraId="248F88B0" w14:textId="77777777" w:rsidR="00A442E9" w:rsidRPr="00BE1B67" w:rsidRDefault="006047C3">
      <w:pPr>
        <w:pStyle w:val="Textonotapie"/>
        <w:rPr>
          <w:rFonts w:ascii="Times New Roman" w:hAnsi="Times New Roman" w:cs="Times New Roman"/>
        </w:rPr>
      </w:pPr>
      <w:r w:rsidRPr="00BE1B67">
        <w:rPr>
          <w:rStyle w:val="Refdenotaalpie"/>
          <w:rFonts w:ascii="Times New Roman" w:hAnsi="Times New Roman" w:cs="Times New Roman"/>
        </w:rPr>
        <w:footnoteRef/>
      </w:r>
      <w:r w:rsidRPr="00BE1B67">
        <w:rPr>
          <w:rFonts w:ascii="Times New Roman" w:hAnsi="Times New Roman" w:cs="Times New Roman"/>
          <w:color w:val="000000"/>
        </w:rPr>
        <w:t xml:space="preserve"> RSV population </w:t>
      </w:r>
      <w:r w:rsidRPr="00BE1B67">
        <w:rPr>
          <w:rFonts w:ascii="Times New Roman" w:hAnsi="Times New Roman" w:cs="Times New Roman"/>
          <w:i/>
          <w:iCs/>
          <w:color w:val="000000"/>
        </w:rPr>
        <w:t xml:space="preserve">vs. </w:t>
      </w:r>
      <w:r w:rsidRPr="00BE1B67">
        <w:rPr>
          <w:rFonts w:ascii="Times New Roman" w:hAnsi="Times New Roman" w:cs="Times New Roman"/>
          <w:color w:val="000000"/>
        </w:rPr>
        <w:t>RSV + bronchiolitis population</w:t>
      </w:r>
    </w:p>
  </w:footnote>
  <w:footnote w:id="4">
    <w:p w14:paraId="317B902B" w14:textId="6F8EDF34" w:rsidR="00A442E9" w:rsidRDefault="006047C3">
      <w:pPr>
        <w:pStyle w:val="Textonotapie"/>
        <w:rPr>
          <w:rFonts w:ascii="Times New Roman" w:hAnsi="Times New Roman" w:cs="Times New Roman"/>
          <w:lang w:val="es-ES"/>
        </w:rPr>
      </w:pPr>
      <w:r w:rsidRPr="00BE1B67">
        <w:rPr>
          <w:rStyle w:val="Refdenotaalpie"/>
          <w:rFonts w:ascii="Times New Roman" w:hAnsi="Times New Roman" w:cs="Times New Roman"/>
        </w:rPr>
        <w:footnoteRef/>
      </w:r>
      <w:r w:rsidRPr="00BE1B67">
        <w:rPr>
          <w:rFonts w:ascii="Times New Roman" w:hAnsi="Times New Roman" w:cs="Times New Roman"/>
          <w:color w:val="000000"/>
        </w:rPr>
        <w:t xml:space="preserve"> 29-35 weeks gestational age.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E634E"/>
    <w:multiLevelType w:val="hybridMultilevel"/>
    <w:tmpl w:val="67E40DC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5F7D68"/>
    <w:multiLevelType w:val="hybridMultilevel"/>
    <w:tmpl w:val="9AC063F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D48340A"/>
    <w:multiLevelType w:val="hybridMultilevel"/>
    <w:tmpl w:val="5ECEA134"/>
    <w:lvl w:ilvl="0" w:tplc="0C0A0005">
      <w:start w:val="1"/>
      <w:numFmt w:val="bullet"/>
      <w:lvlText w:val=""/>
      <w:lvlJc w:val="left"/>
      <w:pPr>
        <w:ind w:left="770" w:hanging="360"/>
      </w:pPr>
      <w:rPr>
        <w:rFonts w:ascii="Wingdings" w:hAnsi="Wingdings" w:hint="default"/>
      </w:rPr>
    </w:lvl>
    <w:lvl w:ilvl="1" w:tplc="0C0A0003">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3" w15:restartNumberingAfterBreak="0">
    <w:nsid w:val="1D5E4332"/>
    <w:multiLevelType w:val="hybridMultilevel"/>
    <w:tmpl w:val="EA94E9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FDC77C5"/>
    <w:multiLevelType w:val="hybridMultilevel"/>
    <w:tmpl w:val="1F989312"/>
    <w:lvl w:ilvl="0" w:tplc="0C0A0005">
      <w:start w:val="1"/>
      <w:numFmt w:val="bullet"/>
      <w:lvlText w:val=""/>
      <w:lvlJc w:val="left"/>
      <w:pPr>
        <w:ind w:left="813" w:hanging="360"/>
      </w:pPr>
      <w:rPr>
        <w:rFonts w:ascii="Wingdings" w:hAnsi="Wingdings" w:hint="default"/>
      </w:rPr>
    </w:lvl>
    <w:lvl w:ilvl="1" w:tplc="0C0A0003" w:tentative="1">
      <w:start w:val="1"/>
      <w:numFmt w:val="bullet"/>
      <w:lvlText w:val="o"/>
      <w:lvlJc w:val="left"/>
      <w:pPr>
        <w:ind w:left="1533" w:hanging="360"/>
      </w:pPr>
      <w:rPr>
        <w:rFonts w:ascii="Courier New" w:hAnsi="Courier New" w:cs="Courier New" w:hint="default"/>
      </w:rPr>
    </w:lvl>
    <w:lvl w:ilvl="2" w:tplc="0C0A0005" w:tentative="1">
      <w:start w:val="1"/>
      <w:numFmt w:val="bullet"/>
      <w:lvlText w:val=""/>
      <w:lvlJc w:val="left"/>
      <w:pPr>
        <w:ind w:left="2253" w:hanging="360"/>
      </w:pPr>
      <w:rPr>
        <w:rFonts w:ascii="Wingdings" w:hAnsi="Wingdings" w:hint="default"/>
      </w:rPr>
    </w:lvl>
    <w:lvl w:ilvl="3" w:tplc="0C0A0001" w:tentative="1">
      <w:start w:val="1"/>
      <w:numFmt w:val="bullet"/>
      <w:lvlText w:val=""/>
      <w:lvlJc w:val="left"/>
      <w:pPr>
        <w:ind w:left="2973" w:hanging="360"/>
      </w:pPr>
      <w:rPr>
        <w:rFonts w:ascii="Symbol" w:hAnsi="Symbol" w:hint="default"/>
      </w:rPr>
    </w:lvl>
    <w:lvl w:ilvl="4" w:tplc="0C0A0003" w:tentative="1">
      <w:start w:val="1"/>
      <w:numFmt w:val="bullet"/>
      <w:lvlText w:val="o"/>
      <w:lvlJc w:val="left"/>
      <w:pPr>
        <w:ind w:left="3693" w:hanging="360"/>
      </w:pPr>
      <w:rPr>
        <w:rFonts w:ascii="Courier New" w:hAnsi="Courier New" w:cs="Courier New" w:hint="default"/>
      </w:rPr>
    </w:lvl>
    <w:lvl w:ilvl="5" w:tplc="0C0A0005" w:tentative="1">
      <w:start w:val="1"/>
      <w:numFmt w:val="bullet"/>
      <w:lvlText w:val=""/>
      <w:lvlJc w:val="left"/>
      <w:pPr>
        <w:ind w:left="4413" w:hanging="360"/>
      </w:pPr>
      <w:rPr>
        <w:rFonts w:ascii="Wingdings" w:hAnsi="Wingdings" w:hint="default"/>
      </w:rPr>
    </w:lvl>
    <w:lvl w:ilvl="6" w:tplc="0C0A0001" w:tentative="1">
      <w:start w:val="1"/>
      <w:numFmt w:val="bullet"/>
      <w:lvlText w:val=""/>
      <w:lvlJc w:val="left"/>
      <w:pPr>
        <w:ind w:left="5133" w:hanging="360"/>
      </w:pPr>
      <w:rPr>
        <w:rFonts w:ascii="Symbol" w:hAnsi="Symbol" w:hint="default"/>
      </w:rPr>
    </w:lvl>
    <w:lvl w:ilvl="7" w:tplc="0C0A0003" w:tentative="1">
      <w:start w:val="1"/>
      <w:numFmt w:val="bullet"/>
      <w:lvlText w:val="o"/>
      <w:lvlJc w:val="left"/>
      <w:pPr>
        <w:ind w:left="5853" w:hanging="360"/>
      </w:pPr>
      <w:rPr>
        <w:rFonts w:ascii="Courier New" w:hAnsi="Courier New" w:cs="Courier New" w:hint="default"/>
      </w:rPr>
    </w:lvl>
    <w:lvl w:ilvl="8" w:tplc="0C0A0005" w:tentative="1">
      <w:start w:val="1"/>
      <w:numFmt w:val="bullet"/>
      <w:lvlText w:val=""/>
      <w:lvlJc w:val="left"/>
      <w:pPr>
        <w:ind w:left="6573" w:hanging="360"/>
      </w:pPr>
      <w:rPr>
        <w:rFonts w:ascii="Wingdings" w:hAnsi="Wingdings" w:hint="default"/>
      </w:rPr>
    </w:lvl>
  </w:abstractNum>
  <w:abstractNum w:abstractNumId="5" w15:restartNumberingAfterBreak="0">
    <w:nsid w:val="21921D52"/>
    <w:multiLevelType w:val="hybridMultilevel"/>
    <w:tmpl w:val="CC0ECE8A"/>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2D75887"/>
    <w:multiLevelType w:val="hybridMultilevel"/>
    <w:tmpl w:val="4278554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38146DF"/>
    <w:multiLevelType w:val="hybridMultilevel"/>
    <w:tmpl w:val="1366A15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7506ED4"/>
    <w:multiLevelType w:val="hybridMultilevel"/>
    <w:tmpl w:val="AB6CC85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8310901"/>
    <w:multiLevelType w:val="hybridMultilevel"/>
    <w:tmpl w:val="EBA6C2E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A827FD1"/>
    <w:multiLevelType w:val="hybridMultilevel"/>
    <w:tmpl w:val="829E8680"/>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A8A3BAB"/>
    <w:multiLevelType w:val="hybridMultilevel"/>
    <w:tmpl w:val="B4745DD0"/>
    <w:lvl w:ilvl="0" w:tplc="0C0A0005">
      <w:start w:val="1"/>
      <w:numFmt w:val="bullet"/>
      <w:lvlText w:val=""/>
      <w:lvlJc w:val="left"/>
      <w:pPr>
        <w:ind w:left="770" w:hanging="360"/>
      </w:pPr>
      <w:rPr>
        <w:rFonts w:ascii="Wingdings" w:hAnsi="Wingdings"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12" w15:restartNumberingAfterBreak="0">
    <w:nsid w:val="30EF740B"/>
    <w:multiLevelType w:val="hybridMultilevel"/>
    <w:tmpl w:val="E146D818"/>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541790"/>
    <w:multiLevelType w:val="hybridMultilevel"/>
    <w:tmpl w:val="4C9EB6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15A086A"/>
    <w:multiLevelType w:val="hybridMultilevel"/>
    <w:tmpl w:val="D3AE752C"/>
    <w:lvl w:ilvl="0" w:tplc="0C0A0005">
      <w:start w:val="1"/>
      <w:numFmt w:val="bullet"/>
      <w:lvlText w:val=""/>
      <w:lvlJc w:val="left"/>
      <w:pPr>
        <w:ind w:left="813" w:hanging="360"/>
      </w:pPr>
      <w:rPr>
        <w:rFonts w:ascii="Wingdings" w:hAnsi="Wingdings" w:hint="default"/>
      </w:rPr>
    </w:lvl>
    <w:lvl w:ilvl="1" w:tplc="0C0A0003" w:tentative="1">
      <w:start w:val="1"/>
      <w:numFmt w:val="bullet"/>
      <w:lvlText w:val="o"/>
      <w:lvlJc w:val="left"/>
      <w:pPr>
        <w:ind w:left="1533" w:hanging="360"/>
      </w:pPr>
      <w:rPr>
        <w:rFonts w:ascii="Courier New" w:hAnsi="Courier New" w:cs="Courier New" w:hint="default"/>
      </w:rPr>
    </w:lvl>
    <w:lvl w:ilvl="2" w:tplc="0C0A0005" w:tentative="1">
      <w:start w:val="1"/>
      <w:numFmt w:val="bullet"/>
      <w:lvlText w:val=""/>
      <w:lvlJc w:val="left"/>
      <w:pPr>
        <w:ind w:left="2253" w:hanging="360"/>
      </w:pPr>
      <w:rPr>
        <w:rFonts w:ascii="Wingdings" w:hAnsi="Wingdings" w:hint="default"/>
      </w:rPr>
    </w:lvl>
    <w:lvl w:ilvl="3" w:tplc="0C0A0001" w:tentative="1">
      <w:start w:val="1"/>
      <w:numFmt w:val="bullet"/>
      <w:lvlText w:val=""/>
      <w:lvlJc w:val="left"/>
      <w:pPr>
        <w:ind w:left="2973" w:hanging="360"/>
      </w:pPr>
      <w:rPr>
        <w:rFonts w:ascii="Symbol" w:hAnsi="Symbol" w:hint="default"/>
      </w:rPr>
    </w:lvl>
    <w:lvl w:ilvl="4" w:tplc="0C0A0003" w:tentative="1">
      <w:start w:val="1"/>
      <w:numFmt w:val="bullet"/>
      <w:lvlText w:val="o"/>
      <w:lvlJc w:val="left"/>
      <w:pPr>
        <w:ind w:left="3693" w:hanging="360"/>
      </w:pPr>
      <w:rPr>
        <w:rFonts w:ascii="Courier New" w:hAnsi="Courier New" w:cs="Courier New" w:hint="default"/>
      </w:rPr>
    </w:lvl>
    <w:lvl w:ilvl="5" w:tplc="0C0A0005" w:tentative="1">
      <w:start w:val="1"/>
      <w:numFmt w:val="bullet"/>
      <w:lvlText w:val=""/>
      <w:lvlJc w:val="left"/>
      <w:pPr>
        <w:ind w:left="4413" w:hanging="360"/>
      </w:pPr>
      <w:rPr>
        <w:rFonts w:ascii="Wingdings" w:hAnsi="Wingdings" w:hint="default"/>
      </w:rPr>
    </w:lvl>
    <w:lvl w:ilvl="6" w:tplc="0C0A0001" w:tentative="1">
      <w:start w:val="1"/>
      <w:numFmt w:val="bullet"/>
      <w:lvlText w:val=""/>
      <w:lvlJc w:val="left"/>
      <w:pPr>
        <w:ind w:left="5133" w:hanging="360"/>
      </w:pPr>
      <w:rPr>
        <w:rFonts w:ascii="Symbol" w:hAnsi="Symbol" w:hint="default"/>
      </w:rPr>
    </w:lvl>
    <w:lvl w:ilvl="7" w:tplc="0C0A0003" w:tentative="1">
      <w:start w:val="1"/>
      <w:numFmt w:val="bullet"/>
      <w:lvlText w:val="o"/>
      <w:lvlJc w:val="left"/>
      <w:pPr>
        <w:ind w:left="5853" w:hanging="360"/>
      </w:pPr>
      <w:rPr>
        <w:rFonts w:ascii="Courier New" w:hAnsi="Courier New" w:cs="Courier New" w:hint="default"/>
      </w:rPr>
    </w:lvl>
    <w:lvl w:ilvl="8" w:tplc="0C0A0005" w:tentative="1">
      <w:start w:val="1"/>
      <w:numFmt w:val="bullet"/>
      <w:lvlText w:val=""/>
      <w:lvlJc w:val="left"/>
      <w:pPr>
        <w:ind w:left="6573" w:hanging="360"/>
      </w:pPr>
      <w:rPr>
        <w:rFonts w:ascii="Wingdings" w:hAnsi="Wingdings" w:hint="default"/>
      </w:rPr>
    </w:lvl>
  </w:abstractNum>
  <w:abstractNum w:abstractNumId="15" w15:restartNumberingAfterBreak="0">
    <w:nsid w:val="358572E2"/>
    <w:multiLevelType w:val="hybridMultilevel"/>
    <w:tmpl w:val="A4FA948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6F87AD5"/>
    <w:multiLevelType w:val="hybridMultilevel"/>
    <w:tmpl w:val="013A4BF0"/>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E7E1D8D"/>
    <w:multiLevelType w:val="hybridMultilevel"/>
    <w:tmpl w:val="948C6A7A"/>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8B86C30"/>
    <w:multiLevelType w:val="hybridMultilevel"/>
    <w:tmpl w:val="5210974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9285958"/>
    <w:multiLevelType w:val="hybridMultilevel"/>
    <w:tmpl w:val="44AE4BC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A015E39"/>
    <w:multiLevelType w:val="hybridMultilevel"/>
    <w:tmpl w:val="4C8AB89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D2D02FC"/>
    <w:multiLevelType w:val="hybridMultilevel"/>
    <w:tmpl w:val="3794A50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F442E47"/>
    <w:multiLevelType w:val="hybridMultilevel"/>
    <w:tmpl w:val="15665288"/>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DAA137A"/>
    <w:multiLevelType w:val="hybridMultilevel"/>
    <w:tmpl w:val="7E723F1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E121B7D"/>
    <w:multiLevelType w:val="hybridMultilevel"/>
    <w:tmpl w:val="78FE48D6"/>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F120B55"/>
    <w:multiLevelType w:val="hybridMultilevel"/>
    <w:tmpl w:val="3DC8800C"/>
    <w:lvl w:ilvl="0" w:tplc="77DA67E4">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15309D5"/>
    <w:multiLevelType w:val="hybridMultilevel"/>
    <w:tmpl w:val="C56EABF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2A05704"/>
    <w:multiLevelType w:val="hybridMultilevel"/>
    <w:tmpl w:val="64323FFA"/>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C3155B8"/>
    <w:multiLevelType w:val="hybridMultilevel"/>
    <w:tmpl w:val="5810D8D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27240FE"/>
    <w:multiLevelType w:val="hybridMultilevel"/>
    <w:tmpl w:val="97BEC0C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28F1FB4"/>
    <w:multiLevelType w:val="hybridMultilevel"/>
    <w:tmpl w:val="94224C7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3054C1D"/>
    <w:multiLevelType w:val="hybridMultilevel"/>
    <w:tmpl w:val="FC0E4E66"/>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53F5615"/>
    <w:multiLevelType w:val="hybridMultilevel"/>
    <w:tmpl w:val="F2761B20"/>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589642D"/>
    <w:multiLevelType w:val="hybridMultilevel"/>
    <w:tmpl w:val="15EEAF9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7E85DFD"/>
    <w:multiLevelType w:val="hybridMultilevel"/>
    <w:tmpl w:val="13503F5A"/>
    <w:lvl w:ilvl="0" w:tplc="89A4022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C4A63AB"/>
    <w:multiLevelType w:val="hybridMultilevel"/>
    <w:tmpl w:val="C54A2F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67401590">
    <w:abstractNumId w:val="25"/>
  </w:num>
  <w:num w:numId="2" w16cid:durableId="402029481">
    <w:abstractNumId w:val="16"/>
  </w:num>
  <w:num w:numId="3" w16cid:durableId="158498335">
    <w:abstractNumId w:val="12"/>
  </w:num>
  <w:num w:numId="4" w16cid:durableId="2022194870">
    <w:abstractNumId w:val="15"/>
  </w:num>
  <w:num w:numId="5" w16cid:durableId="1944456860">
    <w:abstractNumId w:val="9"/>
  </w:num>
  <w:num w:numId="6" w16cid:durableId="590941103">
    <w:abstractNumId w:val="17"/>
  </w:num>
  <w:num w:numId="7" w16cid:durableId="554321292">
    <w:abstractNumId w:val="31"/>
  </w:num>
  <w:num w:numId="8" w16cid:durableId="1040209701">
    <w:abstractNumId w:val="33"/>
  </w:num>
  <w:num w:numId="9" w16cid:durableId="1960992065">
    <w:abstractNumId w:val="0"/>
  </w:num>
  <w:num w:numId="10" w16cid:durableId="31074838">
    <w:abstractNumId w:val="30"/>
  </w:num>
  <w:num w:numId="11" w16cid:durableId="1660772563">
    <w:abstractNumId w:val="8"/>
  </w:num>
  <w:num w:numId="12" w16cid:durableId="1834107602">
    <w:abstractNumId w:val="20"/>
  </w:num>
  <w:num w:numId="13" w16cid:durableId="1724791421">
    <w:abstractNumId w:val="22"/>
  </w:num>
  <w:num w:numId="14" w16cid:durableId="1210646652">
    <w:abstractNumId w:val="27"/>
  </w:num>
  <w:num w:numId="15" w16cid:durableId="1161657824">
    <w:abstractNumId w:val="19"/>
  </w:num>
  <w:num w:numId="16" w16cid:durableId="1061977476">
    <w:abstractNumId w:val="29"/>
  </w:num>
  <w:num w:numId="17" w16cid:durableId="2072843414">
    <w:abstractNumId w:val="24"/>
  </w:num>
  <w:num w:numId="18" w16cid:durableId="1573127098">
    <w:abstractNumId w:val="23"/>
  </w:num>
  <w:num w:numId="19" w16cid:durableId="1966883057">
    <w:abstractNumId w:val="32"/>
  </w:num>
  <w:num w:numId="20" w16cid:durableId="1778133525">
    <w:abstractNumId w:val="35"/>
  </w:num>
  <w:num w:numId="21" w16cid:durableId="950935739">
    <w:abstractNumId w:val="2"/>
  </w:num>
  <w:num w:numId="22" w16cid:durableId="1879661357">
    <w:abstractNumId w:val="13"/>
  </w:num>
  <w:num w:numId="23" w16cid:durableId="723719747">
    <w:abstractNumId w:val="11"/>
  </w:num>
  <w:num w:numId="24" w16cid:durableId="2139645363">
    <w:abstractNumId w:val="21"/>
  </w:num>
  <w:num w:numId="25" w16cid:durableId="1535540235">
    <w:abstractNumId w:val="7"/>
  </w:num>
  <w:num w:numId="26" w16cid:durableId="776557883">
    <w:abstractNumId w:val="14"/>
  </w:num>
  <w:num w:numId="27" w16cid:durableId="321009960">
    <w:abstractNumId w:val="10"/>
  </w:num>
  <w:num w:numId="28" w16cid:durableId="2058889177">
    <w:abstractNumId w:val="4"/>
  </w:num>
  <w:num w:numId="29" w16cid:durableId="1467816600">
    <w:abstractNumId w:val="34"/>
  </w:num>
  <w:num w:numId="30" w16cid:durableId="95709271">
    <w:abstractNumId w:val="1"/>
  </w:num>
  <w:num w:numId="31" w16cid:durableId="1059862691">
    <w:abstractNumId w:val="3"/>
  </w:num>
  <w:num w:numId="32" w16cid:durableId="1969967788">
    <w:abstractNumId w:val="26"/>
  </w:num>
  <w:num w:numId="33" w16cid:durableId="851721990">
    <w:abstractNumId w:val="18"/>
  </w:num>
  <w:num w:numId="34" w16cid:durableId="1990204947">
    <w:abstractNumId w:val="28"/>
  </w:num>
  <w:num w:numId="35" w16cid:durableId="345913420">
    <w:abstractNumId w:val="5"/>
  </w:num>
  <w:num w:numId="36" w16cid:durableId="811682070">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numFmt w:val="lowerLette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DA5"/>
    <w:rsid w:val="00000932"/>
    <w:rsid w:val="00000939"/>
    <w:rsid w:val="00000B6D"/>
    <w:rsid w:val="000023CC"/>
    <w:rsid w:val="000024C3"/>
    <w:rsid w:val="00002F98"/>
    <w:rsid w:val="00004385"/>
    <w:rsid w:val="0000455C"/>
    <w:rsid w:val="000050F1"/>
    <w:rsid w:val="0000511F"/>
    <w:rsid w:val="000054ED"/>
    <w:rsid w:val="00005588"/>
    <w:rsid w:val="00005603"/>
    <w:rsid w:val="00005AD9"/>
    <w:rsid w:val="00005E11"/>
    <w:rsid w:val="00005FD3"/>
    <w:rsid w:val="00006EBE"/>
    <w:rsid w:val="0000715E"/>
    <w:rsid w:val="000077B7"/>
    <w:rsid w:val="00007EFB"/>
    <w:rsid w:val="00010B92"/>
    <w:rsid w:val="00011008"/>
    <w:rsid w:val="00011086"/>
    <w:rsid w:val="00011769"/>
    <w:rsid w:val="000118BA"/>
    <w:rsid w:val="00011F1C"/>
    <w:rsid w:val="0001248E"/>
    <w:rsid w:val="00012E0F"/>
    <w:rsid w:val="000134DC"/>
    <w:rsid w:val="000139F2"/>
    <w:rsid w:val="00013EE4"/>
    <w:rsid w:val="00015908"/>
    <w:rsid w:val="00015AB6"/>
    <w:rsid w:val="000160B3"/>
    <w:rsid w:val="00016BEF"/>
    <w:rsid w:val="00017401"/>
    <w:rsid w:val="00017564"/>
    <w:rsid w:val="00017D96"/>
    <w:rsid w:val="000203F4"/>
    <w:rsid w:val="00020895"/>
    <w:rsid w:val="00020DFC"/>
    <w:rsid w:val="0002112C"/>
    <w:rsid w:val="00021379"/>
    <w:rsid w:val="00021433"/>
    <w:rsid w:val="00021913"/>
    <w:rsid w:val="00021C3E"/>
    <w:rsid w:val="000220AA"/>
    <w:rsid w:val="00022AF2"/>
    <w:rsid w:val="000236DA"/>
    <w:rsid w:val="00024AE3"/>
    <w:rsid w:val="00024F18"/>
    <w:rsid w:val="0002558A"/>
    <w:rsid w:val="00025A15"/>
    <w:rsid w:val="00025BF5"/>
    <w:rsid w:val="0002639A"/>
    <w:rsid w:val="0002668E"/>
    <w:rsid w:val="00026BC2"/>
    <w:rsid w:val="00026D6A"/>
    <w:rsid w:val="00027333"/>
    <w:rsid w:val="00027C3E"/>
    <w:rsid w:val="00027D46"/>
    <w:rsid w:val="0003036C"/>
    <w:rsid w:val="000308AE"/>
    <w:rsid w:val="00031842"/>
    <w:rsid w:val="00031D8E"/>
    <w:rsid w:val="000326F1"/>
    <w:rsid w:val="00032756"/>
    <w:rsid w:val="00032A05"/>
    <w:rsid w:val="00034046"/>
    <w:rsid w:val="000340DD"/>
    <w:rsid w:val="000346BE"/>
    <w:rsid w:val="00034EE8"/>
    <w:rsid w:val="0003558F"/>
    <w:rsid w:val="0003599E"/>
    <w:rsid w:val="000369C5"/>
    <w:rsid w:val="00037778"/>
    <w:rsid w:val="00040499"/>
    <w:rsid w:val="00040AF4"/>
    <w:rsid w:val="00041521"/>
    <w:rsid w:val="00042A5E"/>
    <w:rsid w:val="00042FB6"/>
    <w:rsid w:val="00042FCE"/>
    <w:rsid w:val="00043287"/>
    <w:rsid w:val="000433A1"/>
    <w:rsid w:val="0004357B"/>
    <w:rsid w:val="00043CAE"/>
    <w:rsid w:val="00044A40"/>
    <w:rsid w:val="00044DBF"/>
    <w:rsid w:val="0004501B"/>
    <w:rsid w:val="00045196"/>
    <w:rsid w:val="00045713"/>
    <w:rsid w:val="00045ED2"/>
    <w:rsid w:val="0004624C"/>
    <w:rsid w:val="00046708"/>
    <w:rsid w:val="0004671F"/>
    <w:rsid w:val="00046AA2"/>
    <w:rsid w:val="00046B5D"/>
    <w:rsid w:val="00046BED"/>
    <w:rsid w:val="000502D9"/>
    <w:rsid w:val="00050640"/>
    <w:rsid w:val="00050649"/>
    <w:rsid w:val="00050C90"/>
    <w:rsid w:val="00050F93"/>
    <w:rsid w:val="0005101F"/>
    <w:rsid w:val="000510B6"/>
    <w:rsid w:val="000511F1"/>
    <w:rsid w:val="00051516"/>
    <w:rsid w:val="00051725"/>
    <w:rsid w:val="00051734"/>
    <w:rsid w:val="00052022"/>
    <w:rsid w:val="00052C8C"/>
    <w:rsid w:val="00054F4C"/>
    <w:rsid w:val="00054FB0"/>
    <w:rsid w:val="00055346"/>
    <w:rsid w:val="00055C7A"/>
    <w:rsid w:val="00055CFC"/>
    <w:rsid w:val="000564B9"/>
    <w:rsid w:val="000564DE"/>
    <w:rsid w:val="00060581"/>
    <w:rsid w:val="0006082D"/>
    <w:rsid w:val="000610DF"/>
    <w:rsid w:val="0006201D"/>
    <w:rsid w:val="000620D2"/>
    <w:rsid w:val="000626CD"/>
    <w:rsid w:val="00062FA9"/>
    <w:rsid w:val="000635F5"/>
    <w:rsid w:val="0006387B"/>
    <w:rsid w:val="00063D72"/>
    <w:rsid w:val="00063F9F"/>
    <w:rsid w:val="000648E2"/>
    <w:rsid w:val="00064B5D"/>
    <w:rsid w:val="00064BAD"/>
    <w:rsid w:val="0006557E"/>
    <w:rsid w:val="000656F2"/>
    <w:rsid w:val="000659F9"/>
    <w:rsid w:val="00066473"/>
    <w:rsid w:val="000669BE"/>
    <w:rsid w:val="000669F8"/>
    <w:rsid w:val="00071CE2"/>
    <w:rsid w:val="00071F3E"/>
    <w:rsid w:val="00072844"/>
    <w:rsid w:val="00072A4A"/>
    <w:rsid w:val="00073145"/>
    <w:rsid w:val="000742DF"/>
    <w:rsid w:val="000743EA"/>
    <w:rsid w:val="00074F75"/>
    <w:rsid w:val="0007533C"/>
    <w:rsid w:val="0007539F"/>
    <w:rsid w:val="000755D5"/>
    <w:rsid w:val="00075B99"/>
    <w:rsid w:val="00075FCC"/>
    <w:rsid w:val="0007621B"/>
    <w:rsid w:val="000764AC"/>
    <w:rsid w:val="000767F7"/>
    <w:rsid w:val="00076EDD"/>
    <w:rsid w:val="00076FD8"/>
    <w:rsid w:val="00080E59"/>
    <w:rsid w:val="00080FC2"/>
    <w:rsid w:val="00081576"/>
    <w:rsid w:val="00081FD8"/>
    <w:rsid w:val="000820CF"/>
    <w:rsid w:val="0008280F"/>
    <w:rsid w:val="00082817"/>
    <w:rsid w:val="00083D47"/>
    <w:rsid w:val="00083D98"/>
    <w:rsid w:val="000854D9"/>
    <w:rsid w:val="00085D1B"/>
    <w:rsid w:val="000860BC"/>
    <w:rsid w:val="000864AF"/>
    <w:rsid w:val="00087FD9"/>
    <w:rsid w:val="000901F7"/>
    <w:rsid w:val="00090C23"/>
    <w:rsid w:val="00091104"/>
    <w:rsid w:val="000914C2"/>
    <w:rsid w:val="00091FFB"/>
    <w:rsid w:val="00093E22"/>
    <w:rsid w:val="000941C6"/>
    <w:rsid w:val="000943A6"/>
    <w:rsid w:val="0009492D"/>
    <w:rsid w:val="00094C45"/>
    <w:rsid w:val="000951F3"/>
    <w:rsid w:val="000954EC"/>
    <w:rsid w:val="00095B13"/>
    <w:rsid w:val="00096F2A"/>
    <w:rsid w:val="00097CBC"/>
    <w:rsid w:val="00097D87"/>
    <w:rsid w:val="000A0B75"/>
    <w:rsid w:val="000A2289"/>
    <w:rsid w:val="000A2801"/>
    <w:rsid w:val="000A2919"/>
    <w:rsid w:val="000A2DBE"/>
    <w:rsid w:val="000A2EAB"/>
    <w:rsid w:val="000A3570"/>
    <w:rsid w:val="000A4541"/>
    <w:rsid w:val="000A5046"/>
    <w:rsid w:val="000A516B"/>
    <w:rsid w:val="000A6138"/>
    <w:rsid w:val="000A6612"/>
    <w:rsid w:val="000A692E"/>
    <w:rsid w:val="000B05B6"/>
    <w:rsid w:val="000B14C0"/>
    <w:rsid w:val="000B1C35"/>
    <w:rsid w:val="000B270C"/>
    <w:rsid w:val="000B3080"/>
    <w:rsid w:val="000B36B8"/>
    <w:rsid w:val="000B3A15"/>
    <w:rsid w:val="000B48CB"/>
    <w:rsid w:val="000B51C2"/>
    <w:rsid w:val="000B5600"/>
    <w:rsid w:val="000B5C9D"/>
    <w:rsid w:val="000B62FA"/>
    <w:rsid w:val="000B6AE8"/>
    <w:rsid w:val="000B6ECF"/>
    <w:rsid w:val="000B78AC"/>
    <w:rsid w:val="000C018E"/>
    <w:rsid w:val="000C0956"/>
    <w:rsid w:val="000C0C03"/>
    <w:rsid w:val="000C1804"/>
    <w:rsid w:val="000C22FB"/>
    <w:rsid w:val="000C2E9C"/>
    <w:rsid w:val="000C2EAB"/>
    <w:rsid w:val="000C5F51"/>
    <w:rsid w:val="000C6F10"/>
    <w:rsid w:val="000C7198"/>
    <w:rsid w:val="000C74F4"/>
    <w:rsid w:val="000C76E8"/>
    <w:rsid w:val="000C78A5"/>
    <w:rsid w:val="000D1070"/>
    <w:rsid w:val="000D15E2"/>
    <w:rsid w:val="000D1643"/>
    <w:rsid w:val="000D2053"/>
    <w:rsid w:val="000D2645"/>
    <w:rsid w:val="000D280D"/>
    <w:rsid w:val="000D287C"/>
    <w:rsid w:val="000D376B"/>
    <w:rsid w:val="000D4326"/>
    <w:rsid w:val="000D4581"/>
    <w:rsid w:val="000D6128"/>
    <w:rsid w:val="000D6A96"/>
    <w:rsid w:val="000D6C07"/>
    <w:rsid w:val="000D7F0B"/>
    <w:rsid w:val="000E02F9"/>
    <w:rsid w:val="000E0611"/>
    <w:rsid w:val="000E17AB"/>
    <w:rsid w:val="000E198B"/>
    <w:rsid w:val="000E1C34"/>
    <w:rsid w:val="000E25F0"/>
    <w:rsid w:val="000E4E7E"/>
    <w:rsid w:val="000E5AF0"/>
    <w:rsid w:val="000E6218"/>
    <w:rsid w:val="000E7620"/>
    <w:rsid w:val="000F03A2"/>
    <w:rsid w:val="000F096D"/>
    <w:rsid w:val="000F22B2"/>
    <w:rsid w:val="000F2A12"/>
    <w:rsid w:val="000F2A5C"/>
    <w:rsid w:val="000F3829"/>
    <w:rsid w:val="000F3838"/>
    <w:rsid w:val="000F4C5E"/>
    <w:rsid w:val="000F54E6"/>
    <w:rsid w:val="000F6019"/>
    <w:rsid w:val="000F715F"/>
    <w:rsid w:val="000F71B9"/>
    <w:rsid w:val="000F72A9"/>
    <w:rsid w:val="000F78E9"/>
    <w:rsid w:val="000F7956"/>
    <w:rsid w:val="001001A7"/>
    <w:rsid w:val="0010048F"/>
    <w:rsid w:val="00100C15"/>
    <w:rsid w:val="00100F8C"/>
    <w:rsid w:val="00101237"/>
    <w:rsid w:val="00101645"/>
    <w:rsid w:val="00101BC6"/>
    <w:rsid w:val="00102CCB"/>
    <w:rsid w:val="00102FAA"/>
    <w:rsid w:val="0010310D"/>
    <w:rsid w:val="0010315F"/>
    <w:rsid w:val="0010333B"/>
    <w:rsid w:val="00103D61"/>
    <w:rsid w:val="00104AF3"/>
    <w:rsid w:val="001054C4"/>
    <w:rsid w:val="00105ACB"/>
    <w:rsid w:val="001060CE"/>
    <w:rsid w:val="001067FA"/>
    <w:rsid w:val="00106F59"/>
    <w:rsid w:val="00107034"/>
    <w:rsid w:val="00107385"/>
    <w:rsid w:val="00110CCF"/>
    <w:rsid w:val="00110FED"/>
    <w:rsid w:val="001113F4"/>
    <w:rsid w:val="0011175F"/>
    <w:rsid w:val="001125B8"/>
    <w:rsid w:val="00112827"/>
    <w:rsid w:val="00112DEE"/>
    <w:rsid w:val="00112E1F"/>
    <w:rsid w:val="00112E88"/>
    <w:rsid w:val="0011314B"/>
    <w:rsid w:val="001132C0"/>
    <w:rsid w:val="001133D2"/>
    <w:rsid w:val="00113EA0"/>
    <w:rsid w:val="0011414E"/>
    <w:rsid w:val="00116009"/>
    <w:rsid w:val="00116808"/>
    <w:rsid w:val="00116D48"/>
    <w:rsid w:val="0012018A"/>
    <w:rsid w:val="00120755"/>
    <w:rsid w:val="001208F4"/>
    <w:rsid w:val="00120BB8"/>
    <w:rsid w:val="00120F5F"/>
    <w:rsid w:val="00121FD5"/>
    <w:rsid w:val="00122B11"/>
    <w:rsid w:val="00122CC7"/>
    <w:rsid w:val="00123145"/>
    <w:rsid w:val="001232BE"/>
    <w:rsid w:val="001248B6"/>
    <w:rsid w:val="00124D3B"/>
    <w:rsid w:val="00124E95"/>
    <w:rsid w:val="001250EC"/>
    <w:rsid w:val="001250FB"/>
    <w:rsid w:val="00126058"/>
    <w:rsid w:val="00126103"/>
    <w:rsid w:val="00126748"/>
    <w:rsid w:val="0012694A"/>
    <w:rsid w:val="00126DEB"/>
    <w:rsid w:val="001300DD"/>
    <w:rsid w:val="0013095F"/>
    <w:rsid w:val="00131373"/>
    <w:rsid w:val="00131A4B"/>
    <w:rsid w:val="00132468"/>
    <w:rsid w:val="00132535"/>
    <w:rsid w:val="00132648"/>
    <w:rsid w:val="00132FF7"/>
    <w:rsid w:val="001331BC"/>
    <w:rsid w:val="001336AB"/>
    <w:rsid w:val="00133B11"/>
    <w:rsid w:val="00133E82"/>
    <w:rsid w:val="00133F17"/>
    <w:rsid w:val="001341FE"/>
    <w:rsid w:val="001344E1"/>
    <w:rsid w:val="0013464F"/>
    <w:rsid w:val="00134ACE"/>
    <w:rsid w:val="0013624E"/>
    <w:rsid w:val="00136842"/>
    <w:rsid w:val="00137220"/>
    <w:rsid w:val="001401D3"/>
    <w:rsid w:val="00140363"/>
    <w:rsid w:val="001408D7"/>
    <w:rsid w:val="0014125D"/>
    <w:rsid w:val="0014132A"/>
    <w:rsid w:val="001414F4"/>
    <w:rsid w:val="001416C2"/>
    <w:rsid w:val="001416D2"/>
    <w:rsid w:val="00141C35"/>
    <w:rsid w:val="001424E1"/>
    <w:rsid w:val="0014276A"/>
    <w:rsid w:val="00142785"/>
    <w:rsid w:val="00142846"/>
    <w:rsid w:val="00142FBB"/>
    <w:rsid w:val="001434B9"/>
    <w:rsid w:val="00144285"/>
    <w:rsid w:val="001445D0"/>
    <w:rsid w:val="001446F1"/>
    <w:rsid w:val="0014577C"/>
    <w:rsid w:val="00145D85"/>
    <w:rsid w:val="00145E16"/>
    <w:rsid w:val="00146AED"/>
    <w:rsid w:val="00146C84"/>
    <w:rsid w:val="00147513"/>
    <w:rsid w:val="001475B4"/>
    <w:rsid w:val="00147EB2"/>
    <w:rsid w:val="00147FF3"/>
    <w:rsid w:val="001505ED"/>
    <w:rsid w:val="001508C6"/>
    <w:rsid w:val="00150E05"/>
    <w:rsid w:val="00151050"/>
    <w:rsid w:val="0015134C"/>
    <w:rsid w:val="00153989"/>
    <w:rsid w:val="001542DD"/>
    <w:rsid w:val="00154C0F"/>
    <w:rsid w:val="00154E5A"/>
    <w:rsid w:val="0015530B"/>
    <w:rsid w:val="00155AD6"/>
    <w:rsid w:val="001563F7"/>
    <w:rsid w:val="001566F9"/>
    <w:rsid w:val="001576F0"/>
    <w:rsid w:val="0015776C"/>
    <w:rsid w:val="00160854"/>
    <w:rsid w:val="0016096D"/>
    <w:rsid w:val="0016165F"/>
    <w:rsid w:val="00162238"/>
    <w:rsid w:val="001633C7"/>
    <w:rsid w:val="00163D02"/>
    <w:rsid w:val="00163E5B"/>
    <w:rsid w:val="001644A7"/>
    <w:rsid w:val="00164674"/>
    <w:rsid w:val="00164BE9"/>
    <w:rsid w:val="001669E2"/>
    <w:rsid w:val="0017049A"/>
    <w:rsid w:val="00170788"/>
    <w:rsid w:val="00170814"/>
    <w:rsid w:val="00170B4E"/>
    <w:rsid w:val="00170C23"/>
    <w:rsid w:val="00171A6B"/>
    <w:rsid w:val="00171C66"/>
    <w:rsid w:val="00172909"/>
    <w:rsid w:val="00172F48"/>
    <w:rsid w:val="0017327A"/>
    <w:rsid w:val="001738DF"/>
    <w:rsid w:val="0017484D"/>
    <w:rsid w:val="00174C4D"/>
    <w:rsid w:val="00174F39"/>
    <w:rsid w:val="00174FCF"/>
    <w:rsid w:val="00176359"/>
    <w:rsid w:val="001767D3"/>
    <w:rsid w:val="00180063"/>
    <w:rsid w:val="001817A7"/>
    <w:rsid w:val="00181B0A"/>
    <w:rsid w:val="00182833"/>
    <w:rsid w:val="001829D7"/>
    <w:rsid w:val="00182C24"/>
    <w:rsid w:val="00182FE7"/>
    <w:rsid w:val="00183308"/>
    <w:rsid w:val="00183B80"/>
    <w:rsid w:val="00183F1A"/>
    <w:rsid w:val="001847FC"/>
    <w:rsid w:val="0018492B"/>
    <w:rsid w:val="00187475"/>
    <w:rsid w:val="00192130"/>
    <w:rsid w:val="001925B3"/>
    <w:rsid w:val="0019302F"/>
    <w:rsid w:val="0019325E"/>
    <w:rsid w:val="00193747"/>
    <w:rsid w:val="001939F9"/>
    <w:rsid w:val="0019459A"/>
    <w:rsid w:val="00194A1F"/>
    <w:rsid w:val="001956B7"/>
    <w:rsid w:val="00195911"/>
    <w:rsid w:val="00195B37"/>
    <w:rsid w:val="0019631C"/>
    <w:rsid w:val="0019672B"/>
    <w:rsid w:val="00196EC0"/>
    <w:rsid w:val="001A0231"/>
    <w:rsid w:val="001A0460"/>
    <w:rsid w:val="001A06CD"/>
    <w:rsid w:val="001A11ED"/>
    <w:rsid w:val="001A169B"/>
    <w:rsid w:val="001A319B"/>
    <w:rsid w:val="001A395A"/>
    <w:rsid w:val="001A3973"/>
    <w:rsid w:val="001A492E"/>
    <w:rsid w:val="001A4BAA"/>
    <w:rsid w:val="001A4BD5"/>
    <w:rsid w:val="001A4D08"/>
    <w:rsid w:val="001A4F00"/>
    <w:rsid w:val="001A518F"/>
    <w:rsid w:val="001A5228"/>
    <w:rsid w:val="001A57F6"/>
    <w:rsid w:val="001A5809"/>
    <w:rsid w:val="001A611F"/>
    <w:rsid w:val="001A6847"/>
    <w:rsid w:val="001A7C89"/>
    <w:rsid w:val="001A7E76"/>
    <w:rsid w:val="001B021D"/>
    <w:rsid w:val="001B07C2"/>
    <w:rsid w:val="001B0E2F"/>
    <w:rsid w:val="001B1127"/>
    <w:rsid w:val="001B2461"/>
    <w:rsid w:val="001B26AE"/>
    <w:rsid w:val="001B27EE"/>
    <w:rsid w:val="001B30DD"/>
    <w:rsid w:val="001B3986"/>
    <w:rsid w:val="001B3A41"/>
    <w:rsid w:val="001B3E76"/>
    <w:rsid w:val="001B42EC"/>
    <w:rsid w:val="001B4574"/>
    <w:rsid w:val="001B459B"/>
    <w:rsid w:val="001B4FCA"/>
    <w:rsid w:val="001B5A36"/>
    <w:rsid w:val="001B720E"/>
    <w:rsid w:val="001B73D0"/>
    <w:rsid w:val="001B7644"/>
    <w:rsid w:val="001B77D3"/>
    <w:rsid w:val="001B78DD"/>
    <w:rsid w:val="001B79B1"/>
    <w:rsid w:val="001C06E6"/>
    <w:rsid w:val="001C1275"/>
    <w:rsid w:val="001C1A1F"/>
    <w:rsid w:val="001C2DE0"/>
    <w:rsid w:val="001C314C"/>
    <w:rsid w:val="001C3847"/>
    <w:rsid w:val="001C3ED5"/>
    <w:rsid w:val="001C4FA5"/>
    <w:rsid w:val="001C5641"/>
    <w:rsid w:val="001C578B"/>
    <w:rsid w:val="001C589D"/>
    <w:rsid w:val="001C5F81"/>
    <w:rsid w:val="001C64AA"/>
    <w:rsid w:val="001C73BD"/>
    <w:rsid w:val="001C7E3F"/>
    <w:rsid w:val="001C7ECA"/>
    <w:rsid w:val="001D012D"/>
    <w:rsid w:val="001D1229"/>
    <w:rsid w:val="001D1261"/>
    <w:rsid w:val="001D1B1B"/>
    <w:rsid w:val="001D1FF8"/>
    <w:rsid w:val="001D24A1"/>
    <w:rsid w:val="001D2E23"/>
    <w:rsid w:val="001D37AD"/>
    <w:rsid w:val="001D4120"/>
    <w:rsid w:val="001D4C83"/>
    <w:rsid w:val="001D5221"/>
    <w:rsid w:val="001D52D2"/>
    <w:rsid w:val="001D5481"/>
    <w:rsid w:val="001D5511"/>
    <w:rsid w:val="001D5743"/>
    <w:rsid w:val="001D598A"/>
    <w:rsid w:val="001D5BA7"/>
    <w:rsid w:val="001D6093"/>
    <w:rsid w:val="001D6BC9"/>
    <w:rsid w:val="001D6FB3"/>
    <w:rsid w:val="001D7A19"/>
    <w:rsid w:val="001E08D6"/>
    <w:rsid w:val="001E0B54"/>
    <w:rsid w:val="001E1D82"/>
    <w:rsid w:val="001E1FFA"/>
    <w:rsid w:val="001E23E9"/>
    <w:rsid w:val="001E24D7"/>
    <w:rsid w:val="001E5094"/>
    <w:rsid w:val="001E57D6"/>
    <w:rsid w:val="001E6F38"/>
    <w:rsid w:val="001E7A60"/>
    <w:rsid w:val="001F11B6"/>
    <w:rsid w:val="001F168A"/>
    <w:rsid w:val="001F1AC0"/>
    <w:rsid w:val="001F2ACF"/>
    <w:rsid w:val="001F3800"/>
    <w:rsid w:val="001F397F"/>
    <w:rsid w:val="001F3B41"/>
    <w:rsid w:val="001F3CFD"/>
    <w:rsid w:val="001F4467"/>
    <w:rsid w:val="001F4498"/>
    <w:rsid w:val="001F4D48"/>
    <w:rsid w:val="001F4D4B"/>
    <w:rsid w:val="001F6757"/>
    <w:rsid w:val="001F715D"/>
    <w:rsid w:val="001F7BAE"/>
    <w:rsid w:val="001F7D59"/>
    <w:rsid w:val="00201098"/>
    <w:rsid w:val="002013FD"/>
    <w:rsid w:val="00201CBB"/>
    <w:rsid w:val="002026FB"/>
    <w:rsid w:val="00202B73"/>
    <w:rsid w:val="00203D71"/>
    <w:rsid w:val="00204CC7"/>
    <w:rsid w:val="002053A5"/>
    <w:rsid w:val="002061C7"/>
    <w:rsid w:val="00206336"/>
    <w:rsid w:val="002064BE"/>
    <w:rsid w:val="00207A59"/>
    <w:rsid w:val="002100C0"/>
    <w:rsid w:val="0021054F"/>
    <w:rsid w:val="00211818"/>
    <w:rsid w:val="00211938"/>
    <w:rsid w:val="00211C54"/>
    <w:rsid w:val="00211E50"/>
    <w:rsid w:val="00211F83"/>
    <w:rsid w:val="00212517"/>
    <w:rsid w:val="002127AC"/>
    <w:rsid w:val="00212B10"/>
    <w:rsid w:val="00212B43"/>
    <w:rsid w:val="0021390B"/>
    <w:rsid w:val="00213E09"/>
    <w:rsid w:val="0021423F"/>
    <w:rsid w:val="002145C5"/>
    <w:rsid w:val="00214610"/>
    <w:rsid w:val="002146FF"/>
    <w:rsid w:val="00214C4A"/>
    <w:rsid w:val="00215183"/>
    <w:rsid w:val="00215521"/>
    <w:rsid w:val="0021583F"/>
    <w:rsid w:val="00215F50"/>
    <w:rsid w:val="00215F9A"/>
    <w:rsid w:val="00215FE6"/>
    <w:rsid w:val="00216109"/>
    <w:rsid w:val="002171FD"/>
    <w:rsid w:val="002177F0"/>
    <w:rsid w:val="00217E1C"/>
    <w:rsid w:val="0022067D"/>
    <w:rsid w:val="002207CE"/>
    <w:rsid w:val="00220B87"/>
    <w:rsid w:val="00220CCA"/>
    <w:rsid w:val="00220FFE"/>
    <w:rsid w:val="00221418"/>
    <w:rsid w:val="002224E5"/>
    <w:rsid w:val="00222604"/>
    <w:rsid w:val="002228F7"/>
    <w:rsid w:val="00223347"/>
    <w:rsid w:val="0022414C"/>
    <w:rsid w:val="00224698"/>
    <w:rsid w:val="0022490B"/>
    <w:rsid w:val="002253FB"/>
    <w:rsid w:val="0022585A"/>
    <w:rsid w:val="002258BB"/>
    <w:rsid w:val="00225D88"/>
    <w:rsid w:val="0022752D"/>
    <w:rsid w:val="0022779C"/>
    <w:rsid w:val="00227C8D"/>
    <w:rsid w:val="002302E5"/>
    <w:rsid w:val="0023061A"/>
    <w:rsid w:val="00230620"/>
    <w:rsid w:val="00230A2A"/>
    <w:rsid w:val="00231E70"/>
    <w:rsid w:val="002326B2"/>
    <w:rsid w:val="00232C9F"/>
    <w:rsid w:val="00232EA3"/>
    <w:rsid w:val="002341D8"/>
    <w:rsid w:val="0023514E"/>
    <w:rsid w:val="0023578C"/>
    <w:rsid w:val="00235CA7"/>
    <w:rsid w:val="00236D23"/>
    <w:rsid w:val="00236E27"/>
    <w:rsid w:val="00236E74"/>
    <w:rsid w:val="00236FB7"/>
    <w:rsid w:val="002376A0"/>
    <w:rsid w:val="00237DBF"/>
    <w:rsid w:val="00240452"/>
    <w:rsid w:val="002407FA"/>
    <w:rsid w:val="00240CC0"/>
    <w:rsid w:val="00241015"/>
    <w:rsid w:val="00241E75"/>
    <w:rsid w:val="00241FCA"/>
    <w:rsid w:val="00242281"/>
    <w:rsid w:val="0024231D"/>
    <w:rsid w:val="002440CC"/>
    <w:rsid w:val="0024527C"/>
    <w:rsid w:val="00245B07"/>
    <w:rsid w:val="00246080"/>
    <w:rsid w:val="00246D05"/>
    <w:rsid w:val="00247B0E"/>
    <w:rsid w:val="00247FF6"/>
    <w:rsid w:val="002500F2"/>
    <w:rsid w:val="00250733"/>
    <w:rsid w:val="00250CF9"/>
    <w:rsid w:val="00251086"/>
    <w:rsid w:val="00251601"/>
    <w:rsid w:val="00252441"/>
    <w:rsid w:val="002538D9"/>
    <w:rsid w:val="00254107"/>
    <w:rsid w:val="00254694"/>
    <w:rsid w:val="002548E1"/>
    <w:rsid w:val="00254A19"/>
    <w:rsid w:val="002553AE"/>
    <w:rsid w:val="002553DA"/>
    <w:rsid w:val="00255754"/>
    <w:rsid w:val="00255778"/>
    <w:rsid w:val="00255B29"/>
    <w:rsid w:val="00255B90"/>
    <w:rsid w:val="002560FF"/>
    <w:rsid w:val="00256103"/>
    <w:rsid w:val="00256ACC"/>
    <w:rsid w:val="00257154"/>
    <w:rsid w:val="0025720F"/>
    <w:rsid w:val="00257526"/>
    <w:rsid w:val="002577DC"/>
    <w:rsid w:val="0025787C"/>
    <w:rsid w:val="002578E3"/>
    <w:rsid w:val="0026010F"/>
    <w:rsid w:val="00260ECD"/>
    <w:rsid w:val="0026108E"/>
    <w:rsid w:val="00261545"/>
    <w:rsid w:val="00261669"/>
    <w:rsid w:val="00262128"/>
    <w:rsid w:val="00263307"/>
    <w:rsid w:val="002633FB"/>
    <w:rsid w:val="00263612"/>
    <w:rsid w:val="002636C5"/>
    <w:rsid w:val="002637DF"/>
    <w:rsid w:val="00263A4F"/>
    <w:rsid w:val="00263E24"/>
    <w:rsid w:val="00263FB6"/>
    <w:rsid w:val="002640C9"/>
    <w:rsid w:val="0026493F"/>
    <w:rsid w:val="00264B48"/>
    <w:rsid w:val="00265290"/>
    <w:rsid w:val="002661E9"/>
    <w:rsid w:val="00266B2B"/>
    <w:rsid w:val="00266B7A"/>
    <w:rsid w:val="002672FB"/>
    <w:rsid w:val="00267306"/>
    <w:rsid w:val="0026752D"/>
    <w:rsid w:val="002675C8"/>
    <w:rsid w:val="002700EC"/>
    <w:rsid w:val="00271059"/>
    <w:rsid w:val="00271CB7"/>
    <w:rsid w:val="0027253B"/>
    <w:rsid w:val="002727B3"/>
    <w:rsid w:val="002727F4"/>
    <w:rsid w:val="00273CEC"/>
    <w:rsid w:val="0027423A"/>
    <w:rsid w:val="00274FE4"/>
    <w:rsid w:val="0027619C"/>
    <w:rsid w:val="00277E32"/>
    <w:rsid w:val="0028062E"/>
    <w:rsid w:val="002809C8"/>
    <w:rsid w:val="00280AF2"/>
    <w:rsid w:val="00281AB7"/>
    <w:rsid w:val="00281AC7"/>
    <w:rsid w:val="00281D07"/>
    <w:rsid w:val="00282106"/>
    <w:rsid w:val="00282311"/>
    <w:rsid w:val="00282730"/>
    <w:rsid w:val="00282D43"/>
    <w:rsid w:val="002831A2"/>
    <w:rsid w:val="00283572"/>
    <w:rsid w:val="00284212"/>
    <w:rsid w:val="002842E5"/>
    <w:rsid w:val="002852CE"/>
    <w:rsid w:val="002858B4"/>
    <w:rsid w:val="0028615B"/>
    <w:rsid w:val="00286DAB"/>
    <w:rsid w:val="00286E45"/>
    <w:rsid w:val="00287103"/>
    <w:rsid w:val="00287192"/>
    <w:rsid w:val="00287BE4"/>
    <w:rsid w:val="00290071"/>
    <w:rsid w:val="00290152"/>
    <w:rsid w:val="002904E9"/>
    <w:rsid w:val="00290831"/>
    <w:rsid w:val="00290A45"/>
    <w:rsid w:val="00290B63"/>
    <w:rsid w:val="00290D99"/>
    <w:rsid w:val="00293246"/>
    <w:rsid w:val="00293649"/>
    <w:rsid w:val="00294058"/>
    <w:rsid w:val="00294590"/>
    <w:rsid w:val="00294E3F"/>
    <w:rsid w:val="002958F4"/>
    <w:rsid w:val="0029606D"/>
    <w:rsid w:val="0029648B"/>
    <w:rsid w:val="002968E8"/>
    <w:rsid w:val="00296B1B"/>
    <w:rsid w:val="002971A7"/>
    <w:rsid w:val="00297696"/>
    <w:rsid w:val="002A01D2"/>
    <w:rsid w:val="002A0519"/>
    <w:rsid w:val="002A06AD"/>
    <w:rsid w:val="002A09DC"/>
    <w:rsid w:val="002A1BA1"/>
    <w:rsid w:val="002A2117"/>
    <w:rsid w:val="002A2130"/>
    <w:rsid w:val="002A2C75"/>
    <w:rsid w:val="002A2D4D"/>
    <w:rsid w:val="002A2FA2"/>
    <w:rsid w:val="002A40F2"/>
    <w:rsid w:val="002A4A94"/>
    <w:rsid w:val="002A50AE"/>
    <w:rsid w:val="002A5174"/>
    <w:rsid w:val="002A5652"/>
    <w:rsid w:val="002A56E8"/>
    <w:rsid w:val="002A5946"/>
    <w:rsid w:val="002A6348"/>
    <w:rsid w:val="002A6391"/>
    <w:rsid w:val="002A6543"/>
    <w:rsid w:val="002A7251"/>
    <w:rsid w:val="002A738D"/>
    <w:rsid w:val="002A7B01"/>
    <w:rsid w:val="002B0657"/>
    <w:rsid w:val="002B0F3B"/>
    <w:rsid w:val="002B1E16"/>
    <w:rsid w:val="002B2884"/>
    <w:rsid w:val="002B3117"/>
    <w:rsid w:val="002B3286"/>
    <w:rsid w:val="002B3F71"/>
    <w:rsid w:val="002B4513"/>
    <w:rsid w:val="002B4B2D"/>
    <w:rsid w:val="002B4BF0"/>
    <w:rsid w:val="002B4D87"/>
    <w:rsid w:val="002B69CD"/>
    <w:rsid w:val="002B7002"/>
    <w:rsid w:val="002C02E2"/>
    <w:rsid w:val="002C05E4"/>
    <w:rsid w:val="002C0C7E"/>
    <w:rsid w:val="002C0F37"/>
    <w:rsid w:val="002C2D3C"/>
    <w:rsid w:val="002C3261"/>
    <w:rsid w:val="002C394A"/>
    <w:rsid w:val="002C3BB1"/>
    <w:rsid w:val="002C3D83"/>
    <w:rsid w:val="002C3E91"/>
    <w:rsid w:val="002C3FB5"/>
    <w:rsid w:val="002C4B93"/>
    <w:rsid w:val="002C50DA"/>
    <w:rsid w:val="002C7FB2"/>
    <w:rsid w:val="002D05E4"/>
    <w:rsid w:val="002D1845"/>
    <w:rsid w:val="002D1BDA"/>
    <w:rsid w:val="002D1F04"/>
    <w:rsid w:val="002D2482"/>
    <w:rsid w:val="002D3856"/>
    <w:rsid w:val="002D4170"/>
    <w:rsid w:val="002D50E8"/>
    <w:rsid w:val="002D51EA"/>
    <w:rsid w:val="002D7173"/>
    <w:rsid w:val="002D74AE"/>
    <w:rsid w:val="002D763F"/>
    <w:rsid w:val="002E0ABE"/>
    <w:rsid w:val="002E12F4"/>
    <w:rsid w:val="002E1BA3"/>
    <w:rsid w:val="002E20BD"/>
    <w:rsid w:val="002E2749"/>
    <w:rsid w:val="002E2BB0"/>
    <w:rsid w:val="002E2F87"/>
    <w:rsid w:val="002E37CE"/>
    <w:rsid w:val="002E3B48"/>
    <w:rsid w:val="002E3D37"/>
    <w:rsid w:val="002E4E80"/>
    <w:rsid w:val="002E5052"/>
    <w:rsid w:val="002E50FA"/>
    <w:rsid w:val="002E61B9"/>
    <w:rsid w:val="002E68C7"/>
    <w:rsid w:val="002E6990"/>
    <w:rsid w:val="002E6ECF"/>
    <w:rsid w:val="002E79B9"/>
    <w:rsid w:val="002E7EB2"/>
    <w:rsid w:val="002E7F5C"/>
    <w:rsid w:val="002F0405"/>
    <w:rsid w:val="002F051A"/>
    <w:rsid w:val="002F0AE6"/>
    <w:rsid w:val="002F0DC0"/>
    <w:rsid w:val="002F1C55"/>
    <w:rsid w:val="002F21D4"/>
    <w:rsid w:val="002F2A87"/>
    <w:rsid w:val="002F2D46"/>
    <w:rsid w:val="002F30D1"/>
    <w:rsid w:val="002F4023"/>
    <w:rsid w:val="002F433F"/>
    <w:rsid w:val="002F50AA"/>
    <w:rsid w:val="002F54EA"/>
    <w:rsid w:val="002F5575"/>
    <w:rsid w:val="002F570A"/>
    <w:rsid w:val="002F5807"/>
    <w:rsid w:val="002F5B78"/>
    <w:rsid w:val="002F655D"/>
    <w:rsid w:val="002F6570"/>
    <w:rsid w:val="002F66BE"/>
    <w:rsid w:val="002F6BBB"/>
    <w:rsid w:val="002F76FE"/>
    <w:rsid w:val="003009D3"/>
    <w:rsid w:val="00300DAC"/>
    <w:rsid w:val="00300E92"/>
    <w:rsid w:val="00301019"/>
    <w:rsid w:val="0030131A"/>
    <w:rsid w:val="003014D1"/>
    <w:rsid w:val="00301C41"/>
    <w:rsid w:val="00301EC9"/>
    <w:rsid w:val="00303BEA"/>
    <w:rsid w:val="0030409E"/>
    <w:rsid w:val="00304269"/>
    <w:rsid w:val="003046AD"/>
    <w:rsid w:val="00304842"/>
    <w:rsid w:val="00304A3A"/>
    <w:rsid w:val="00305B12"/>
    <w:rsid w:val="00305EA9"/>
    <w:rsid w:val="00306FB9"/>
    <w:rsid w:val="003077CE"/>
    <w:rsid w:val="0031123B"/>
    <w:rsid w:val="0031195E"/>
    <w:rsid w:val="003128C4"/>
    <w:rsid w:val="00312EBC"/>
    <w:rsid w:val="003140E7"/>
    <w:rsid w:val="0031519E"/>
    <w:rsid w:val="00316B40"/>
    <w:rsid w:val="00316FEA"/>
    <w:rsid w:val="003175AF"/>
    <w:rsid w:val="003177FF"/>
    <w:rsid w:val="00317B3D"/>
    <w:rsid w:val="00317E72"/>
    <w:rsid w:val="003206C0"/>
    <w:rsid w:val="003211BA"/>
    <w:rsid w:val="00321624"/>
    <w:rsid w:val="00322F63"/>
    <w:rsid w:val="00323476"/>
    <w:rsid w:val="00323C92"/>
    <w:rsid w:val="00324B8D"/>
    <w:rsid w:val="00324BFA"/>
    <w:rsid w:val="003257B9"/>
    <w:rsid w:val="003259C7"/>
    <w:rsid w:val="00325AA2"/>
    <w:rsid w:val="00326B63"/>
    <w:rsid w:val="00326EA2"/>
    <w:rsid w:val="0032740A"/>
    <w:rsid w:val="003275ED"/>
    <w:rsid w:val="003277AC"/>
    <w:rsid w:val="00330AD6"/>
    <w:rsid w:val="00330B03"/>
    <w:rsid w:val="00330BA0"/>
    <w:rsid w:val="00330CF1"/>
    <w:rsid w:val="00330EA9"/>
    <w:rsid w:val="003312E1"/>
    <w:rsid w:val="0033181D"/>
    <w:rsid w:val="00332713"/>
    <w:rsid w:val="003338AE"/>
    <w:rsid w:val="0033583C"/>
    <w:rsid w:val="00335AC5"/>
    <w:rsid w:val="00335E50"/>
    <w:rsid w:val="00336687"/>
    <w:rsid w:val="00336B7E"/>
    <w:rsid w:val="00336E3E"/>
    <w:rsid w:val="0033736C"/>
    <w:rsid w:val="003378D2"/>
    <w:rsid w:val="00337BEC"/>
    <w:rsid w:val="00337EF5"/>
    <w:rsid w:val="003401F4"/>
    <w:rsid w:val="00340D5B"/>
    <w:rsid w:val="00342703"/>
    <w:rsid w:val="0034358F"/>
    <w:rsid w:val="003436E9"/>
    <w:rsid w:val="003445C8"/>
    <w:rsid w:val="00344EF4"/>
    <w:rsid w:val="00344FED"/>
    <w:rsid w:val="0034549B"/>
    <w:rsid w:val="0034561D"/>
    <w:rsid w:val="00345BE0"/>
    <w:rsid w:val="0034630E"/>
    <w:rsid w:val="00346859"/>
    <w:rsid w:val="00346B05"/>
    <w:rsid w:val="0034750D"/>
    <w:rsid w:val="0034786B"/>
    <w:rsid w:val="0035099B"/>
    <w:rsid w:val="00350B63"/>
    <w:rsid w:val="0035135D"/>
    <w:rsid w:val="003525CE"/>
    <w:rsid w:val="00352FD1"/>
    <w:rsid w:val="00353059"/>
    <w:rsid w:val="00354073"/>
    <w:rsid w:val="0035421E"/>
    <w:rsid w:val="00354A61"/>
    <w:rsid w:val="003555EB"/>
    <w:rsid w:val="0035602C"/>
    <w:rsid w:val="0035625F"/>
    <w:rsid w:val="0035692A"/>
    <w:rsid w:val="003574FF"/>
    <w:rsid w:val="0035799D"/>
    <w:rsid w:val="00360292"/>
    <w:rsid w:val="00360847"/>
    <w:rsid w:val="00360978"/>
    <w:rsid w:val="0036174C"/>
    <w:rsid w:val="00361AFE"/>
    <w:rsid w:val="00362096"/>
    <w:rsid w:val="00362269"/>
    <w:rsid w:val="00362418"/>
    <w:rsid w:val="00362E25"/>
    <w:rsid w:val="00363342"/>
    <w:rsid w:val="00363987"/>
    <w:rsid w:val="00363A7F"/>
    <w:rsid w:val="00363EE0"/>
    <w:rsid w:val="00364AA5"/>
    <w:rsid w:val="00364E50"/>
    <w:rsid w:val="00364F7C"/>
    <w:rsid w:val="00365197"/>
    <w:rsid w:val="003653DA"/>
    <w:rsid w:val="00365A2F"/>
    <w:rsid w:val="00365F7F"/>
    <w:rsid w:val="00367071"/>
    <w:rsid w:val="00367A76"/>
    <w:rsid w:val="003700EA"/>
    <w:rsid w:val="003704D4"/>
    <w:rsid w:val="003709BA"/>
    <w:rsid w:val="00370DC9"/>
    <w:rsid w:val="00370E3F"/>
    <w:rsid w:val="00371006"/>
    <w:rsid w:val="00371199"/>
    <w:rsid w:val="003712F9"/>
    <w:rsid w:val="00371357"/>
    <w:rsid w:val="00371FD2"/>
    <w:rsid w:val="00372051"/>
    <w:rsid w:val="003721FC"/>
    <w:rsid w:val="0037274C"/>
    <w:rsid w:val="00372C25"/>
    <w:rsid w:val="003731B9"/>
    <w:rsid w:val="0037326B"/>
    <w:rsid w:val="00373481"/>
    <w:rsid w:val="0037399C"/>
    <w:rsid w:val="00373D3A"/>
    <w:rsid w:val="00373D9C"/>
    <w:rsid w:val="0037498E"/>
    <w:rsid w:val="00374B6A"/>
    <w:rsid w:val="00374C6F"/>
    <w:rsid w:val="00374DDB"/>
    <w:rsid w:val="00375F0B"/>
    <w:rsid w:val="00375F47"/>
    <w:rsid w:val="00376546"/>
    <w:rsid w:val="003765D2"/>
    <w:rsid w:val="0037695E"/>
    <w:rsid w:val="00376A39"/>
    <w:rsid w:val="00376AE6"/>
    <w:rsid w:val="0037762B"/>
    <w:rsid w:val="00380934"/>
    <w:rsid w:val="00380D5D"/>
    <w:rsid w:val="00380E4B"/>
    <w:rsid w:val="00380E52"/>
    <w:rsid w:val="003815AB"/>
    <w:rsid w:val="00381BA6"/>
    <w:rsid w:val="00382238"/>
    <w:rsid w:val="00383270"/>
    <w:rsid w:val="003832C0"/>
    <w:rsid w:val="0038340F"/>
    <w:rsid w:val="00385398"/>
    <w:rsid w:val="003857C9"/>
    <w:rsid w:val="00386AEA"/>
    <w:rsid w:val="00386E18"/>
    <w:rsid w:val="00386F02"/>
    <w:rsid w:val="00387034"/>
    <w:rsid w:val="00387361"/>
    <w:rsid w:val="00390836"/>
    <w:rsid w:val="00390A45"/>
    <w:rsid w:val="00391A3E"/>
    <w:rsid w:val="00391EE5"/>
    <w:rsid w:val="003922C6"/>
    <w:rsid w:val="00392842"/>
    <w:rsid w:val="00392E0D"/>
    <w:rsid w:val="00392E4A"/>
    <w:rsid w:val="00393006"/>
    <w:rsid w:val="0039365E"/>
    <w:rsid w:val="00393C48"/>
    <w:rsid w:val="00394474"/>
    <w:rsid w:val="003945E7"/>
    <w:rsid w:val="0039460E"/>
    <w:rsid w:val="00394B0D"/>
    <w:rsid w:val="003957E1"/>
    <w:rsid w:val="00395A59"/>
    <w:rsid w:val="003963C4"/>
    <w:rsid w:val="003963EA"/>
    <w:rsid w:val="00396BE3"/>
    <w:rsid w:val="00396DDA"/>
    <w:rsid w:val="00396EA5"/>
    <w:rsid w:val="00397080"/>
    <w:rsid w:val="0039796A"/>
    <w:rsid w:val="003A0712"/>
    <w:rsid w:val="003A1288"/>
    <w:rsid w:val="003A1488"/>
    <w:rsid w:val="003A20A9"/>
    <w:rsid w:val="003A2C6B"/>
    <w:rsid w:val="003A32DC"/>
    <w:rsid w:val="003A37EE"/>
    <w:rsid w:val="003A3BB7"/>
    <w:rsid w:val="003A3C33"/>
    <w:rsid w:val="003A4199"/>
    <w:rsid w:val="003A498E"/>
    <w:rsid w:val="003A4F32"/>
    <w:rsid w:val="003A54AB"/>
    <w:rsid w:val="003A5C45"/>
    <w:rsid w:val="003A6B0E"/>
    <w:rsid w:val="003A6C2C"/>
    <w:rsid w:val="003A6CDF"/>
    <w:rsid w:val="003A7132"/>
    <w:rsid w:val="003A7C68"/>
    <w:rsid w:val="003A7D31"/>
    <w:rsid w:val="003A7FDD"/>
    <w:rsid w:val="003B0A5C"/>
    <w:rsid w:val="003B0F6E"/>
    <w:rsid w:val="003B130E"/>
    <w:rsid w:val="003B1314"/>
    <w:rsid w:val="003B23B6"/>
    <w:rsid w:val="003B2481"/>
    <w:rsid w:val="003B308D"/>
    <w:rsid w:val="003B389D"/>
    <w:rsid w:val="003B3DA5"/>
    <w:rsid w:val="003B4746"/>
    <w:rsid w:val="003B572C"/>
    <w:rsid w:val="003B5812"/>
    <w:rsid w:val="003B6DD5"/>
    <w:rsid w:val="003B76AE"/>
    <w:rsid w:val="003C004F"/>
    <w:rsid w:val="003C0743"/>
    <w:rsid w:val="003C0C43"/>
    <w:rsid w:val="003C1A80"/>
    <w:rsid w:val="003C1E76"/>
    <w:rsid w:val="003C212E"/>
    <w:rsid w:val="003C2AD3"/>
    <w:rsid w:val="003C3524"/>
    <w:rsid w:val="003C36BC"/>
    <w:rsid w:val="003C37B4"/>
    <w:rsid w:val="003C3843"/>
    <w:rsid w:val="003C38AE"/>
    <w:rsid w:val="003C48CF"/>
    <w:rsid w:val="003C57BC"/>
    <w:rsid w:val="003C5F0D"/>
    <w:rsid w:val="003C6150"/>
    <w:rsid w:val="003C6B4B"/>
    <w:rsid w:val="003C77E8"/>
    <w:rsid w:val="003C7C1D"/>
    <w:rsid w:val="003C7EA4"/>
    <w:rsid w:val="003D0121"/>
    <w:rsid w:val="003D04BF"/>
    <w:rsid w:val="003D1C5D"/>
    <w:rsid w:val="003D1FD0"/>
    <w:rsid w:val="003D3FA4"/>
    <w:rsid w:val="003D45D2"/>
    <w:rsid w:val="003D4E39"/>
    <w:rsid w:val="003D512E"/>
    <w:rsid w:val="003D51D1"/>
    <w:rsid w:val="003D5811"/>
    <w:rsid w:val="003D5E72"/>
    <w:rsid w:val="003D61C5"/>
    <w:rsid w:val="003D637D"/>
    <w:rsid w:val="003D6B95"/>
    <w:rsid w:val="003D6C24"/>
    <w:rsid w:val="003D6D3D"/>
    <w:rsid w:val="003D70EA"/>
    <w:rsid w:val="003D7891"/>
    <w:rsid w:val="003D79AC"/>
    <w:rsid w:val="003D7B26"/>
    <w:rsid w:val="003D7DD0"/>
    <w:rsid w:val="003D7FE5"/>
    <w:rsid w:val="003E0398"/>
    <w:rsid w:val="003E0C0B"/>
    <w:rsid w:val="003E1783"/>
    <w:rsid w:val="003E21C0"/>
    <w:rsid w:val="003E2295"/>
    <w:rsid w:val="003E2B08"/>
    <w:rsid w:val="003E327F"/>
    <w:rsid w:val="003E3B3E"/>
    <w:rsid w:val="003E401B"/>
    <w:rsid w:val="003E447C"/>
    <w:rsid w:val="003E46AB"/>
    <w:rsid w:val="003E5C91"/>
    <w:rsid w:val="003E5DAB"/>
    <w:rsid w:val="003E66BB"/>
    <w:rsid w:val="003F00DF"/>
    <w:rsid w:val="003F0189"/>
    <w:rsid w:val="003F0334"/>
    <w:rsid w:val="003F079D"/>
    <w:rsid w:val="003F0DF6"/>
    <w:rsid w:val="003F147D"/>
    <w:rsid w:val="003F1F38"/>
    <w:rsid w:val="003F233F"/>
    <w:rsid w:val="003F294C"/>
    <w:rsid w:val="003F30F8"/>
    <w:rsid w:val="003F380F"/>
    <w:rsid w:val="003F3920"/>
    <w:rsid w:val="003F42AB"/>
    <w:rsid w:val="003F48C8"/>
    <w:rsid w:val="003F4A7D"/>
    <w:rsid w:val="003F4BA8"/>
    <w:rsid w:val="003F4EA5"/>
    <w:rsid w:val="003F51A8"/>
    <w:rsid w:val="003F53BA"/>
    <w:rsid w:val="003F5844"/>
    <w:rsid w:val="003F5D02"/>
    <w:rsid w:val="003F62BA"/>
    <w:rsid w:val="003F7D88"/>
    <w:rsid w:val="00400D9C"/>
    <w:rsid w:val="00400FBB"/>
    <w:rsid w:val="004010B4"/>
    <w:rsid w:val="00401157"/>
    <w:rsid w:val="004013C1"/>
    <w:rsid w:val="0040159F"/>
    <w:rsid w:val="00401752"/>
    <w:rsid w:val="0040184E"/>
    <w:rsid w:val="00401A43"/>
    <w:rsid w:val="0040277C"/>
    <w:rsid w:val="00402BF5"/>
    <w:rsid w:val="0040358D"/>
    <w:rsid w:val="0040407F"/>
    <w:rsid w:val="00404310"/>
    <w:rsid w:val="00404CCB"/>
    <w:rsid w:val="00404E5C"/>
    <w:rsid w:val="00404FE3"/>
    <w:rsid w:val="00405D16"/>
    <w:rsid w:val="0040694B"/>
    <w:rsid w:val="00406B91"/>
    <w:rsid w:val="004077B6"/>
    <w:rsid w:val="00407820"/>
    <w:rsid w:val="00410266"/>
    <w:rsid w:val="00410D27"/>
    <w:rsid w:val="00411E25"/>
    <w:rsid w:val="004121C3"/>
    <w:rsid w:val="00412B42"/>
    <w:rsid w:val="00412D11"/>
    <w:rsid w:val="00412EF0"/>
    <w:rsid w:val="0041329D"/>
    <w:rsid w:val="00413503"/>
    <w:rsid w:val="00413C1B"/>
    <w:rsid w:val="0041416D"/>
    <w:rsid w:val="00414A07"/>
    <w:rsid w:val="00414EE3"/>
    <w:rsid w:val="00415654"/>
    <w:rsid w:val="00415B39"/>
    <w:rsid w:val="004162C8"/>
    <w:rsid w:val="00416675"/>
    <w:rsid w:val="004167DC"/>
    <w:rsid w:val="00416E22"/>
    <w:rsid w:val="00417C72"/>
    <w:rsid w:val="0042066E"/>
    <w:rsid w:val="00420ADA"/>
    <w:rsid w:val="004214E1"/>
    <w:rsid w:val="00422ABE"/>
    <w:rsid w:val="00422B48"/>
    <w:rsid w:val="0042354F"/>
    <w:rsid w:val="00423589"/>
    <w:rsid w:val="00425327"/>
    <w:rsid w:val="00425A3D"/>
    <w:rsid w:val="00425D9E"/>
    <w:rsid w:val="00426009"/>
    <w:rsid w:val="0042669F"/>
    <w:rsid w:val="004278F1"/>
    <w:rsid w:val="0042796D"/>
    <w:rsid w:val="00427C36"/>
    <w:rsid w:val="004302F7"/>
    <w:rsid w:val="00430B86"/>
    <w:rsid w:val="00430F67"/>
    <w:rsid w:val="004312A1"/>
    <w:rsid w:val="00431480"/>
    <w:rsid w:val="00431F28"/>
    <w:rsid w:val="004334FC"/>
    <w:rsid w:val="004337A1"/>
    <w:rsid w:val="004347AE"/>
    <w:rsid w:val="00434F33"/>
    <w:rsid w:val="00435216"/>
    <w:rsid w:val="00435746"/>
    <w:rsid w:val="00435902"/>
    <w:rsid w:val="00435CAB"/>
    <w:rsid w:val="0043644A"/>
    <w:rsid w:val="004368F9"/>
    <w:rsid w:val="0043749F"/>
    <w:rsid w:val="00440947"/>
    <w:rsid w:val="00440A47"/>
    <w:rsid w:val="00440ACE"/>
    <w:rsid w:val="004411D3"/>
    <w:rsid w:val="00441CE7"/>
    <w:rsid w:val="00441F85"/>
    <w:rsid w:val="00442758"/>
    <w:rsid w:val="00442759"/>
    <w:rsid w:val="004429C1"/>
    <w:rsid w:val="004429F0"/>
    <w:rsid w:val="00442E78"/>
    <w:rsid w:val="00442F30"/>
    <w:rsid w:val="00443FDC"/>
    <w:rsid w:val="004442FA"/>
    <w:rsid w:val="004448A4"/>
    <w:rsid w:val="00444E6E"/>
    <w:rsid w:val="00445083"/>
    <w:rsid w:val="004451A0"/>
    <w:rsid w:val="00445C35"/>
    <w:rsid w:val="0044632C"/>
    <w:rsid w:val="00447499"/>
    <w:rsid w:val="0045003C"/>
    <w:rsid w:val="004504AC"/>
    <w:rsid w:val="00450820"/>
    <w:rsid w:val="00450A8B"/>
    <w:rsid w:val="00452129"/>
    <w:rsid w:val="00452238"/>
    <w:rsid w:val="00452604"/>
    <w:rsid w:val="004526C5"/>
    <w:rsid w:val="00452A0D"/>
    <w:rsid w:val="004532E5"/>
    <w:rsid w:val="00453B8A"/>
    <w:rsid w:val="004546E9"/>
    <w:rsid w:val="004554E6"/>
    <w:rsid w:val="00455CF4"/>
    <w:rsid w:val="00455D27"/>
    <w:rsid w:val="004568B8"/>
    <w:rsid w:val="004610F1"/>
    <w:rsid w:val="00461156"/>
    <w:rsid w:val="00461AE2"/>
    <w:rsid w:val="00462625"/>
    <w:rsid w:val="00462C98"/>
    <w:rsid w:val="00462DE6"/>
    <w:rsid w:val="00463194"/>
    <w:rsid w:val="004632FC"/>
    <w:rsid w:val="004635C8"/>
    <w:rsid w:val="004636E5"/>
    <w:rsid w:val="0046458E"/>
    <w:rsid w:val="00464679"/>
    <w:rsid w:val="004653EE"/>
    <w:rsid w:val="004658F6"/>
    <w:rsid w:val="00466579"/>
    <w:rsid w:val="00466997"/>
    <w:rsid w:val="004671EA"/>
    <w:rsid w:val="004679B8"/>
    <w:rsid w:val="00470796"/>
    <w:rsid w:val="0047095E"/>
    <w:rsid w:val="00470E60"/>
    <w:rsid w:val="00471285"/>
    <w:rsid w:val="004712D1"/>
    <w:rsid w:val="00471547"/>
    <w:rsid w:val="00471674"/>
    <w:rsid w:val="00472856"/>
    <w:rsid w:val="00472BAE"/>
    <w:rsid w:val="00473198"/>
    <w:rsid w:val="00474425"/>
    <w:rsid w:val="0047470B"/>
    <w:rsid w:val="004750C7"/>
    <w:rsid w:val="00476797"/>
    <w:rsid w:val="00476D29"/>
    <w:rsid w:val="004778DF"/>
    <w:rsid w:val="00477AEE"/>
    <w:rsid w:val="00477C58"/>
    <w:rsid w:val="00477C91"/>
    <w:rsid w:val="00477E54"/>
    <w:rsid w:val="00480910"/>
    <w:rsid w:val="00480C5A"/>
    <w:rsid w:val="00481C86"/>
    <w:rsid w:val="004827F5"/>
    <w:rsid w:val="00482F60"/>
    <w:rsid w:val="00483197"/>
    <w:rsid w:val="004834BD"/>
    <w:rsid w:val="00483514"/>
    <w:rsid w:val="00484206"/>
    <w:rsid w:val="004855D3"/>
    <w:rsid w:val="0048607C"/>
    <w:rsid w:val="00486411"/>
    <w:rsid w:val="004869AC"/>
    <w:rsid w:val="00486A50"/>
    <w:rsid w:val="00486B06"/>
    <w:rsid w:val="00486CEE"/>
    <w:rsid w:val="00486E3C"/>
    <w:rsid w:val="00487D3D"/>
    <w:rsid w:val="0049091E"/>
    <w:rsid w:val="00490C78"/>
    <w:rsid w:val="00490D2E"/>
    <w:rsid w:val="00490FFB"/>
    <w:rsid w:val="004912FE"/>
    <w:rsid w:val="00491935"/>
    <w:rsid w:val="00491E61"/>
    <w:rsid w:val="00491F58"/>
    <w:rsid w:val="00492445"/>
    <w:rsid w:val="0049255B"/>
    <w:rsid w:val="00492842"/>
    <w:rsid w:val="00492B62"/>
    <w:rsid w:val="0049328C"/>
    <w:rsid w:val="00493B85"/>
    <w:rsid w:val="00493BF2"/>
    <w:rsid w:val="0049491C"/>
    <w:rsid w:val="00494B7D"/>
    <w:rsid w:val="00494F72"/>
    <w:rsid w:val="0049509F"/>
    <w:rsid w:val="0049582F"/>
    <w:rsid w:val="004958C3"/>
    <w:rsid w:val="00495EA9"/>
    <w:rsid w:val="00496D51"/>
    <w:rsid w:val="00497BB6"/>
    <w:rsid w:val="00497C8A"/>
    <w:rsid w:val="004A130B"/>
    <w:rsid w:val="004A190E"/>
    <w:rsid w:val="004A1B23"/>
    <w:rsid w:val="004A1C4C"/>
    <w:rsid w:val="004A1E05"/>
    <w:rsid w:val="004A24F8"/>
    <w:rsid w:val="004A27DC"/>
    <w:rsid w:val="004A2853"/>
    <w:rsid w:val="004A2892"/>
    <w:rsid w:val="004A2CC7"/>
    <w:rsid w:val="004A3E0D"/>
    <w:rsid w:val="004A3F3C"/>
    <w:rsid w:val="004A427D"/>
    <w:rsid w:val="004A497E"/>
    <w:rsid w:val="004A4B71"/>
    <w:rsid w:val="004A4DE6"/>
    <w:rsid w:val="004A51C2"/>
    <w:rsid w:val="004A5DD8"/>
    <w:rsid w:val="004A5E97"/>
    <w:rsid w:val="004A6035"/>
    <w:rsid w:val="004A72A3"/>
    <w:rsid w:val="004A7C53"/>
    <w:rsid w:val="004B0926"/>
    <w:rsid w:val="004B0A98"/>
    <w:rsid w:val="004B0FD1"/>
    <w:rsid w:val="004B1619"/>
    <w:rsid w:val="004B24F8"/>
    <w:rsid w:val="004B44FD"/>
    <w:rsid w:val="004B4EE6"/>
    <w:rsid w:val="004B5143"/>
    <w:rsid w:val="004B5340"/>
    <w:rsid w:val="004B67B0"/>
    <w:rsid w:val="004B699F"/>
    <w:rsid w:val="004B6E0E"/>
    <w:rsid w:val="004B727E"/>
    <w:rsid w:val="004B7AEB"/>
    <w:rsid w:val="004C048E"/>
    <w:rsid w:val="004C0C1F"/>
    <w:rsid w:val="004C0E1C"/>
    <w:rsid w:val="004C1241"/>
    <w:rsid w:val="004C1EA1"/>
    <w:rsid w:val="004C34C0"/>
    <w:rsid w:val="004C38DC"/>
    <w:rsid w:val="004C3D5C"/>
    <w:rsid w:val="004C4064"/>
    <w:rsid w:val="004C44C8"/>
    <w:rsid w:val="004C4DC5"/>
    <w:rsid w:val="004C4FBC"/>
    <w:rsid w:val="004C5698"/>
    <w:rsid w:val="004C57FF"/>
    <w:rsid w:val="004C5BEC"/>
    <w:rsid w:val="004C6D83"/>
    <w:rsid w:val="004C6FD2"/>
    <w:rsid w:val="004C78F5"/>
    <w:rsid w:val="004C7D9D"/>
    <w:rsid w:val="004D0976"/>
    <w:rsid w:val="004D0D37"/>
    <w:rsid w:val="004D1258"/>
    <w:rsid w:val="004D1BB1"/>
    <w:rsid w:val="004D2FA5"/>
    <w:rsid w:val="004D328F"/>
    <w:rsid w:val="004D3545"/>
    <w:rsid w:val="004D42F8"/>
    <w:rsid w:val="004D4729"/>
    <w:rsid w:val="004D4F36"/>
    <w:rsid w:val="004D5037"/>
    <w:rsid w:val="004D5E63"/>
    <w:rsid w:val="004D667E"/>
    <w:rsid w:val="004D677F"/>
    <w:rsid w:val="004D7224"/>
    <w:rsid w:val="004D7E84"/>
    <w:rsid w:val="004E0040"/>
    <w:rsid w:val="004E0E57"/>
    <w:rsid w:val="004E172D"/>
    <w:rsid w:val="004E18C3"/>
    <w:rsid w:val="004E1B6F"/>
    <w:rsid w:val="004E1FCB"/>
    <w:rsid w:val="004E2014"/>
    <w:rsid w:val="004E2066"/>
    <w:rsid w:val="004E20FB"/>
    <w:rsid w:val="004E2232"/>
    <w:rsid w:val="004E22C5"/>
    <w:rsid w:val="004E2BE6"/>
    <w:rsid w:val="004E2DF3"/>
    <w:rsid w:val="004E2FE4"/>
    <w:rsid w:val="004E3143"/>
    <w:rsid w:val="004E31FB"/>
    <w:rsid w:val="004E33BF"/>
    <w:rsid w:val="004E41A6"/>
    <w:rsid w:val="004E4828"/>
    <w:rsid w:val="004E4B07"/>
    <w:rsid w:val="004E5A4E"/>
    <w:rsid w:val="004E5BFA"/>
    <w:rsid w:val="004E6042"/>
    <w:rsid w:val="004E60F2"/>
    <w:rsid w:val="004E6464"/>
    <w:rsid w:val="004E650E"/>
    <w:rsid w:val="004F0C11"/>
    <w:rsid w:val="004F0C55"/>
    <w:rsid w:val="004F1569"/>
    <w:rsid w:val="004F1C81"/>
    <w:rsid w:val="004F3046"/>
    <w:rsid w:val="004F3166"/>
    <w:rsid w:val="004F3AC9"/>
    <w:rsid w:val="004F419A"/>
    <w:rsid w:val="004F4BE7"/>
    <w:rsid w:val="004F4CD6"/>
    <w:rsid w:val="004F5066"/>
    <w:rsid w:val="004F576A"/>
    <w:rsid w:val="004F5C50"/>
    <w:rsid w:val="004F6000"/>
    <w:rsid w:val="004F609D"/>
    <w:rsid w:val="004F67D5"/>
    <w:rsid w:val="004F685B"/>
    <w:rsid w:val="004F685D"/>
    <w:rsid w:val="004F6CCC"/>
    <w:rsid w:val="004F6E05"/>
    <w:rsid w:val="0050052F"/>
    <w:rsid w:val="00501056"/>
    <w:rsid w:val="00501391"/>
    <w:rsid w:val="00501E73"/>
    <w:rsid w:val="00502159"/>
    <w:rsid w:val="00502EBF"/>
    <w:rsid w:val="00504412"/>
    <w:rsid w:val="0050445E"/>
    <w:rsid w:val="00504600"/>
    <w:rsid w:val="00504622"/>
    <w:rsid w:val="0050721C"/>
    <w:rsid w:val="005072ED"/>
    <w:rsid w:val="00507BB2"/>
    <w:rsid w:val="005103A5"/>
    <w:rsid w:val="00510563"/>
    <w:rsid w:val="00510BB8"/>
    <w:rsid w:val="00510BBE"/>
    <w:rsid w:val="00511FE1"/>
    <w:rsid w:val="005125BD"/>
    <w:rsid w:val="00512C1A"/>
    <w:rsid w:val="00513261"/>
    <w:rsid w:val="00513A63"/>
    <w:rsid w:val="005155B0"/>
    <w:rsid w:val="005157B8"/>
    <w:rsid w:val="00515F19"/>
    <w:rsid w:val="00517338"/>
    <w:rsid w:val="00517E86"/>
    <w:rsid w:val="00521D37"/>
    <w:rsid w:val="00522512"/>
    <w:rsid w:val="00523306"/>
    <w:rsid w:val="005238BD"/>
    <w:rsid w:val="00523D60"/>
    <w:rsid w:val="00523E56"/>
    <w:rsid w:val="005245A0"/>
    <w:rsid w:val="0052466F"/>
    <w:rsid w:val="00524A05"/>
    <w:rsid w:val="0052538B"/>
    <w:rsid w:val="00525839"/>
    <w:rsid w:val="00525BC4"/>
    <w:rsid w:val="00525EDE"/>
    <w:rsid w:val="005274A0"/>
    <w:rsid w:val="00527A47"/>
    <w:rsid w:val="00527D16"/>
    <w:rsid w:val="005301B5"/>
    <w:rsid w:val="005303C3"/>
    <w:rsid w:val="00530C54"/>
    <w:rsid w:val="00530C81"/>
    <w:rsid w:val="00530D3B"/>
    <w:rsid w:val="00531CFC"/>
    <w:rsid w:val="00531FC0"/>
    <w:rsid w:val="005326AA"/>
    <w:rsid w:val="00532A4F"/>
    <w:rsid w:val="0053338A"/>
    <w:rsid w:val="005336CD"/>
    <w:rsid w:val="005338D7"/>
    <w:rsid w:val="00533C9A"/>
    <w:rsid w:val="0053413A"/>
    <w:rsid w:val="005347BE"/>
    <w:rsid w:val="0053550C"/>
    <w:rsid w:val="00535A0F"/>
    <w:rsid w:val="00535DC2"/>
    <w:rsid w:val="00536AAD"/>
    <w:rsid w:val="005376E2"/>
    <w:rsid w:val="005379D7"/>
    <w:rsid w:val="00537CC2"/>
    <w:rsid w:val="005405AA"/>
    <w:rsid w:val="00541839"/>
    <w:rsid w:val="005418E9"/>
    <w:rsid w:val="00542403"/>
    <w:rsid w:val="005424BE"/>
    <w:rsid w:val="00542622"/>
    <w:rsid w:val="00542968"/>
    <w:rsid w:val="005429EA"/>
    <w:rsid w:val="00542B80"/>
    <w:rsid w:val="00542D59"/>
    <w:rsid w:val="0054325B"/>
    <w:rsid w:val="005436A8"/>
    <w:rsid w:val="005437F4"/>
    <w:rsid w:val="00544986"/>
    <w:rsid w:val="00544CBC"/>
    <w:rsid w:val="00545898"/>
    <w:rsid w:val="005462B9"/>
    <w:rsid w:val="0054716D"/>
    <w:rsid w:val="00547707"/>
    <w:rsid w:val="005479A2"/>
    <w:rsid w:val="00547FC5"/>
    <w:rsid w:val="0055025F"/>
    <w:rsid w:val="00550BF0"/>
    <w:rsid w:val="00550E45"/>
    <w:rsid w:val="00552A29"/>
    <w:rsid w:val="00552F96"/>
    <w:rsid w:val="00553376"/>
    <w:rsid w:val="005536F7"/>
    <w:rsid w:val="00553B2B"/>
    <w:rsid w:val="00553CCC"/>
    <w:rsid w:val="00554216"/>
    <w:rsid w:val="0055437A"/>
    <w:rsid w:val="00554DCA"/>
    <w:rsid w:val="00555058"/>
    <w:rsid w:val="005553FB"/>
    <w:rsid w:val="00555EA1"/>
    <w:rsid w:val="005561BC"/>
    <w:rsid w:val="00556AEA"/>
    <w:rsid w:val="00556D74"/>
    <w:rsid w:val="00556DD2"/>
    <w:rsid w:val="00556DE7"/>
    <w:rsid w:val="005574C0"/>
    <w:rsid w:val="005600C0"/>
    <w:rsid w:val="00560F78"/>
    <w:rsid w:val="00561184"/>
    <w:rsid w:val="0056257F"/>
    <w:rsid w:val="005627D8"/>
    <w:rsid w:val="005636E2"/>
    <w:rsid w:val="005651C3"/>
    <w:rsid w:val="005654BF"/>
    <w:rsid w:val="00566BB7"/>
    <w:rsid w:val="00567547"/>
    <w:rsid w:val="00570B81"/>
    <w:rsid w:val="005711CB"/>
    <w:rsid w:val="0057205E"/>
    <w:rsid w:val="005727FF"/>
    <w:rsid w:val="00572B2B"/>
    <w:rsid w:val="00572CA2"/>
    <w:rsid w:val="005732D0"/>
    <w:rsid w:val="00573347"/>
    <w:rsid w:val="0057335D"/>
    <w:rsid w:val="0057383B"/>
    <w:rsid w:val="00573A13"/>
    <w:rsid w:val="00573E25"/>
    <w:rsid w:val="005745EB"/>
    <w:rsid w:val="005756CE"/>
    <w:rsid w:val="0057574C"/>
    <w:rsid w:val="00575949"/>
    <w:rsid w:val="005768F7"/>
    <w:rsid w:val="00577898"/>
    <w:rsid w:val="00580488"/>
    <w:rsid w:val="00580775"/>
    <w:rsid w:val="005807D4"/>
    <w:rsid w:val="005809C5"/>
    <w:rsid w:val="00580B82"/>
    <w:rsid w:val="00581274"/>
    <w:rsid w:val="00581561"/>
    <w:rsid w:val="005818EF"/>
    <w:rsid w:val="00581D15"/>
    <w:rsid w:val="00581F01"/>
    <w:rsid w:val="0058225F"/>
    <w:rsid w:val="00583C7C"/>
    <w:rsid w:val="00584C23"/>
    <w:rsid w:val="00585D36"/>
    <w:rsid w:val="005863C1"/>
    <w:rsid w:val="0058727B"/>
    <w:rsid w:val="00587A77"/>
    <w:rsid w:val="00587D0F"/>
    <w:rsid w:val="00590056"/>
    <w:rsid w:val="00590236"/>
    <w:rsid w:val="00590B46"/>
    <w:rsid w:val="005911FA"/>
    <w:rsid w:val="00591D9B"/>
    <w:rsid w:val="00591DC9"/>
    <w:rsid w:val="005929BF"/>
    <w:rsid w:val="00592D00"/>
    <w:rsid w:val="0059352E"/>
    <w:rsid w:val="00593838"/>
    <w:rsid w:val="00593839"/>
    <w:rsid w:val="005942EB"/>
    <w:rsid w:val="00594438"/>
    <w:rsid w:val="00594460"/>
    <w:rsid w:val="0059495C"/>
    <w:rsid w:val="00594D88"/>
    <w:rsid w:val="00594F34"/>
    <w:rsid w:val="00595E7E"/>
    <w:rsid w:val="00596B8D"/>
    <w:rsid w:val="00596EED"/>
    <w:rsid w:val="0059724B"/>
    <w:rsid w:val="00597920"/>
    <w:rsid w:val="005A010F"/>
    <w:rsid w:val="005A0723"/>
    <w:rsid w:val="005A0730"/>
    <w:rsid w:val="005A179F"/>
    <w:rsid w:val="005A1AE4"/>
    <w:rsid w:val="005A2018"/>
    <w:rsid w:val="005A3038"/>
    <w:rsid w:val="005A337A"/>
    <w:rsid w:val="005A415A"/>
    <w:rsid w:val="005A4238"/>
    <w:rsid w:val="005A4688"/>
    <w:rsid w:val="005A4DE4"/>
    <w:rsid w:val="005A5552"/>
    <w:rsid w:val="005A7D86"/>
    <w:rsid w:val="005A7E2D"/>
    <w:rsid w:val="005B0291"/>
    <w:rsid w:val="005B07D8"/>
    <w:rsid w:val="005B0C48"/>
    <w:rsid w:val="005B1169"/>
    <w:rsid w:val="005B121F"/>
    <w:rsid w:val="005B2102"/>
    <w:rsid w:val="005B3315"/>
    <w:rsid w:val="005B369E"/>
    <w:rsid w:val="005B375E"/>
    <w:rsid w:val="005B4565"/>
    <w:rsid w:val="005B49D5"/>
    <w:rsid w:val="005B52E1"/>
    <w:rsid w:val="005B5843"/>
    <w:rsid w:val="005B60A6"/>
    <w:rsid w:val="005B6127"/>
    <w:rsid w:val="005B664A"/>
    <w:rsid w:val="005B7185"/>
    <w:rsid w:val="005B7642"/>
    <w:rsid w:val="005C0A97"/>
    <w:rsid w:val="005C0EFD"/>
    <w:rsid w:val="005C1A55"/>
    <w:rsid w:val="005C28D8"/>
    <w:rsid w:val="005C30D2"/>
    <w:rsid w:val="005C381C"/>
    <w:rsid w:val="005C3978"/>
    <w:rsid w:val="005C3E84"/>
    <w:rsid w:val="005C41FD"/>
    <w:rsid w:val="005C4BBE"/>
    <w:rsid w:val="005C5216"/>
    <w:rsid w:val="005C5E94"/>
    <w:rsid w:val="005C5FE6"/>
    <w:rsid w:val="005C627E"/>
    <w:rsid w:val="005C6B0A"/>
    <w:rsid w:val="005C74E5"/>
    <w:rsid w:val="005C76E6"/>
    <w:rsid w:val="005C7737"/>
    <w:rsid w:val="005C78AA"/>
    <w:rsid w:val="005C79EE"/>
    <w:rsid w:val="005C7C8B"/>
    <w:rsid w:val="005D0621"/>
    <w:rsid w:val="005D08D4"/>
    <w:rsid w:val="005D1B61"/>
    <w:rsid w:val="005D1E16"/>
    <w:rsid w:val="005D1F8E"/>
    <w:rsid w:val="005D26EA"/>
    <w:rsid w:val="005D5455"/>
    <w:rsid w:val="005D5654"/>
    <w:rsid w:val="005D56E8"/>
    <w:rsid w:val="005D5FB4"/>
    <w:rsid w:val="005D60E2"/>
    <w:rsid w:val="005D70CE"/>
    <w:rsid w:val="005D7778"/>
    <w:rsid w:val="005D797C"/>
    <w:rsid w:val="005E0067"/>
    <w:rsid w:val="005E02DF"/>
    <w:rsid w:val="005E1C58"/>
    <w:rsid w:val="005E28C7"/>
    <w:rsid w:val="005E2AA3"/>
    <w:rsid w:val="005E2EFF"/>
    <w:rsid w:val="005E34B2"/>
    <w:rsid w:val="005E36E3"/>
    <w:rsid w:val="005E441C"/>
    <w:rsid w:val="005E5D44"/>
    <w:rsid w:val="005E60E8"/>
    <w:rsid w:val="005E7734"/>
    <w:rsid w:val="005E7D55"/>
    <w:rsid w:val="005E7E13"/>
    <w:rsid w:val="005E7F08"/>
    <w:rsid w:val="005F020E"/>
    <w:rsid w:val="005F05F1"/>
    <w:rsid w:val="005F070E"/>
    <w:rsid w:val="005F181A"/>
    <w:rsid w:val="005F1890"/>
    <w:rsid w:val="005F245D"/>
    <w:rsid w:val="005F2D62"/>
    <w:rsid w:val="005F33AB"/>
    <w:rsid w:val="005F378C"/>
    <w:rsid w:val="005F3CE6"/>
    <w:rsid w:val="005F3D5B"/>
    <w:rsid w:val="005F4520"/>
    <w:rsid w:val="005F5735"/>
    <w:rsid w:val="005F6448"/>
    <w:rsid w:val="005F645D"/>
    <w:rsid w:val="005F769A"/>
    <w:rsid w:val="005F78C1"/>
    <w:rsid w:val="005F7BC8"/>
    <w:rsid w:val="005F7D04"/>
    <w:rsid w:val="006000C5"/>
    <w:rsid w:val="00600B17"/>
    <w:rsid w:val="00600E6B"/>
    <w:rsid w:val="00601188"/>
    <w:rsid w:val="00601BBA"/>
    <w:rsid w:val="00601C9F"/>
    <w:rsid w:val="00602D8C"/>
    <w:rsid w:val="006030BC"/>
    <w:rsid w:val="0060316F"/>
    <w:rsid w:val="00604781"/>
    <w:rsid w:val="006047C3"/>
    <w:rsid w:val="00604BE8"/>
    <w:rsid w:val="00604E5B"/>
    <w:rsid w:val="006057EC"/>
    <w:rsid w:val="00605E25"/>
    <w:rsid w:val="00607CD7"/>
    <w:rsid w:val="00607CD8"/>
    <w:rsid w:val="00610EF2"/>
    <w:rsid w:val="006118E0"/>
    <w:rsid w:val="0061320C"/>
    <w:rsid w:val="00613FB8"/>
    <w:rsid w:val="0061401B"/>
    <w:rsid w:val="00614B46"/>
    <w:rsid w:val="0061594C"/>
    <w:rsid w:val="00615B38"/>
    <w:rsid w:val="00616028"/>
    <w:rsid w:val="00616392"/>
    <w:rsid w:val="00616DA2"/>
    <w:rsid w:val="00617012"/>
    <w:rsid w:val="0061714D"/>
    <w:rsid w:val="006202A8"/>
    <w:rsid w:val="006203D2"/>
    <w:rsid w:val="00620AB4"/>
    <w:rsid w:val="006213AC"/>
    <w:rsid w:val="00621CB2"/>
    <w:rsid w:val="0062257E"/>
    <w:rsid w:val="00622932"/>
    <w:rsid w:val="00623CD1"/>
    <w:rsid w:val="00623F8A"/>
    <w:rsid w:val="0062409D"/>
    <w:rsid w:val="00624170"/>
    <w:rsid w:val="00624744"/>
    <w:rsid w:val="00624A4E"/>
    <w:rsid w:val="00624F95"/>
    <w:rsid w:val="006255C2"/>
    <w:rsid w:val="00625AEC"/>
    <w:rsid w:val="0062602D"/>
    <w:rsid w:val="006262B4"/>
    <w:rsid w:val="0062647C"/>
    <w:rsid w:val="00627166"/>
    <w:rsid w:val="00627709"/>
    <w:rsid w:val="00630158"/>
    <w:rsid w:val="00630B31"/>
    <w:rsid w:val="00630E52"/>
    <w:rsid w:val="00631041"/>
    <w:rsid w:val="006310BB"/>
    <w:rsid w:val="00631B26"/>
    <w:rsid w:val="00632943"/>
    <w:rsid w:val="00633651"/>
    <w:rsid w:val="006339BE"/>
    <w:rsid w:val="00633BCB"/>
    <w:rsid w:val="00634125"/>
    <w:rsid w:val="00634D82"/>
    <w:rsid w:val="0063504B"/>
    <w:rsid w:val="00635647"/>
    <w:rsid w:val="00635CBA"/>
    <w:rsid w:val="00636830"/>
    <w:rsid w:val="006369C7"/>
    <w:rsid w:val="006369F9"/>
    <w:rsid w:val="00636BBD"/>
    <w:rsid w:val="00636D9C"/>
    <w:rsid w:val="006371A7"/>
    <w:rsid w:val="00637543"/>
    <w:rsid w:val="00637915"/>
    <w:rsid w:val="00637927"/>
    <w:rsid w:val="00637FCA"/>
    <w:rsid w:val="0064120A"/>
    <w:rsid w:val="00641C6E"/>
    <w:rsid w:val="006427AF"/>
    <w:rsid w:val="00642844"/>
    <w:rsid w:val="00642A9C"/>
    <w:rsid w:val="00642CB5"/>
    <w:rsid w:val="0064362E"/>
    <w:rsid w:val="006446F3"/>
    <w:rsid w:val="00644AFB"/>
    <w:rsid w:val="00644C21"/>
    <w:rsid w:val="006452BF"/>
    <w:rsid w:val="006465F6"/>
    <w:rsid w:val="00646B21"/>
    <w:rsid w:val="00647177"/>
    <w:rsid w:val="0065042C"/>
    <w:rsid w:val="00650471"/>
    <w:rsid w:val="006506D5"/>
    <w:rsid w:val="00651595"/>
    <w:rsid w:val="006521A4"/>
    <w:rsid w:val="006521E2"/>
    <w:rsid w:val="0065249D"/>
    <w:rsid w:val="0065272F"/>
    <w:rsid w:val="00653352"/>
    <w:rsid w:val="006533C2"/>
    <w:rsid w:val="006535E9"/>
    <w:rsid w:val="0065386C"/>
    <w:rsid w:val="00653D73"/>
    <w:rsid w:val="00654512"/>
    <w:rsid w:val="00654999"/>
    <w:rsid w:val="00655072"/>
    <w:rsid w:val="00655109"/>
    <w:rsid w:val="006553EA"/>
    <w:rsid w:val="00655622"/>
    <w:rsid w:val="0065577D"/>
    <w:rsid w:val="00655783"/>
    <w:rsid w:val="006573B7"/>
    <w:rsid w:val="006574B8"/>
    <w:rsid w:val="006609BC"/>
    <w:rsid w:val="00660D77"/>
    <w:rsid w:val="00660F20"/>
    <w:rsid w:val="00661214"/>
    <w:rsid w:val="006616F3"/>
    <w:rsid w:val="00661DE1"/>
    <w:rsid w:val="00662712"/>
    <w:rsid w:val="006627CF"/>
    <w:rsid w:val="00663AF3"/>
    <w:rsid w:val="00664237"/>
    <w:rsid w:val="00664820"/>
    <w:rsid w:val="00664AAD"/>
    <w:rsid w:val="0066545D"/>
    <w:rsid w:val="006654CC"/>
    <w:rsid w:val="0066561F"/>
    <w:rsid w:val="006657A4"/>
    <w:rsid w:val="00665C10"/>
    <w:rsid w:val="00665C36"/>
    <w:rsid w:val="00665DCB"/>
    <w:rsid w:val="00665F2C"/>
    <w:rsid w:val="006666E2"/>
    <w:rsid w:val="0066687F"/>
    <w:rsid w:val="00666B13"/>
    <w:rsid w:val="00666E4C"/>
    <w:rsid w:val="006706CD"/>
    <w:rsid w:val="0067092F"/>
    <w:rsid w:val="0067106F"/>
    <w:rsid w:val="00672385"/>
    <w:rsid w:val="00672642"/>
    <w:rsid w:val="006727CE"/>
    <w:rsid w:val="00672F7F"/>
    <w:rsid w:val="0067325B"/>
    <w:rsid w:val="006741E9"/>
    <w:rsid w:val="00674481"/>
    <w:rsid w:val="00674714"/>
    <w:rsid w:val="00675068"/>
    <w:rsid w:val="00675587"/>
    <w:rsid w:val="006759A5"/>
    <w:rsid w:val="00675B1F"/>
    <w:rsid w:val="00676982"/>
    <w:rsid w:val="006771B6"/>
    <w:rsid w:val="0067725B"/>
    <w:rsid w:val="00677345"/>
    <w:rsid w:val="006776A3"/>
    <w:rsid w:val="006778CB"/>
    <w:rsid w:val="006779AA"/>
    <w:rsid w:val="00680F08"/>
    <w:rsid w:val="0068107C"/>
    <w:rsid w:val="006811BF"/>
    <w:rsid w:val="00681816"/>
    <w:rsid w:val="00682411"/>
    <w:rsid w:val="00682689"/>
    <w:rsid w:val="00683193"/>
    <w:rsid w:val="006831DF"/>
    <w:rsid w:val="00683D5F"/>
    <w:rsid w:val="00683F5C"/>
    <w:rsid w:val="006841E3"/>
    <w:rsid w:val="006844B4"/>
    <w:rsid w:val="00684A67"/>
    <w:rsid w:val="00686246"/>
    <w:rsid w:val="0068669C"/>
    <w:rsid w:val="006868D7"/>
    <w:rsid w:val="00687389"/>
    <w:rsid w:val="0068752F"/>
    <w:rsid w:val="00690B42"/>
    <w:rsid w:val="00690D07"/>
    <w:rsid w:val="00691196"/>
    <w:rsid w:val="006912B7"/>
    <w:rsid w:val="00691373"/>
    <w:rsid w:val="00691A7C"/>
    <w:rsid w:val="00691C51"/>
    <w:rsid w:val="006923E2"/>
    <w:rsid w:val="00692DC9"/>
    <w:rsid w:val="00693A1F"/>
    <w:rsid w:val="00693B32"/>
    <w:rsid w:val="00693C70"/>
    <w:rsid w:val="00693D96"/>
    <w:rsid w:val="00694149"/>
    <w:rsid w:val="006947F8"/>
    <w:rsid w:val="006949C0"/>
    <w:rsid w:val="0069569D"/>
    <w:rsid w:val="006958CD"/>
    <w:rsid w:val="00695A8D"/>
    <w:rsid w:val="00695B44"/>
    <w:rsid w:val="00695BC2"/>
    <w:rsid w:val="00695CD3"/>
    <w:rsid w:val="0069670E"/>
    <w:rsid w:val="006973DF"/>
    <w:rsid w:val="00697658"/>
    <w:rsid w:val="0069773E"/>
    <w:rsid w:val="00697A2E"/>
    <w:rsid w:val="006A03C2"/>
    <w:rsid w:val="006A051B"/>
    <w:rsid w:val="006A0676"/>
    <w:rsid w:val="006A06A7"/>
    <w:rsid w:val="006A18E6"/>
    <w:rsid w:val="006A21B0"/>
    <w:rsid w:val="006A2436"/>
    <w:rsid w:val="006A2578"/>
    <w:rsid w:val="006A4027"/>
    <w:rsid w:val="006A4C89"/>
    <w:rsid w:val="006A4D57"/>
    <w:rsid w:val="006A4FE1"/>
    <w:rsid w:val="006A53B1"/>
    <w:rsid w:val="006A58D5"/>
    <w:rsid w:val="006A6683"/>
    <w:rsid w:val="006A73FE"/>
    <w:rsid w:val="006A778F"/>
    <w:rsid w:val="006A7BAF"/>
    <w:rsid w:val="006A7D05"/>
    <w:rsid w:val="006B0C44"/>
    <w:rsid w:val="006B18E1"/>
    <w:rsid w:val="006B1990"/>
    <w:rsid w:val="006B1CF2"/>
    <w:rsid w:val="006B2355"/>
    <w:rsid w:val="006B2C7A"/>
    <w:rsid w:val="006B2FA0"/>
    <w:rsid w:val="006B341A"/>
    <w:rsid w:val="006B35C1"/>
    <w:rsid w:val="006B3CA1"/>
    <w:rsid w:val="006B422D"/>
    <w:rsid w:val="006B5C8D"/>
    <w:rsid w:val="006B60DD"/>
    <w:rsid w:val="006B6CD7"/>
    <w:rsid w:val="006B7D0F"/>
    <w:rsid w:val="006C00D8"/>
    <w:rsid w:val="006C012E"/>
    <w:rsid w:val="006C0319"/>
    <w:rsid w:val="006C115E"/>
    <w:rsid w:val="006C1752"/>
    <w:rsid w:val="006C1FEA"/>
    <w:rsid w:val="006C2A83"/>
    <w:rsid w:val="006C2ACC"/>
    <w:rsid w:val="006C3054"/>
    <w:rsid w:val="006C30D3"/>
    <w:rsid w:val="006C3959"/>
    <w:rsid w:val="006C5078"/>
    <w:rsid w:val="006C530D"/>
    <w:rsid w:val="006C610D"/>
    <w:rsid w:val="006C6665"/>
    <w:rsid w:val="006C6F1C"/>
    <w:rsid w:val="006C6F97"/>
    <w:rsid w:val="006C71A5"/>
    <w:rsid w:val="006C7FEF"/>
    <w:rsid w:val="006D032F"/>
    <w:rsid w:val="006D1276"/>
    <w:rsid w:val="006D15DF"/>
    <w:rsid w:val="006D26DF"/>
    <w:rsid w:val="006D35C0"/>
    <w:rsid w:val="006D39C7"/>
    <w:rsid w:val="006D44D8"/>
    <w:rsid w:val="006D50C4"/>
    <w:rsid w:val="006D57B9"/>
    <w:rsid w:val="006D5AB2"/>
    <w:rsid w:val="006D66C6"/>
    <w:rsid w:val="006D6986"/>
    <w:rsid w:val="006D6B61"/>
    <w:rsid w:val="006D707F"/>
    <w:rsid w:val="006E0418"/>
    <w:rsid w:val="006E13E9"/>
    <w:rsid w:val="006E146A"/>
    <w:rsid w:val="006E18C0"/>
    <w:rsid w:val="006E19D7"/>
    <w:rsid w:val="006E25A4"/>
    <w:rsid w:val="006E41F7"/>
    <w:rsid w:val="006E4458"/>
    <w:rsid w:val="006E4A29"/>
    <w:rsid w:val="006E5FF2"/>
    <w:rsid w:val="006E6C1B"/>
    <w:rsid w:val="006E7017"/>
    <w:rsid w:val="006E7330"/>
    <w:rsid w:val="006E7655"/>
    <w:rsid w:val="006E7716"/>
    <w:rsid w:val="006F0DD6"/>
    <w:rsid w:val="006F140C"/>
    <w:rsid w:val="006F1451"/>
    <w:rsid w:val="006F1669"/>
    <w:rsid w:val="006F17DE"/>
    <w:rsid w:val="006F20E7"/>
    <w:rsid w:val="006F2AC4"/>
    <w:rsid w:val="006F2EF2"/>
    <w:rsid w:val="006F34D0"/>
    <w:rsid w:val="006F36D9"/>
    <w:rsid w:val="006F396E"/>
    <w:rsid w:val="006F4162"/>
    <w:rsid w:val="006F5A2A"/>
    <w:rsid w:val="006F66FA"/>
    <w:rsid w:val="006F7CD9"/>
    <w:rsid w:val="007005A6"/>
    <w:rsid w:val="00700961"/>
    <w:rsid w:val="007011C3"/>
    <w:rsid w:val="007012BD"/>
    <w:rsid w:val="007015F1"/>
    <w:rsid w:val="00702905"/>
    <w:rsid w:val="00702923"/>
    <w:rsid w:val="00703176"/>
    <w:rsid w:val="0070326D"/>
    <w:rsid w:val="00703889"/>
    <w:rsid w:val="007039DB"/>
    <w:rsid w:val="007044A0"/>
    <w:rsid w:val="00705130"/>
    <w:rsid w:val="007056FA"/>
    <w:rsid w:val="007070F4"/>
    <w:rsid w:val="007071E9"/>
    <w:rsid w:val="007076F1"/>
    <w:rsid w:val="00710318"/>
    <w:rsid w:val="00710449"/>
    <w:rsid w:val="00710E42"/>
    <w:rsid w:val="00711062"/>
    <w:rsid w:val="00711454"/>
    <w:rsid w:val="0071179D"/>
    <w:rsid w:val="00711815"/>
    <w:rsid w:val="007125C4"/>
    <w:rsid w:val="00712792"/>
    <w:rsid w:val="00712C66"/>
    <w:rsid w:val="00713664"/>
    <w:rsid w:val="0071376E"/>
    <w:rsid w:val="007137CE"/>
    <w:rsid w:val="007137F3"/>
    <w:rsid w:val="00713FCF"/>
    <w:rsid w:val="00714325"/>
    <w:rsid w:val="00714C8B"/>
    <w:rsid w:val="00716477"/>
    <w:rsid w:val="00716DE3"/>
    <w:rsid w:val="00717393"/>
    <w:rsid w:val="00717562"/>
    <w:rsid w:val="007176FA"/>
    <w:rsid w:val="00717E6B"/>
    <w:rsid w:val="00717ED1"/>
    <w:rsid w:val="00721064"/>
    <w:rsid w:val="00721340"/>
    <w:rsid w:val="0072205B"/>
    <w:rsid w:val="0072205C"/>
    <w:rsid w:val="00722F1E"/>
    <w:rsid w:val="007230CA"/>
    <w:rsid w:val="00723F10"/>
    <w:rsid w:val="00724A07"/>
    <w:rsid w:val="00724CFA"/>
    <w:rsid w:val="00724D9A"/>
    <w:rsid w:val="0072538E"/>
    <w:rsid w:val="00725E4E"/>
    <w:rsid w:val="00725E5E"/>
    <w:rsid w:val="007266BD"/>
    <w:rsid w:val="007266EA"/>
    <w:rsid w:val="00726870"/>
    <w:rsid w:val="007300E4"/>
    <w:rsid w:val="00730710"/>
    <w:rsid w:val="007312F2"/>
    <w:rsid w:val="00731332"/>
    <w:rsid w:val="007314AB"/>
    <w:rsid w:val="00732042"/>
    <w:rsid w:val="0073279E"/>
    <w:rsid w:val="0073290B"/>
    <w:rsid w:val="007329E7"/>
    <w:rsid w:val="00732C1F"/>
    <w:rsid w:val="007332B8"/>
    <w:rsid w:val="00733C4A"/>
    <w:rsid w:val="007348E5"/>
    <w:rsid w:val="007352C5"/>
    <w:rsid w:val="007354F8"/>
    <w:rsid w:val="00735521"/>
    <w:rsid w:val="0073555B"/>
    <w:rsid w:val="00735D26"/>
    <w:rsid w:val="007366CB"/>
    <w:rsid w:val="007376B8"/>
    <w:rsid w:val="00737EB6"/>
    <w:rsid w:val="0074015B"/>
    <w:rsid w:val="00740F13"/>
    <w:rsid w:val="007423D6"/>
    <w:rsid w:val="007433DC"/>
    <w:rsid w:val="0074361B"/>
    <w:rsid w:val="00744EE2"/>
    <w:rsid w:val="00744F63"/>
    <w:rsid w:val="00745F1F"/>
    <w:rsid w:val="007466EB"/>
    <w:rsid w:val="007468C0"/>
    <w:rsid w:val="00746A79"/>
    <w:rsid w:val="007471BE"/>
    <w:rsid w:val="0074728D"/>
    <w:rsid w:val="00747322"/>
    <w:rsid w:val="0074744D"/>
    <w:rsid w:val="00747804"/>
    <w:rsid w:val="00747C54"/>
    <w:rsid w:val="00747ED8"/>
    <w:rsid w:val="00750404"/>
    <w:rsid w:val="0075062F"/>
    <w:rsid w:val="007507FD"/>
    <w:rsid w:val="007516C0"/>
    <w:rsid w:val="007522E3"/>
    <w:rsid w:val="00753378"/>
    <w:rsid w:val="00753AA3"/>
    <w:rsid w:val="0075496B"/>
    <w:rsid w:val="00754E08"/>
    <w:rsid w:val="00755284"/>
    <w:rsid w:val="00755662"/>
    <w:rsid w:val="00755E79"/>
    <w:rsid w:val="007566CF"/>
    <w:rsid w:val="00756A46"/>
    <w:rsid w:val="007572C2"/>
    <w:rsid w:val="00757710"/>
    <w:rsid w:val="0076049E"/>
    <w:rsid w:val="007604DE"/>
    <w:rsid w:val="00761408"/>
    <w:rsid w:val="007614C3"/>
    <w:rsid w:val="0076205B"/>
    <w:rsid w:val="00762DD0"/>
    <w:rsid w:val="00762E0C"/>
    <w:rsid w:val="007630F1"/>
    <w:rsid w:val="00763257"/>
    <w:rsid w:val="00763627"/>
    <w:rsid w:val="00763F22"/>
    <w:rsid w:val="00764044"/>
    <w:rsid w:val="0076452F"/>
    <w:rsid w:val="007645AA"/>
    <w:rsid w:val="007647EA"/>
    <w:rsid w:val="007648B3"/>
    <w:rsid w:val="007657F2"/>
    <w:rsid w:val="00765AB4"/>
    <w:rsid w:val="0076627C"/>
    <w:rsid w:val="00766EA7"/>
    <w:rsid w:val="007671D6"/>
    <w:rsid w:val="007672FB"/>
    <w:rsid w:val="00767639"/>
    <w:rsid w:val="0076764F"/>
    <w:rsid w:val="007676D3"/>
    <w:rsid w:val="00767D32"/>
    <w:rsid w:val="0077035F"/>
    <w:rsid w:val="00770C03"/>
    <w:rsid w:val="00770CA8"/>
    <w:rsid w:val="00770D13"/>
    <w:rsid w:val="007711A4"/>
    <w:rsid w:val="007728A2"/>
    <w:rsid w:val="007729DF"/>
    <w:rsid w:val="007736EE"/>
    <w:rsid w:val="007742BA"/>
    <w:rsid w:val="0077432C"/>
    <w:rsid w:val="0077465C"/>
    <w:rsid w:val="0077529B"/>
    <w:rsid w:val="007759DB"/>
    <w:rsid w:val="00775EE5"/>
    <w:rsid w:val="0077637B"/>
    <w:rsid w:val="007767F1"/>
    <w:rsid w:val="00776902"/>
    <w:rsid w:val="00776E52"/>
    <w:rsid w:val="00776F13"/>
    <w:rsid w:val="00777171"/>
    <w:rsid w:val="00777D11"/>
    <w:rsid w:val="00777EB9"/>
    <w:rsid w:val="00780471"/>
    <w:rsid w:val="00780D97"/>
    <w:rsid w:val="00780DCC"/>
    <w:rsid w:val="00781249"/>
    <w:rsid w:val="0078155E"/>
    <w:rsid w:val="007816C0"/>
    <w:rsid w:val="00781EA8"/>
    <w:rsid w:val="00782001"/>
    <w:rsid w:val="007823AC"/>
    <w:rsid w:val="0078247D"/>
    <w:rsid w:val="007829ED"/>
    <w:rsid w:val="0078314C"/>
    <w:rsid w:val="0078320F"/>
    <w:rsid w:val="00783342"/>
    <w:rsid w:val="00783372"/>
    <w:rsid w:val="0078339D"/>
    <w:rsid w:val="00783594"/>
    <w:rsid w:val="00783996"/>
    <w:rsid w:val="00783DA5"/>
    <w:rsid w:val="00783F30"/>
    <w:rsid w:val="00784754"/>
    <w:rsid w:val="00784925"/>
    <w:rsid w:val="00785726"/>
    <w:rsid w:val="00785CE2"/>
    <w:rsid w:val="00786E59"/>
    <w:rsid w:val="007874F4"/>
    <w:rsid w:val="00787775"/>
    <w:rsid w:val="00787853"/>
    <w:rsid w:val="00787874"/>
    <w:rsid w:val="00787D86"/>
    <w:rsid w:val="007906C2"/>
    <w:rsid w:val="00790796"/>
    <w:rsid w:val="00790B38"/>
    <w:rsid w:val="00790B82"/>
    <w:rsid w:val="00790CBA"/>
    <w:rsid w:val="00791660"/>
    <w:rsid w:val="00791A01"/>
    <w:rsid w:val="0079208A"/>
    <w:rsid w:val="007923B7"/>
    <w:rsid w:val="007933AE"/>
    <w:rsid w:val="007935F2"/>
    <w:rsid w:val="00793D5B"/>
    <w:rsid w:val="00794078"/>
    <w:rsid w:val="00794423"/>
    <w:rsid w:val="00795A27"/>
    <w:rsid w:val="007965E2"/>
    <w:rsid w:val="00796995"/>
    <w:rsid w:val="00797189"/>
    <w:rsid w:val="007972B9"/>
    <w:rsid w:val="00797376"/>
    <w:rsid w:val="007A02B1"/>
    <w:rsid w:val="007A0573"/>
    <w:rsid w:val="007A081F"/>
    <w:rsid w:val="007A1947"/>
    <w:rsid w:val="007A223A"/>
    <w:rsid w:val="007A298E"/>
    <w:rsid w:val="007A2E0F"/>
    <w:rsid w:val="007A38B5"/>
    <w:rsid w:val="007A46EE"/>
    <w:rsid w:val="007A4A4C"/>
    <w:rsid w:val="007A550A"/>
    <w:rsid w:val="007A5A49"/>
    <w:rsid w:val="007A5CAD"/>
    <w:rsid w:val="007A65A9"/>
    <w:rsid w:val="007A69FE"/>
    <w:rsid w:val="007A6CDF"/>
    <w:rsid w:val="007A75D1"/>
    <w:rsid w:val="007A7D3F"/>
    <w:rsid w:val="007A7FB5"/>
    <w:rsid w:val="007B1864"/>
    <w:rsid w:val="007B187F"/>
    <w:rsid w:val="007B18EB"/>
    <w:rsid w:val="007B1E2A"/>
    <w:rsid w:val="007B1E80"/>
    <w:rsid w:val="007B20B3"/>
    <w:rsid w:val="007B266F"/>
    <w:rsid w:val="007B2731"/>
    <w:rsid w:val="007B282F"/>
    <w:rsid w:val="007B29BF"/>
    <w:rsid w:val="007B2F14"/>
    <w:rsid w:val="007B3676"/>
    <w:rsid w:val="007B3978"/>
    <w:rsid w:val="007B3BF2"/>
    <w:rsid w:val="007B3D61"/>
    <w:rsid w:val="007B3F00"/>
    <w:rsid w:val="007B3F33"/>
    <w:rsid w:val="007B4551"/>
    <w:rsid w:val="007B4E50"/>
    <w:rsid w:val="007B5588"/>
    <w:rsid w:val="007B55E8"/>
    <w:rsid w:val="007B55E9"/>
    <w:rsid w:val="007B563B"/>
    <w:rsid w:val="007B5A54"/>
    <w:rsid w:val="007B699F"/>
    <w:rsid w:val="007B73A4"/>
    <w:rsid w:val="007B7C41"/>
    <w:rsid w:val="007C0CB9"/>
    <w:rsid w:val="007C0EAD"/>
    <w:rsid w:val="007C0FD6"/>
    <w:rsid w:val="007C1EC8"/>
    <w:rsid w:val="007C229B"/>
    <w:rsid w:val="007C3000"/>
    <w:rsid w:val="007C33EE"/>
    <w:rsid w:val="007C3F74"/>
    <w:rsid w:val="007C61AE"/>
    <w:rsid w:val="007C62B8"/>
    <w:rsid w:val="007C63B0"/>
    <w:rsid w:val="007C642A"/>
    <w:rsid w:val="007C6CFA"/>
    <w:rsid w:val="007C76F7"/>
    <w:rsid w:val="007C7BF4"/>
    <w:rsid w:val="007C7E29"/>
    <w:rsid w:val="007D17B4"/>
    <w:rsid w:val="007D1861"/>
    <w:rsid w:val="007D304E"/>
    <w:rsid w:val="007D3A1D"/>
    <w:rsid w:val="007D3FA7"/>
    <w:rsid w:val="007D5188"/>
    <w:rsid w:val="007D5607"/>
    <w:rsid w:val="007D63D7"/>
    <w:rsid w:val="007D6585"/>
    <w:rsid w:val="007D6C87"/>
    <w:rsid w:val="007E1409"/>
    <w:rsid w:val="007E1AFD"/>
    <w:rsid w:val="007E23C2"/>
    <w:rsid w:val="007E2459"/>
    <w:rsid w:val="007E2931"/>
    <w:rsid w:val="007E3D7A"/>
    <w:rsid w:val="007E4691"/>
    <w:rsid w:val="007E4860"/>
    <w:rsid w:val="007E5824"/>
    <w:rsid w:val="007E58EB"/>
    <w:rsid w:val="007E5B69"/>
    <w:rsid w:val="007E5E96"/>
    <w:rsid w:val="007E6378"/>
    <w:rsid w:val="007E674D"/>
    <w:rsid w:val="007E7765"/>
    <w:rsid w:val="007E7766"/>
    <w:rsid w:val="007E77C9"/>
    <w:rsid w:val="007E7A68"/>
    <w:rsid w:val="007E7C7F"/>
    <w:rsid w:val="007E7D34"/>
    <w:rsid w:val="007F044E"/>
    <w:rsid w:val="007F0E03"/>
    <w:rsid w:val="007F1534"/>
    <w:rsid w:val="007F1B94"/>
    <w:rsid w:val="007F1BFE"/>
    <w:rsid w:val="007F1C6D"/>
    <w:rsid w:val="007F200C"/>
    <w:rsid w:val="007F227F"/>
    <w:rsid w:val="007F2590"/>
    <w:rsid w:val="007F2F5D"/>
    <w:rsid w:val="007F32EB"/>
    <w:rsid w:val="007F3678"/>
    <w:rsid w:val="007F379D"/>
    <w:rsid w:val="007F38B7"/>
    <w:rsid w:val="007F3F2C"/>
    <w:rsid w:val="007F4D43"/>
    <w:rsid w:val="007F5B6B"/>
    <w:rsid w:val="007F608B"/>
    <w:rsid w:val="007F6DA0"/>
    <w:rsid w:val="007F6F46"/>
    <w:rsid w:val="007F71EE"/>
    <w:rsid w:val="007F731C"/>
    <w:rsid w:val="007F7680"/>
    <w:rsid w:val="007F7DDC"/>
    <w:rsid w:val="0080044A"/>
    <w:rsid w:val="0080097B"/>
    <w:rsid w:val="00800A11"/>
    <w:rsid w:val="00801372"/>
    <w:rsid w:val="008017A0"/>
    <w:rsid w:val="00801C03"/>
    <w:rsid w:val="00801DE1"/>
    <w:rsid w:val="00801E29"/>
    <w:rsid w:val="00802098"/>
    <w:rsid w:val="0080221B"/>
    <w:rsid w:val="00802756"/>
    <w:rsid w:val="00804875"/>
    <w:rsid w:val="00804CC1"/>
    <w:rsid w:val="00804D0F"/>
    <w:rsid w:val="0080512D"/>
    <w:rsid w:val="00805A87"/>
    <w:rsid w:val="00805F0A"/>
    <w:rsid w:val="0080636A"/>
    <w:rsid w:val="008063F0"/>
    <w:rsid w:val="00806ACC"/>
    <w:rsid w:val="00810059"/>
    <w:rsid w:val="00810B1F"/>
    <w:rsid w:val="00810B28"/>
    <w:rsid w:val="00810D96"/>
    <w:rsid w:val="00811064"/>
    <w:rsid w:val="0081106A"/>
    <w:rsid w:val="00812B08"/>
    <w:rsid w:val="00812BAE"/>
    <w:rsid w:val="0081318A"/>
    <w:rsid w:val="0081329D"/>
    <w:rsid w:val="00813EC1"/>
    <w:rsid w:val="008142DB"/>
    <w:rsid w:val="00814CF5"/>
    <w:rsid w:val="00814DC2"/>
    <w:rsid w:val="00814E2B"/>
    <w:rsid w:val="008157C6"/>
    <w:rsid w:val="00815C33"/>
    <w:rsid w:val="00817C66"/>
    <w:rsid w:val="00820335"/>
    <w:rsid w:val="00820381"/>
    <w:rsid w:val="008207C0"/>
    <w:rsid w:val="008209E5"/>
    <w:rsid w:val="00820E93"/>
    <w:rsid w:val="00821068"/>
    <w:rsid w:val="008218B7"/>
    <w:rsid w:val="00821B13"/>
    <w:rsid w:val="00821BD3"/>
    <w:rsid w:val="00821CFF"/>
    <w:rsid w:val="008222E7"/>
    <w:rsid w:val="00822A4A"/>
    <w:rsid w:val="00823268"/>
    <w:rsid w:val="008236D6"/>
    <w:rsid w:val="008236ED"/>
    <w:rsid w:val="00823FD3"/>
    <w:rsid w:val="00824837"/>
    <w:rsid w:val="00824DF6"/>
    <w:rsid w:val="00825C76"/>
    <w:rsid w:val="00825E74"/>
    <w:rsid w:val="00825FAA"/>
    <w:rsid w:val="0082768B"/>
    <w:rsid w:val="008277FB"/>
    <w:rsid w:val="00827F3A"/>
    <w:rsid w:val="0083014F"/>
    <w:rsid w:val="00830868"/>
    <w:rsid w:val="00830BE5"/>
    <w:rsid w:val="00830CEC"/>
    <w:rsid w:val="00831554"/>
    <w:rsid w:val="00831CB8"/>
    <w:rsid w:val="00831FCB"/>
    <w:rsid w:val="00832483"/>
    <w:rsid w:val="0083359F"/>
    <w:rsid w:val="0083388B"/>
    <w:rsid w:val="00833A1D"/>
    <w:rsid w:val="008342B8"/>
    <w:rsid w:val="008346E1"/>
    <w:rsid w:val="00834867"/>
    <w:rsid w:val="00834CEA"/>
    <w:rsid w:val="00835238"/>
    <w:rsid w:val="0083594A"/>
    <w:rsid w:val="00836EE0"/>
    <w:rsid w:val="00836FE8"/>
    <w:rsid w:val="008371E6"/>
    <w:rsid w:val="00837BCF"/>
    <w:rsid w:val="008406B2"/>
    <w:rsid w:val="008407C4"/>
    <w:rsid w:val="00840D6E"/>
    <w:rsid w:val="00840F15"/>
    <w:rsid w:val="008411A2"/>
    <w:rsid w:val="00842801"/>
    <w:rsid w:val="00843530"/>
    <w:rsid w:val="00844188"/>
    <w:rsid w:val="00844203"/>
    <w:rsid w:val="00846114"/>
    <w:rsid w:val="00846735"/>
    <w:rsid w:val="008468C7"/>
    <w:rsid w:val="00846B7C"/>
    <w:rsid w:val="008477B3"/>
    <w:rsid w:val="00847B93"/>
    <w:rsid w:val="00850544"/>
    <w:rsid w:val="0085099A"/>
    <w:rsid w:val="008510C0"/>
    <w:rsid w:val="00851533"/>
    <w:rsid w:val="00851A25"/>
    <w:rsid w:val="00851DF8"/>
    <w:rsid w:val="00851F5B"/>
    <w:rsid w:val="008522F0"/>
    <w:rsid w:val="0085279A"/>
    <w:rsid w:val="00852A4A"/>
    <w:rsid w:val="0085313F"/>
    <w:rsid w:val="00853238"/>
    <w:rsid w:val="00853E55"/>
    <w:rsid w:val="00854517"/>
    <w:rsid w:val="008545E5"/>
    <w:rsid w:val="00854DB4"/>
    <w:rsid w:val="00856157"/>
    <w:rsid w:val="0085617C"/>
    <w:rsid w:val="00856558"/>
    <w:rsid w:val="008569A7"/>
    <w:rsid w:val="00856C2B"/>
    <w:rsid w:val="00856E1C"/>
    <w:rsid w:val="00856EFA"/>
    <w:rsid w:val="008577A6"/>
    <w:rsid w:val="00861101"/>
    <w:rsid w:val="0086131F"/>
    <w:rsid w:val="00861770"/>
    <w:rsid w:val="00864269"/>
    <w:rsid w:val="0086477C"/>
    <w:rsid w:val="00864C15"/>
    <w:rsid w:val="00865203"/>
    <w:rsid w:val="00865388"/>
    <w:rsid w:val="00866348"/>
    <w:rsid w:val="0086699E"/>
    <w:rsid w:val="008669B7"/>
    <w:rsid w:val="0086703C"/>
    <w:rsid w:val="008674FA"/>
    <w:rsid w:val="00867ACB"/>
    <w:rsid w:val="008700AA"/>
    <w:rsid w:val="008707DA"/>
    <w:rsid w:val="00871A16"/>
    <w:rsid w:val="00871C35"/>
    <w:rsid w:val="0087236A"/>
    <w:rsid w:val="00873793"/>
    <w:rsid w:val="008739BE"/>
    <w:rsid w:val="00874409"/>
    <w:rsid w:val="008745EB"/>
    <w:rsid w:val="00874F9E"/>
    <w:rsid w:val="008755C1"/>
    <w:rsid w:val="00875B4E"/>
    <w:rsid w:val="00875CD1"/>
    <w:rsid w:val="0087640A"/>
    <w:rsid w:val="00876ECF"/>
    <w:rsid w:val="008778F9"/>
    <w:rsid w:val="00877A7C"/>
    <w:rsid w:val="00877DC2"/>
    <w:rsid w:val="00880793"/>
    <w:rsid w:val="0088121F"/>
    <w:rsid w:val="00881E08"/>
    <w:rsid w:val="00882046"/>
    <w:rsid w:val="00882173"/>
    <w:rsid w:val="0088243E"/>
    <w:rsid w:val="0088356C"/>
    <w:rsid w:val="008837CA"/>
    <w:rsid w:val="00883AF2"/>
    <w:rsid w:val="00884AB4"/>
    <w:rsid w:val="008858F8"/>
    <w:rsid w:val="00885AA4"/>
    <w:rsid w:val="00886174"/>
    <w:rsid w:val="008867EA"/>
    <w:rsid w:val="0088693C"/>
    <w:rsid w:val="00886B29"/>
    <w:rsid w:val="00886CB2"/>
    <w:rsid w:val="00886EFA"/>
    <w:rsid w:val="008878EA"/>
    <w:rsid w:val="00890289"/>
    <w:rsid w:val="008904E2"/>
    <w:rsid w:val="0089069A"/>
    <w:rsid w:val="008906DA"/>
    <w:rsid w:val="008908B6"/>
    <w:rsid w:val="00890D0C"/>
    <w:rsid w:val="00890FCC"/>
    <w:rsid w:val="008912D3"/>
    <w:rsid w:val="008913C5"/>
    <w:rsid w:val="00891FE4"/>
    <w:rsid w:val="00892EFF"/>
    <w:rsid w:val="008933BE"/>
    <w:rsid w:val="00893792"/>
    <w:rsid w:val="0089398C"/>
    <w:rsid w:val="00893B99"/>
    <w:rsid w:val="00893C69"/>
    <w:rsid w:val="00894345"/>
    <w:rsid w:val="008943C6"/>
    <w:rsid w:val="008948DB"/>
    <w:rsid w:val="008949BC"/>
    <w:rsid w:val="00895B92"/>
    <w:rsid w:val="0089610B"/>
    <w:rsid w:val="008976EA"/>
    <w:rsid w:val="008A03C3"/>
    <w:rsid w:val="008A0747"/>
    <w:rsid w:val="008A0BDE"/>
    <w:rsid w:val="008A0E55"/>
    <w:rsid w:val="008A2F3A"/>
    <w:rsid w:val="008A320C"/>
    <w:rsid w:val="008A3E4F"/>
    <w:rsid w:val="008A4082"/>
    <w:rsid w:val="008A40DA"/>
    <w:rsid w:val="008A553A"/>
    <w:rsid w:val="008A55EC"/>
    <w:rsid w:val="008A694B"/>
    <w:rsid w:val="008A69CE"/>
    <w:rsid w:val="008A7045"/>
    <w:rsid w:val="008A7744"/>
    <w:rsid w:val="008A7A87"/>
    <w:rsid w:val="008B164B"/>
    <w:rsid w:val="008B186A"/>
    <w:rsid w:val="008B18DE"/>
    <w:rsid w:val="008B23AC"/>
    <w:rsid w:val="008B31E9"/>
    <w:rsid w:val="008B325A"/>
    <w:rsid w:val="008B34A5"/>
    <w:rsid w:val="008B4714"/>
    <w:rsid w:val="008B49CC"/>
    <w:rsid w:val="008B4BFF"/>
    <w:rsid w:val="008B5A67"/>
    <w:rsid w:val="008B6295"/>
    <w:rsid w:val="008B64E1"/>
    <w:rsid w:val="008B701B"/>
    <w:rsid w:val="008B7A3A"/>
    <w:rsid w:val="008C1670"/>
    <w:rsid w:val="008C1988"/>
    <w:rsid w:val="008C2DC0"/>
    <w:rsid w:val="008C36D5"/>
    <w:rsid w:val="008C45BD"/>
    <w:rsid w:val="008C63E1"/>
    <w:rsid w:val="008C68A9"/>
    <w:rsid w:val="008C6927"/>
    <w:rsid w:val="008C6CA7"/>
    <w:rsid w:val="008C704C"/>
    <w:rsid w:val="008C70D0"/>
    <w:rsid w:val="008C7A69"/>
    <w:rsid w:val="008D074D"/>
    <w:rsid w:val="008D0A4E"/>
    <w:rsid w:val="008D10D2"/>
    <w:rsid w:val="008D1222"/>
    <w:rsid w:val="008D156E"/>
    <w:rsid w:val="008D16C1"/>
    <w:rsid w:val="008D2CD7"/>
    <w:rsid w:val="008D32D5"/>
    <w:rsid w:val="008D3990"/>
    <w:rsid w:val="008D3B7D"/>
    <w:rsid w:val="008D3FEE"/>
    <w:rsid w:val="008D41BD"/>
    <w:rsid w:val="008D590D"/>
    <w:rsid w:val="008D5ABD"/>
    <w:rsid w:val="008D5E8A"/>
    <w:rsid w:val="008D66DE"/>
    <w:rsid w:val="008D6ECF"/>
    <w:rsid w:val="008D757E"/>
    <w:rsid w:val="008D79EB"/>
    <w:rsid w:val="008E012C"/>
    <w:rsid w:val="008E0EFD"/>
    <w:rsid w:val="008E1A00"/>
    <w:rsid w:val="008E1CFD"/>
    <w:rsid w:val="008E295C"/>
    <w:rsid w:val="008E33F1"/>
    <w:rsid w:val="008E35DE"/>
    <w:rsid w:val="008E369C"/>
    <w:rsid w:val="008E3C74"/>
    <w:rsid w:val="008E3F89"/>
    <w:rsid w:val="008E42A2"/>
    <w:rsid w:val="008E563A"/>
    <w:rsid w:val="008E56D4"/>
    <w:rsid w:val="008E593D"/>
    <w:rsid w:val="008E5BF9"/>
    <w:rsid w:val="008E6962"/>
    <w:rsid w:val="008E71AD"/>
    <w:rsid w:val="008E71C2"/>
    <w:rsid w:val="008E776A"/>
    <w:rsid w:val="008E7895"/>
    <w:rsid w:val="008E7C60"/>
    <w:rsid w:val="008E7C7E"/>
    <w:rsid w:val="008F03D3"/>
    <w:rsid w:val="008F06AF"/>
    <w:rsid w:val="008F1ADA"/>
    <w:rsid w:val="008F1B59"/>
    <w:rsid w:val="008F1FF9"/>
    <w:rsid w:val="008F23FE"/>
    <w:rsid w:val="008F26A7"/>
    <w:rsid w:val="008F3BFA"/>
    <w:rsid w:val="008F3DBE"/>
    <w:rsid w:val="008F41DF"/>
    <w:rsid w:val="008F42A6"/>
    <w:rsid w:val="008F4581"/>
    <w:rsid w:val="008F6930"/>
    <w:rsid w:val="008F69A1"/>
    <w:rsid w:val="008F735B"/>
    <w:rsid w:val="008F75D3"/>
    <w:rsid w:val="008F7622"/>
    <w:rsid w:val="008F779A"/>
    <w:rsid w:val="008F7FA1"/>
    <w:rsid w:val="009000B1"/>
    <w:rsid w:val="0090059F"/>
    <w:rsid w:val="00900DD5"/>
    <w:rsid w:val="009012EE"/>
    <w:rsid w:val="00901D06"/>
    <w:rsid w:val="009020B3"/>
    <w:rsid w:val="009024A6"/>
    <w:rsid w:val="00902582"/>
    <w:rsid w:val="00902715"/>
    <w:rsid w:val="009038A9"/>
    <w:rsid w:val="00904385"/>
    <w:rsid w:val="00904553"/>
    <w:rsid w:val="009048F5"/>
    <w:rsid w:val="00904DE9"/>
    <w:rsid w:val="00905138"/>
    <w:rsid w:val="00905EF4"/>
    <w:rsid w:val="00906207"/>
    <w:rsid w:val="009063E5"/>
    <w:rsid w:val="009064E8"/>
    <w:rsid w:val="009067AD"/>
    <w:rsid w:val="00906B90"/>
    <w:rsid w:val="00906E14"/>
    <w:rsid w:val="0090739C"/>
    <w:rsid w:val="009110C3"/>
    <w:rsid w:val="00911A16"/>
    <w:rsid w:val="00912C68"/>
    <w:rsid w:val="0091355B"/>
    <w:rsid w:val="0091439F"/>
    <w:rsid w:val="00914453"/>
    <w:rsid w:val="00914938"/>
    <w:rsid w:val="00914A95"/>
    <w:rsid w:val="00914A97"/>
    <w:rsid w:val="00914B4A"/>
    <w:rsid w:val="00914CBC"/>
    <w:rsid w:val="00914D79"/>
    <w:rsid w:val="00914EBD"/>
    <w:rsid w:val="009163C5"/>
    <w:rsid w:val="00916455"/>
    <w:rsid w:val="0091667C"/>
    <w:rsid w:val="00917585"/>
    <w:rsid w:val="00917939"/>
    <w:rsid w:val="00917A2E"/>
    <w:rsid w:val="00917A7B"/>
    <w:rsid w:val="00917E36"/>
    <w:rsid w:val="00920B88"/>
    <w:rsid w:val="00920BC1"/>
    <w:rsid w:val="00921073"/>
    <w:rsid w:val="00921275"/>
    <w:rsid w:val="009221E0"/>
    <w:rsid w:val="009227A9"/>
    <w:rsid w:val="0092294D"/>
    <w:rsid w:val="009231B3"/>
    <w:rsid w:val="009235A3"/>
    <w:rsid w:val="009235AE"/>
    <w:rsid w:val="00923B30"/>
    <w:rsid w:val="00923EE7"/>
    <w:rsid w:val="00924093"/>
    <w:rsid w:val="00924B4E"/>
    <w:rsid w:val="0092517A"/>
    <w:rsid w:val="00925269"/>
    <w:rsid w:val="00925322"/>
    <w:rsid w:val="00925586"/>
    <w:rsid w:val="0092574E"/>
    <w:rsid w:val="00926B36"/>
    <w:rsid w:val="00926EC9"/>
    <w:rsid w:val="00926FC7"/>
    <w:rsid w:val="00927008"/>
    <w:rsid w:val="00927E4D"/>
    <w:rsid w:val="00927E99"/>
    <w:rsid w:val="009302A9"/>
    <w:rsid w:val="009303E1"/>
    <w:rsid w:val="00930930"/>
    <w:rsid w:val="00930A0D"/>
    <w:rsid w:val="00930DDD"/>
    <w:rsid w:val="00931092"/>
    <w:rsid w:val="009310A3"/>
    <w:rsid w:val="00931747"/>
    <w:rsid w:val="00931CFF"/>
    <w:rsid w:val="009321C1"/>
    <w:rsid w:val="009330C3"/>
    <w:rsid w:val="00933563"/>
    <w:rsid w:val="009346C0"/>
    <w:rsid w:val="0093470D"/>
    <w:rsid w:val="00934888"/>
    <w:rsid w:val="00935414"/>
    <w:rsid w:val="0093597A"/>
    <w:rsid w:val="00935ED4"/>
    <w:rsid w:val="00935FBA"/>
    <w:rsid w:val="00936097"/>
    <w:rsid w:val="009360E3"/>
    <w:rsid w:val="00937454"/>
    <w:rsid w:val="0093777C"/>
    <w:rsid w:val="00937A47"/>
    <w:rsid w:val="00937AB6"/>
    <w:rsid w:val="00940170"/>
    <w:rsid w:val="009403E7"/>
    <w:rsid w:val="00940A5C"/>
    <w:rsid w:val="00940DB2"/>
    <w:rsid w:val="00941492"/>
    <w:rsid w:val="009414AB"/>
    <w:rsid w:val="00941EFE"/>
    <w:rsid w:val="00942491"/>
    <w:rsid w:val="00942CA5"/>
    <w:rsid w:val="0094336E"/>
    <w:rsid w:val="0094383F"/>
    <w:rsid w:val="00943B29"/>
    <w:rsid w:val="009441D6"/>
    <w:rsid w:val="00944A1A"/>
    <w:rsid w:val="00944A50"/>
    <w:rsid w:val="00944DFA"/>
    <w:rsid w:val="00945704"/>
    <w:rsid w:val="00945C66"/>
    <w:rsid w:val="009465DA"/>
    <w:rsid w:val="00946939"/>
    <w:rsid w:val="0094706A"/>
    <w:rsid w:val="0094730A"/>
    <w:rsid w:val="00950E71"/>
    <w:rsid w:val="00951103"/>
    <w:rsid w:val="0095187C"/>
    <w:rsid w:val="00951DC4"/>
    <w:rsid w:val="009526A7"/>
    <w:rsid w:val="009529D5"/>
    <w:rsid w:val="00952BD7"/>
    <w:rsid w:val="009533FB"/>
    <w:rsid w:val="00953652"/>
    <w:rsid w:val="0095376B"/>
    <w:rsid w:val="009543CA"/>
    <w:rsid w:val="009544D4"/>
    <w:rsid w:val="009545BD"/>
    <w:rsid w:val="00954A97"/>
    <w:rsid w:val="00955DDF"/>
    <w:rsid w:val="00957236"/>
    <w:rsid w:val="00957888"/>
    <w:rsid w:val="00957A02"/>
    <w:rsid w:val="00960139"/>
    <w:rsid w:val="00960554"/>
    <w:rsid w:val="009615DB"/>
    <w:rsid w:val="00961D2F"/>
    <w:rsid w:val="00961DF2"/>
    <w:rsid w:val="0096384D"/>
    <w:rsid w:val="009639D8"/>
    <w:rsid w:val="00963C11"/>
    <w:rsid w:val="00964247"/>
    <w:rsid w:val="0096433C"/>
    <w:rsid w:val="00964350"/>
    <w:rsid w:val="009648E6"/>
    <w:rsid w:val="00964C63"/>
    <w:rsid w:val="00965178"/>
    <w:rsid w:val="009654F2"/>
    <w:rsid w:val="00965A18"/>
    <w:rsid w:val="00965AE3"/>
    <w:rsid w:val="00966DD2"/>
    <w:rsid w:val="00967806"/>
    <w:rsid w:val="0097029B"/>
    <w:rsid w:val="00970549"/>
    <w:rsid w:val="00970B37"/>
    <w:rsid w:val="00971410"/>
    <w:rsid w:val="0097173A"/>
    <w:rsid w:val="00971E06"/>
    <w:rsid w:val="00972E9A"/>
    <w:rsid w:val="009732FE"/>
    <w:rsid w:val="00974F6B"/>
    <w:rsid w:val="0097531C"/>
    <w:rsid w:val="00976C0B"/>
    <w:rsid w:val="0097794D"/>
    <w:rsid w:val="00977AA6"/>
    <w:rsid w:val="00977B75"/>
    <w:rsid w:val="00980902"/>
    <w:rsid w:val="00980F7E"/>
    <w:rsid w:val="00981397"/>
    <w:rsid w:val="00981858"/>
    <w:rsid w:val="00981F7D"/>
    <w:rsid w:val="009825F5"/>
    <w:rsid w:val="0098273D"/>
    <w:rsid w:val="00982B76"/>
    <w:rsid w:val="00982DF8"/>
    <w:rsid w:val="00983292"/>
    <w:rsid w:val="00984D18"/>
    <w:rsid w:val="009860EE"/>
    <w:rsid w:val="009867C9"/>
    <w:rsid w:val="00987065"/>
    <w:rsid w:val="0098739D"/>
    <w:rsid w:val="00987691"/>
    <w:rsid w:val="00987E56"/>
    <w:rsid w:val="00990012"/>
    <w:rsid w:val="009905E3"/>
    <w:rsid w:val="009907FA"/>
    <w:rsid w:val="00990E71"/>
    <w:rsid w:val="00991873"/>
    <w:rsid w:val="00991FBA"/>
    <w:rsid w:val="009922E3"/>
    <w:rsid w:val="00993053"/>
    <w:rsid w:val="0099352C"/>
    <w:rsid w:val="00993FE7"/>
    <w:rsid w:val="00995753"/>
    <w:rsid w:val="00995B72"/>
    <w:rsid w:val="00995C06"/>
    <w:rsid w:val="00995D20"/>
    <w:rsid w:val="00996067"/>
    <w:rsid w:val="0099619A"/>
    <w:rsid w:val="009964EE"/>
    <w:rsid w:val="0099671A"/>
    <w:rsid w:val="00997176"/>
    <w:rsid w:val="009975A7"/>
    <w:rsid w:val="00997932"/>
    <w:rsid w:val="00997C55"/>
    <w:rsid w:val="009A008D"/>
    <w:rsid w:val="009A0C73"/>
    <w:rsid w:val="009A0F48"/>
    <w:rsid w:val="009A1176"/>
    <w:rsid w:val="009A1A44"/>
    <w:rsid w:val="009A1B76"/>
    <w:rsid w:val="009A38E6"/>
    <w:rsid w:val="009A3AFC"/>
    <w:rsid w:val="009A3E3F"/>
    <w:rsid w:val="009A4727"/>
    <w:rsid w:val="009A561D"/>
    <w:rsid w:val="009A6CB3"/>
    <w:rsid w:val="009A75E1"/>
    <w:rsid w:val="009A7694"/>
    <w:rsid w:val="009B198A"/>
    <w:rsid w:val="009B31EE"/>
    <w:rsid w:val="009B329D"/>
    <w:rsid w:val="009B32B2"/>
    <w:rsid w:val="009B32CF"/>
    <w:rsid w:val="009B46F7"/>
    <w:rsid w:val="009B4A16"/>
    <w:rsid w:val="009B5C42"/>
    <w:rsid w:val="009B5CE8"/>
    <w:rsid w:val="009B6540"/>
    <w:rsid w:val="009B6BB4"/>
    <w:rsid w:val="009B7509"/>
    <w:rsid w:val="009B75C3"/>
    <w:rsid w:val="009C05DD"/>
    <w:rsid w:val="009C0C7F"/>
    <w:rsid w:val="009C1198"/>
    <w:rsid w:val="009C16EF"/>
    <w:rsid w:val="009C208B"/>
    <w:rsid w:val="009C2F10"/>
    <w:rsid w:val="009C3D34"/>
    <w:rsid w:val="009C4C48"/>
    <w:rsid w:val="009C5837"/>
    <w:rsid w:val="009C648C"/>
    <w:rsid w:val="009C6D5F"/>
    <w:rsid w:val="009C7AD2"/>
    <w:rsid w:val="009C7C8D"/>
    <w:rsid w:val="009D02B5"/>
    <w:rsid w:val="009D0397"/>
    <w:rsid w:val="009D06C4"/>
    <w:rsid w:val="009D0E06"/>
    <w:rsid w:val="009D0F49"/>
    <w:rsid w:val="009D1707"/>
    <w:rsid w:val="009D21C1"/>
    <w:rsid w:val="009D2C75"/>
    <w:rsid w:val="009D30A9"/>
    <w:rsid w:val="009D3986"/>
    <w:rsid w:val="009D3DFA"/>
    <w:rsid w:val="009D5D02"/>
    <w:rsid w:val="009D5E61"/>
    <w:rsid w:val="009D60B3"/>
    <w:rsid w:val="009D63D1"/>
    <w:rsid w:val="009D6AFA"/>
    <w:rsid w:val="009D6F9C"/>
    <w:rsid w:val="009D7F4D"/>
    <w:rsid w:val="009D7FF5"/>
    <w:rsid w:val="009E00B8"/>
    <w:rsid w:val="009E109F"/>
    <w:rsid w:val="009E147E"/>
    <w:rsid w:val="009E2F0A"/>
    <w:rsid w:val="009E4A53"/>
    <w:rsid w:val="009E5355"/>
    <w:rsid w:val="009E59A7"/>
    <w:rsid w:val="009E6533"/>
    <w:rsid w:val="009E6DED"/>
    <w:rsid w:val="009E716E"/>
    <w:rsid w:val="009E7D6B"/>
    <w:rsid w:val="009F0DA9"/>
    <w:rsid w:val="009F14D2"/>
    <w:rsid w:val="009F252F"/>
    <w:rsid w:val="009F2F6E"/>
    <w:rsid w:val="009F38B0"/>
    <w:rsid w:val="009F4DF3"/>
    <w:rsid w:val="009F58BE"/>
    <w:rsid w:val="009F63D4"/>
    <w:rsid w:val="009F6414"/>
    <w:rsid w:val="009F6783"/>
    <w:rsid w:val="009F6E82"/>
    <w:rsid w:val="009F7EA7"/>
    <w:rsid w:val="00A00160"/>
    <w:rsid w:val="00A00171"/>
    <w:rsid w:val="00A00C5F"/>
    <w:rsid w:val="00A00CCC"/>
    <w:rsid w:val="00A00E42"/>
    <w:rsid w:val="00A01306"/>
    <w:rsid w:val="00A01A7A"/>
    <w:rsid w:val="00A01F70"/>
    <w:rsid w:val="00A02401"/>
    <w:rsid w:val="00A02F3E"/>
    <w:rsid w:val="00A030FC"/>
    <w:rsid w:val="00A03A7B"/>
    <w:rsid w:val="00A03DAE"/>
    <w:rsid w:val="00A0412D"/>
    <w:rsid w:val="00A05357"/>
    <w:rsid w:val="00A0573E"/>
    <w:rsid w:val="00A059FA"/>
    <w:rsid w:val="00A06786"/>
    <w:rsid w:val="00A0695A"/>
    <w:rsid w:val="00A07924"/>
    <w:rsid w:val="00A10681"/>
    <w:rsid w:val="00A113E0"/>
    <w:rsid w:val="00A12AA2"/>
    <w:rsid w:val="00A13608"/>
    <w:rsid w:val="00A14143"/>
    <w:rsid w:val="00A145BB"/>
    <w:rsid w:val="00A14931"/>
    <w:rsid w:val="00A14AD5"/>
    <w:rsid w:val="00A14F62"/>
    <w:rsid w:val="00A1501D"/>
    <w:rsid w:val="00A1590A"/>
    <w:rsid w:val="00A15E24"/>
    <w:rsid w:val="00A15E91"/>
    <w:rsid w:val="00A15EB2"/>
    <w:rsid w:val="00A1618D"/>
    <w:rsid w:val="00A1694E"/>
    <w:rsid w:val="00A1725F"/>
    <w:rsid w:val="00A17697"/>
    <w:rsid w:val="00A17C89"/>
    <w:rsid w:val="00A17D1D"/>
    <w:rsid w:val="00A207ED"/>
    <w:rsid w:val="00A208CA"/>
    <w:rsid w:val="00A20BDE"/>
    <w:rsid w:val="00A21141"/>
    <w:rsid w:val="00A214A4"/>
    <w:rsid w:val="00A214C3"/>
    <w:rsid w:val="00A2206A"/>
    <w:rsid w:val="00A227C8"/>
    <w:rsid w:val="00A22A91"/>
    <w:rsid w:val="00A22F78"/>
    <w:rsid w:val="00A236C1"/>
    <w:rsid w:val="00A238A1"/>
    <w:rsid w:val="00A23B23"/>
    <w:rsid w:val="00A25321"/>
    <w:rsid w:val="00A25531"/>
    <w:rsid w:val="00A25E4F"/>
    <w:rsid w:val="00A25FDD"/>
    <w:rsid w:val="00A26663"/>
    <w:rsid w:val="00A27333"/>
    <w:rsid w:val="00A27394"/>
    <w:rsid w:val="00A27CA6"/>
    <w:rsid w:val="00A303A2"/>
    <w:rsid w:val="00A30630"/>
    <w:rsid w:val="00A310E6"/>
    <w:rsid w:val="00A311C1"/>
    <w:rsid w:val="00A31552"/>
    <w:rsid w:val="00A31559"/>
    <w:rsid w:val="00A320DB"/>
    <w:rsid w:val="00A3256A"/>
    <w:rsid w:val="00A33167"/>
    <w:rsid w:val="00A3361C"/>
    <w:rsid w:val="00A340ED"/>
    <w:rsid w:val="00A3495B"/>
    <w:rsid w:val="00A356FB"/>
    <w:rsid w:val="00A368A4"/>
    <w:rsid w:val="00A37745"/>
    <w:rsid w:val="00A4019F"/>
    <w:rsid w:val="00A40350"/>
    <w:rsid w:val="00A408C2"/>
    <w:rsid w:val="00A40A0E"/>
    <w:rsid w:val="00A40FD5"/>
    <w:rsid w:val="00A426F6"/>
    <w:rsid w:val="00A42891"/>
    <w:rsid w:val="00A42DD2"/>
    <w:rsid w:val="00A43A80"/>
    <w:rsid w:val="00A442E9"/>
    <w:rsid w:val="00A44582"/>
    <w:rsid w:val="00A44E39"/>
    <w:rsid w:val="00A450D5"/>
    <w:rsid w:val="00A45371"/>
    <w:rsid w:val="00A453DA"/>
    <w:rsid w:val="00A456C1"/>
    <w:rsid w:val="00A46614"/>
    <w:rsid w:val="00A46A0A"/>
    <w:rsid w:val="00A46A2C"/>
    <w:rsid w:val="00A46EBF"/>
    <w:rsid w:val="00A46EC7"/>
    <w:rsid w:val="00A47AD0"/>
    <w:rsid w:val="00A51D6C"/>
    <w:rsid w:val="00A52274"/>
    <w:rsid w:val="00A53092"/>
    <w:rsid w:val="00A5362F"/>
    <w:rsid w:val="00A53DCA"/>
    <w:rsid w:val="00A54126"/>
    <w:rsid w:val="00A54791"/>
    <w:rsid w:val="00A54B1D"/>
    <w:rsid w:val="00A54D8F"/>
    <w:rsid w:val="00A55189"/>
    <w:rsid w:val="00A55468"/>
    <w:rsid w:val="00A567B6"/>
    <w:rsid w:val="00A56F21"/>
    <w:rsid w:val="00A5756E"/>
    <w:rsid w:val="00A57977"/>
    <w:rsid w:val="00A57DC6"/>
    <w:rsid w:val="00A57F74"/>
    <w:rsid w:val="00A6042C"/>
    <w:rsid w:val="00A60654"/>
    <w:rsid w:val="00A61502"/>
    <w:rsid w:val="00A61BDE"/>
    <w:rsid w:val="00A62A0E"/>
    <w:rsid w:val="00A63196"/>
    <w:rsid w:val="00A63A7C"/>
    <w:rsid w:val="00A63E4B"/>
    <w:rsid w:val="00A648D0"/>
    <w:rsid w:val="00A649BD"/>
    <w:rsid w:val="00A64F3D"/>
    <w:rsid w:val="00A65031"/>
    <w:rsid w:val="00A651F3"/>
    <w:rsid w:val="00A65DD4"/>
    <w:rsid w:val="00A65F1F"/>
    <w:rsid w:val="00A6715D"/>
    <w:rsid w:val="00A671E0"/>
    <w:rsid w:val="00A67603"/>
    <w:rsid w:val="00A707D0"/>
    <w:rsid w:val="00A710A4"/>
    <w:rsid w:val="00A71645"/>
    <w:rsid w:val="00A7174D"/>
    <w:rsid w:val="00A71DF3"/>
    <w:rsid w:val="00A7205A"/>
    <w:rsid w:val="00A720F9"/>
    <w:rsid w:val="00A72791"/>
    <w:rsid w:val="00A731BB"/>
    <w:rsid w:val="00A735E6"/>
    <w:rsid w:val="00A73D3C"/>
    <w:rsid w:val="00A73F59"/>
    <w:rsid w:val="00A74DEC"/>
    <w:rsid w:val="00A753C0"/>
    <w:rsid w:val="00A75414"/>
    <w:rsid w:val="00A755F8"/>
    <w:rsid w:val="00A757D1"/>
    <w:rsid w:val="00A758B9"/>
    <w:rsid w:val="00A766D1"/>
    <w:rsid w:val="00A76F82"/>
    <w:rsid w:val="00A76F8A"/>
    <w:rsid w:val="00A76FCF"/>
    <w:rsid w:val="00A77327"/>
    <w:rsid w:val="00A77406"/>
    <w:rsid w:val="00A778E9"/>
    <w:rsid w:val="00A77A17"/>
    <w:rsid w:val="00A77C34"/>
    <w:rsid w:val="00A812C6"/>
    <w:rsid w:val="00A81383"/>
    <w:rsid w:val="00A81544"/>
    <w:rsid w:val="00A817DE"/>
    <w:rsid w:val="00A81DE2"/>
    <w:rsid w:val="00A81EF2"/>
    <w:rsid w:val="00A835A9"/>
    <w:rsid w:val="00A84172"/>
    <w:rsid w:val="00A84C5F"/>
    <w:rsid w:val="00A84F1F"/>
    <w:rsid w:val="00A85067"/>
    <w:rsid w:val="00A8546B"/>
    <w:rsid w:val="00A85ABE"/>
    <w:rsid w:val="00A860B5"/>
    <w:rsid w:val="00A873E9"/>
    <w:rsid w:val="00A8776E"/>
    <w:rsid w:val="00A878AB"/>
    <w:rsid w:val="00A87CEE"/>
    <w:rsid w:val="00A9059F"/>
    <w:rsid w:val="00A909A3"/>
    <w:rsid w:val="00A90E28"/>
    <w:rsid w:val="00A916F9"/>
    <w:rsid w:val="00A91D5A"/>
    <w:rsid w:val="00A924D7"/>
    <w:rsid w:val="00A92A04"/>
    <w:rsid w:val="00A93ACC"/>
    <w:rsid w:val="00A948B8"/>
    <w:rsid w:val="00A975B8"/>
    <w:rsid w:val="00A9772A"/>
    <w:rsid w:val="00A978B9"/>
    <w:rsid w:val="00A979C3"/>
    <w:rsid w:val="00AA02D7"/>
    <w:rsid w:val="00AA0908"/>
    <w:rsid w:val="00AA09C3"/>
    <w:rsid w:val="00AA0B0C"/>
    <w:rsid w:val="00AA0FB9"/>
    <w:rsid w:val="00AA117E"/>
    <w:rsid w:val="00AA1314"/>
    <w:rsid w:val="00AA170E"/>
    <w:rsid w:val="00AA19FA"/>
    <w:rsid w:val="00AA1AE5"/>
    <w:rsid w:val="00AA282B"/>
    <w:rsid w:val="00AA2CEA"/>
    <w:rsid w:val="00AA3DC1"/>
    <w:rsid w:val="00AA4092"/>
    <w:rsid w:val="00AA481E"/>
    <w:rsid w:val="00AA4E3E"/>
    <w:rsid w:val="00AA4E88"/>
    <w:rsid w:val="00AA5497"/>
    <w:rsid w:val="00AA67D6"/>
    <w:rsid w:val="00AA7104"/>
    <w:rsid w:val="00AA71FF"/>
    <w:rsid w:val="00AA74D3"/>
    <w:rsid w:val="00AA76A4"/>
    <w:rsid w:val="00AB070E"/>
    <w:rsid w:val="00AB0FB2"/>
    <w:rsid w:val="00AB12DE"/>
    <w:rsid w:val="00AB1742"/>
    <w:rsid w:val="00AB1D96"/>
    <w:rsid w:val="00AB2290"/>
    <w:rsid w:val="00AB2BCE"/>
    <w:rsid w:val="00AB51DD"/>
    <w:rsid w:val="00AB590A"/>
    <w:rsid w:val="00AB5BDA"/>
    <w:rsid w:val="00AB5DA8"/>
    <w:rsid w:val="00AB5FD8"/>
    <w:rsid w:val="00AB609F"/>
    <w:rsid w:val="00AB6261"/>
    <w:rsid w:val="00AB667F"/>
    <w:rsid w:val="00AB689C"/>
    <w:rsid w:val="00AB6B9F"/>
    <w:rsid w:val="00AB6F5F"/>
    <w:rsid w:val="00AB6FEC"/>
    <w:rsid w:val="00AB752F"/>
    <w:rsid w:val="00AC0E9A"/>
    <w:rsid w:val="00AC1480"/>
    <w:rsid w:val="00AC1ECB"/>
    <w:rsid w:val="00AC2BCD"/>
    <w:rsid w:val="00AC2FB2"/>
    <w:rsid w:val="00AC32BC"/>
    <w:rsid w:val="00AC34EC"/>
    <w:rsid w:val="00AC39CE"/>
    <w:rsid w:val="00AC3ADB"/>
    <w:rsid w:val="00AC42C7"/>
    <w:rsid w:val="00AC4FC1"/>
    <w:rsid w:val="00AC51FC"/>
    <w:rsid w:val="00AC6951"/>
    <w:rsid w:val="00AC7500"/>
    <w:rsid w:val="00AC7721"/>
    <w:rsid w:val="00AD1346"/>
    <w:rsid w:val="00AD230F"/>
    <w:rsid w:val="00AD23AB"/>
    <w:rsid w:val="00AD23D0"/>
    <w:rsid w:val="00AD2C68"/>
    <w:rsid w:val="00AD325C"/>
    <w:rsid w:val="00AD3A04"/>
    <w:rsid w:val="00AD3DD8"/>
    <w:rsid w:val="00AD46CA"/>
    <w:rsid w:val="00AD4E5B"/>
    <w:rsid w:val="00AD52C9"/>
    <w:rsid w:val="00AD5A16"/>
    <w:rsid w:val="00AD5A82"/>
    <w:rsid w:val="00AD5E4D"/>
    <w:rsid w:val="00AD7E1C"/>
    <w:rsid w:val="00AE02E4"/>
    <w:rsid w:val="00AE0381"/>
    <w:rsid w:val="00AE053F"/>
    <w:rsid w:val="00AE090E"/>
    <w:rsid w:val="00AE0FE1"/>
    <w:rsid w:val="00AE1349"/>
    <w:rsid w:val="00AE1628"/>
    <w:rsid w:val="00AE22CC"/>
    <w:rsid w:val="00AE2BF1"/>
    <w:rsid w:val="00AE370E"/>
    <w:rsid w:val="00AE398B"/>
    <w:rsid w:val="00AE4582"/>
    <w:rsid w:val="00AE4F34"/>
    <w:rsid w:val="00AE5B52"/>
    <w:rsid w:val="00AE5BD2"/>
    <w:rsid w:val="00AE5E45"/>
    <w:rsid w:val="00AE5E92"/>
    <w:rsid w:val="00AE6401"/>
    <w:rsid w:val="00AE643D"/>
    <w:rsid w:val="00AE79C7"/>
    <w:rsid w:val="00AE7AD3"/>
    <w:rsid w:val="00AF0828"/>
    <w:rsid w:val="00AF0E6B"/>
    <w:rsid w:val="00AF1152"/>
    <w:rsid w:val="00AF1488"/>
    <w:rsid w:val="00AF1506"/>
    <w:rsid w:val="00AF16F2"/>
    <w:rsid w:val="00AF1A6F"/>
    <w:rsid w:val="00AF25F8"/>
    <w:rsid w:val="00AF267A"/>
    <w:rsid w:val="00AF2D47"/>
    <w:rsid w:val="00AF3252"/>
    <w:rsid w:val="00AF4A02"/>
    <w:rsid w:val="00AF5A73"/>
    <w:rsid w:val="00AF612E"/>
    <w:rsid w:val="00AF613A"/>
    <w:rsid w:val="00AF6269"/>
    <w:rsid w:val="00B004CC"/>
    <w:rsid w:val="00B01200"/>
    <w:rsid w:val="00B014B3"/>
    <w:rsid w:val="00B015E1"/>
    <w:rsid w:val="00B018F8"/>
    <w:rsid w:val="00B01C11"/>
    <w:rsid w:val="00B033E1"/>
    <w:rsid w:val="00B03B78"/>
    <w:rsid w:val="00B0451C"/>
    <w:rsid w:val="00B04FBB"/>
    <w:rsid w:val="00B05F1F"/>
    <w:rsid w:val="00B06349"/>
    <w:rsid w:val="00B06727"/>
    <w:rsid w:val="00B06BB8"/>
    <w:rsid w:val="00B074B1"/>
    <w:rsid w:val="00B07580"/>
    <w:rsid w:val="00B102AC"/>
    <w:rsid w:val="00B1092D"/>
    <w:rsid w:val="00B10D95"/>
    <w:rsid w:val="00B10DE2"/>
    <w:rsid w:val="00B11930"/>
    <w:rsid w:val="00B11D62"/>
    <w:rsid w:val="00B1271B"/>
    <w:rsid w:val="00B12863"/>
    <w:rsid w:val="00B13413"/>
    <w:rsid w:val="00B1347B"/>
    <w:rsid w:val="00B135AA"/>
    <w:rsid w:val="00B135DE"/>
    <w:rsid w:val="00B13F57"/>
    <w:rsid w:val="00B141FE"/>
    <w:rsid w:val="00B14D15"/>
    <w:rsid w:val="00B14F1F"/>
    <w:rsid w:val="00B153D0"/>
    <w:rsid w:val="00B15A2D"/>
    <w:rsid w:val="00B16106"/>
    <w:rsid w:val="00B167EB"/>
    <w:rsid w:val="00B169BC"/>
    <w:rsid w:val="00B20D31"/>
    <w:rsid w:val="00B21236"/>
    <w:rsid w:val="00B213BB"/>
    <w:rsid w:val="00B217EB"/>
    <w:rsid w:val="00B21CC0"/>
    <w:rsid w:val="00B21DD5"/>
    <w:rsid w:val="00B21FA7"/>
    <w:rsid w:val="00B22178"/>
    <w:rsid w:val="00B2294B"/>
    <w:rsid w:val="00B229B9"/>
    <w:rsid w:val="00B22CDA"/>
    <w:rsid w:val="00B22DE4"/>
    <w:rsid w:val="00B22FED"/>
    <w:rsid w:val="00B24D0B"/>
    <w:rsid w:val="00B24FCB"/>
    <w:rsid w:val="00B255FF"/>
    <w:rsid w:val="00B25D64"/>
    <w:rsid w:val="00B25DE1"/>
    <w:rsid w:val="00B26B4A"/>
    <w:rsid w:val="00B26CE1"/>
    <w:rsid w:val="00B26D8B"/>
    <w:rsid w:val="00B27707"/>
    <w:rsid w:val="00B306E5"/>
    <w:rsid w:val="00B30854"/>
    <w:rsid w:val="00B31195"/>
    <w:rsid w:val="00B31982"/>
    <w:rsid w:val="00B322CC"/>
    <w:rsid w:val="00B32386"/>
    <w:rsid w:val="00B32D73"/>
    <w:rsid w:val="00B32EEA"/>
    <w:rsid w:val="00B3319D"/>
    <w:rsid w:val="00B33206"/>
    <w:rsid w:val="00B33379"/>
    <w:rsid w:val="00B3388D"/>
    <w:rsid w:val="00B34615"/>
    <w:rsid w:val="00B346CB"/>
    <w:rsid w:val="00B34B3F"/>
    <w:rsid w:val="00B35A5A"/>
    <w:rsid w:val="00B36015"/>
    <w:rsid w:val="00B36A30"/>
    <w:rsid w:val="00B36F87"/>
    <w:rsid w:val="00B37C2E"/>
    <w:rsid w:val="00B40596"/>
    <w:rsid w:val="00B40940"/>
    <w:rsid w:val="00B40978"/>
    <w:rsid w:val="00B40AF3"/>
    <w:rsid w:val="00B40AF4"/>
    <w:rsid w:val="00B40C15"/>
    <w:rsid w:val="00B41B82"/>
    <w:rsid w:val="00B41F2D"/>
    <w:rsid w:val="00B4215C"/>
    <w:rsid w:val="00B42282"/>
    <w:rsid w:val="00B427EE"/>
    <w:rsid w:val="00B44954"/>
    <w:rsid w:val="00B45962"/>
    <w:rsid w:val="00B45CB8"/>
    <w:rsid w:val="00B46000"/>
    <w:rsid w:val="00B46DDB"/>
    <w:rsid w:val="00B471A2"/>
    <w:rsid w:val="00B47387"/>
    <w:rsid w:val="00B477C0"/>
    <w:rsid w:val="00B47E3E"/>
    <w:rsid w:val="00B50061"/>
    <w:rsid w:val="00B50958"/>
    <w:rsid w:val="00B50CFF"/>
    <w:rsid w:val="00B5142C"/>
    <w:rsid w:val="00B51828"/>
    <w:rsid w:val="00B51AD3"/>
    <w:rsid w:val="00B525C2"/>
    <w:rsid w:val="00B52619"/>
    <w:rsid w:val="00B52756"/>
    <w:rsid w:val="00B530EC"/>
    <w:rsid w:val="00B53724"/>
    <w:rsid w:val="00B53DB4"/>
    <w:rsid w:val="00B53E45"/>
    <w:rsid w:val="00B53F5B"/>
    <w:rsid w:val="00B567F6"/>
    <w:rsid w:val="00B56D43"/>
    <w:rsid w:val="00B60704"/>
    <w:rsid w:val="00B6166A"/>
    <w:rsid w:val="00B61E84"/>
    <w:rsid w:val="00B62261"/>
    <w:rsid w:val="00B625EC"/>
    <w:rsid w:val="00B63DB5"/>
    <w:rsid w:val="00B6439F"/>
    <w:rsid w:val="00B64514"/>
    <w:rsid w:val="00B655A6"/>
    <w:rsid w:val="00B658CF"/>
    <w:rsid w:val="00B65D7E"/>
    <w:rsid w:val="00B66D87"/>
    <w:rsid w:val="00B702F9"/>
    <w:rsid w:val="00B7139E"/>
    <w:rsid w:val="00B71CE8"/>
    <w:rsid w:val="00B74870"/>
    <w:rsid w:val="00B74AB4"/>
    <w:rsid w:val="00B74C2D"/>
    <w:rsid w:val="00B76436"/>
    <w:rsid w:val="00B76450"/>
    <w:rsid w:val="00B765A7"/>
    <w:rsid w:val="00B770FF"/>
    <w:rsid w:val="00B77737"/>
    <w:rsid w:val="00B777A2"/>
    <w:rsid w:val="00B779E3"/>
    <w:rsid w:val="00B77A09"/>
    <w:rsid w:val="00B8023A"/>
    <w:rsid w:val="00B81117"/>
    <w:rsid w:val="00B8153E"/>
    <w:rsid w:val="00B821EE"/>
    <w:rsid w:val="00B829D2"/>
    <w:rsid w:val="00B82AFA"/>
    <w:rsid w:val="00B82D3A"/>
    <w:rsid w:val="00B8420A"/>
    <w:rsid w:val="00B8458C"/>
    <w:rsid w:val="00B85304"/>
    <w:rsid w:val="00B858AE"/>
    <w:rsid w:val="00B858CC"/>
    <w:rsid w:val="00B86C55"/>
    <w:rsid w:val="00B874B9"/>
    <w:rsid w:val="00B907A2"/>
    <w:rsid w:val="00B909CE"/>
    <w:rsid w:val="00B9160F"/>
    <w:rsid w:val="00B9233C"/>
    <w:rsid w:val="00B92AF8"/>
    <w:rsid w:val="00B932A6"/>
    <w:rsid w:val="00B93DA0"/>
    <w:rsid w:val="00B93F56"/>
    <w:rsid w:val="00B94505"/>
    <w:rsid w:val="00B9452A"/>
    <w:rsid w:val="00B95244"/>
    <w:rsid w:val="00B96CF9"/>
    <w:rsid w:val="00B972CC"/>
    <w:rsid w:val="00B973E5"/>
    <w:rsid w:val="00B9750D"/>
    <w:rsid w:val="00B97A7A"/>
    <w:rsid w:val="00BA077A"/>
    <w:rsid w:val="00BA17AA"/>
    <w:rsid w:val="00BA19A2"/>
    <w:rsid w:val="00BA1B55"/>
    <w:rsid w:val="00BA339E"/>
    <w:rsid w:val="00BA344C"/>
    <w:rsid w:val="00BA3E4E"/>
    <w:rsid w:val="00BA51C4"/>
    <w:rsid w:val="00BA52E4"/>
    <w:rsid w:val="00BA5499"/>
    <w:rsid w:val="00BA58E2"/>
    <w:rsid w:val="00BA5AD2"/>
    <w:rsid w:val="00BA64B8"/>
    <w:rsid w:val="00BA67F9"/>
    <w:rsid w:val="00BA6AAA"/>
    <w:rsid w:val="00BA7709"/>
    <w:rsid w:val="00BB0936"/>
    <w:rsid w:val="00BB0C99"/>
    <w:rsid w:val="00BB170E"/>
    <w:rsid w:val="00BB1943"/>
    <w:rsid w:val="00BB27B7"/>
    <w:rsid w:val="00BB3733"/>
    <w:rsid w:val="00BB3F1B"/>
    <w:rsid w:val="00BB4097"/>
    <w:rsid w:val="00BB442D"/>
    <w:rsid w:val="00BB474D"/>
    <w:rsid w:val="00BB49BB"/>
    <w:rsid w:val="00BB6697"/>
    <w:rsid w:val="00BB68BB"/>
    <w:rsid w:val="00BB6D14"/>
    <w:rsid w:val="00BB79C7"/>
    <w:rsid w:val="00BC0894"/>
    <w:rsid w:val="00BC2473"/>
    <w:rsid w:val="00BC2776"/>
    <w:rsid w:val="00BC2D36"/>
    <w:rsid w:val="00BC3A02"/>
    <w:rsid w:val="00BC3A86"/>
    <w:rsid w:val="00BC3E52"/>
    <w:rsid w:val="00BC61B4"/>
    <w:rsid w:val="00BC6614"/>
    <w:rsid w:val="00BC67FA"/>
    <w:rsid w:val="00BC68BD"/>
    <w:rsid w:val="00BC6B9A"/>
    <w:rsid w:val="00BD0A9A"/>
    <w:rsid w:val="00BD1B66"/>
    <w:rsid w:val="00BD211F"/>
    <w:rsid w:val="00BD218F"/>
    <w:rsid w:val="00BD25AD"/>
    <w:rsid w:val="00BD29C9"/>
    <w:rsid w:val="00BD355C"/>
    <w:rsid w:val="00BD3626"/>
    <w:rsid w:val="00BD3AEF"/>
    <w:rsid w:val="00BD415D"/>
    <w:rsid w:val="00BD4A5E"/>
    <w:rsid w:val="00BD4F32"/>
    <w:rsid w:val="00BD50E2"/>
    <w:rsid w:val="00BD5287"/>
    <w:rsid w:val="00BD55C5"/>
    <w:rsid w:val="00BD591F"/>
    <w:rsid w:val="00BD6095"/>
    <w:rsid w:val="00BD62E9"/>
    <w:rsid w:val="00BD6354"/>
    <w:rsid w:val="00BD67F4"/>
    <w:rsid w:val="00BD73BB"/>
    <w:rsid w:val="00BD78FB"/>
    <w:rsid w:val="00BE1B67"/>
    <w:rsid w:val="00BE2374"/>
    <w:rsid w:val="00BE301E"/>
    <w:rsid w:val="00BE305A"/>
    <w:rsid w:val="00BE35F6"/>
    <w:rsid w:val="00BE36F4"/>
    <w:rsid w:val="00BE3ABD"/>
    <w:rsid w:val="00BE3DA0"/>
    <w:rsid w:val="00BE4053"/>
    <w:rsid w:val="00BE4BB7"/>
    <w:rsid w:val="00BE627C"/>
    <w:rsid w:val="00BE685C"/>
    <w:rsid w:val="00BE6F69"/>
    <w:rsid w:val="00BE7698"/>
    <w:rsid w:val="00BE7935"/>
    <w:rsid w:val="00BF01B2"/>
    <w:rsid w:val="00BF092E"/>
    <w:rsid w:val="00BF1691"/>
    <w:rsid w:val="00BF2B9B"/>
    <w:rsid w:val="00BF35CE"/>
    <w:rsid w:val="00BF469D"/>
    <w:rsid w:val="00BF4E4A"/>
    <w:rsid w:val="00BF502A"/>
    <w:rsid w:val="00BF5A57"/>
    <w:rsid w:val="00BF5DE2"/>
    <w:rsid w:val="00BF716D"/>
    <w:rsid w:val="00BF77AA"/>
    <w:rsid w:val="00C000E8"/>
    <w:rsid w:val="00C003CF"/>
    <w:rsid w:val="00C01504"/>
    <w:rsid w:val="00C01AA4"/>
    <w:rsid w:val="00C01AE9"/>
    <w:rsid w:val="00C01CEB"/>
    <w:rsid w:val="00C01D4C"/>
    <w:rsid w:val="00C02093"/>
    <w:rsid w:val="00C02D05"/>
    <w:rsid w:val="00C02D5B"/>
    <w:rsid w:val="00C03F08"/>
    <w:rsid w:val="00C05634"/>
    <w:rsid w:val="00C06DCE"/>
    <w:rsid w:val="00C0792A"/>
    <w:rsid w:val="00C07F83"/>
    <w:rsid w:val="00C1028A"/>
    <w:rsid w:val="00C102F8"/>
    <w:rsid w:val="00C1099F"/>
    <w:rsid w:val="00C11728"/>
    <w:rsid w:val="00C12005"/>
    <w:rsid w:val="00C12026"/>
    <w:rsid w:val="00C12133"/>
    <w:rsid w:val="00C126E2"/>
    <w:rsid w:val="00C13900"/>
    <w:rsid w:val="00C147CA"/>
    <w:rsid w:val="00C1517A"/>
    <w:rsid w:val="00C1566C"/>
    <w:rsid w:val="00C1644C"/>
    <w:rsid w:val="00C16951"/>
    <w:rsid w:val="00C17323"/>
    <w:rsid w:val="00C17AF5"/>
    <w:rsid w:val="00C17E77"/>
    <w:rsid w:val="00C20AA3"/>
    <w:rsid w:val="00C2191B"/>
    <w:rsid w:val="00C22094"/>
    <w:rsid w:val="00C2258A"/>
    <w:rsid w:val="00C22BCE"/>
    <w:rsid w:val="00C24064"/>
    <w:rsid w:val="00C244C3"/>
    <w:rsid w:val="00C248C3"/>
    <w:rsid w:val="00C248CA"/>
    <w:rsid w:val="00C24BEB"/>
    <w:rsid w:val="00C24C1A"/>
    <w:rsid w:val="00C25075"/>
    <w:rsid w:val="00C25953"/>
    <w:rsid w:val="00C264E1"/>
    <w:rsid w:val="00C27077"/>
    <w:rsid w:val="00C27243"/>
    <w:rsid w:val="00C274E5"/>
    <w:rsid w:val="00C275A4"/>
    <w:rsid w:val="00C30500"/>
    <w:rsid w:val="00C30EC7"/>
    <w:rsid w:val="00C30F68"/>
    <w:rsid w:val="00C31B01"/>
    <w:rsid w:val="00C31C20"/>
    <w:rsid w:val="00C324E2"/>
    <w:rsid w:val="00C32561"/>
    <w:rsid w:val="00C337B6"/>
    <w:rsid w:val="00C33F28"/>
    <w:rsid w:val="00C342C4"/>
    <w:rsid w:val="00C346AB"/>
    <w:rsid w:val="00C34D16"/>
    <w:rsid w:val="00C35580"/>
    <w:rsid w:val="00C35BDD"/>
    <w:rsid w:val="00C3679D"/>
    <w:rsid w:val="00C36CC5"/>
    <w:rsid w:val="00C37A77"/>
    <w:rsid w:val="00C37D5E"/>
    <w:rsid w:val="00C40430"/>
    <w:rsid w:val="00C41CF7"/>
    <w:rsid w:val="00C42C11"/>
    <w:rsid w:val="00C43283"/>
    <w:rsid w:val="00C44233"/>
    <w:rsid w:val="00C44B12"/>
    <w:rsid w:val="00C44FAC"/>
    <w:rsid w:val="00C45688"/>
    <w:rsid w:val="00C465B0"/>
    <w:rsid w:val="00C466C1"/>
    <w:rsid w:val="00C46CBD"/>
    <w:rsid w:val="00C46F38"/>
    <w:rsid w:val="00C4737C"/>
    <w:rsid w:val="00C50DA6"/>
    <w:rsid w:val="00C51B39"/>
    <w:rsid w:val="00C52748"/>
    <w:rsid w:val="00C52A7F"/>
    <w:rsid w:val="00C52E49"/>
    <w:rsid w:val="00C52FAB"/>
    <w:rsid w:val="00C54083"/>
    <w:rsid w:val="00C54836"/>
    <w:rsid w:val="00C551FE"/>
    <w:rsid w:val="00C5542D"/>
    <w:rsid w:val="00C55619"/>
    <w:rsid w:val="00C5598D"/>
    <w:rsid w:val="00C55BB2"/>
    <w:rsid w:val="00C55FD1"/>
    <w:rsid w:val="00C565E0"/>
    <w:rsid w:val="00C5776D"/>
    <w:rsid w:val="00C60629"/>
    <w:rsid w:val="00C61172"/>
    <w:rsid w:val="00C614B4"/>
    <w:rsid w:val="00C61BA2"/>
    <w:rsid w:val="00C62471"/>
    <w:rsid w:val="00C628BD"/>
    <w:rsid w:val="00C62B90"/>
    <w:rsid w:val="00C62F41"/>
    <w:rsid w:val="00C63D06"/>
    <w:rsid w:val="00C646A1"/>
    <w:rsid w:val="00C65416"/>
    <w:rsid w:val="00C659F0"/>
    <w:rsid w:val="00C65A9A"/>
    <w:rsid w:val="00C65F8D"/>
    <w:rsid w:val="00C66162"/>
    <w:rsid w:val="00C66B57"/>
    <w:rsid w:val="00C6773C"/>
    <w:rsid w:val="00C67C43"/>
    <w:rsid w:val="00C70B02"/>
    <w:rsid w:val="00C70BA7"/>
    <w:rsid w:val="00C70E02"/>
    <w:rsid w:val="00C710ED"/>
    <w:rsid w:val="00C713EE"/>
    <w:rsid w:val="00C715FA"/>
    <w:rsid w:val="00C72486"/>
    <w:rsid w:val="00C72CA0"/>
    <w:rsid w:val="00C7366F"/>
    <w:rsid w:val="00C73F0C"/>
    <w:rsid w:val="00C7459B"/>
    <w:rsid w:val="00C80170"/>
    <w:rsid w:val="00C80B24"/>
    <w:rsid w:val="00C810FC"/>
    <w:rsid w:val="00C8179E"/>
    <w:rsid w:val="00C81C1D"/>
    <w:rsid w:val="00C81D7D"/>
    <w:rsid w:val="00C82037"/>
    <w:rsid w:val="00C82240"/>
    <w:rsid w:val="00C833D6"/>
    <w:rsid w:val="00C83DAA"/>
    <w:rsid w:val="00C840F8"/>
    <w:rsid w:val="00C84317"/>
    <w:rsid w:val="00C84C24"/>
    <w:rsid w:val="00C8520A"/>
    <w:rsid w:val="00C85842"/>
    <w:rsid w:val="00C85F1E"/>
    <w:rsid w:val="00C8603E"/>
    <w:rsid w:val="00C86B9F"/>
    <w:rsid w:val="00C86F3B"/>
    <w:rsid w:val="00C874F9"/>
    <w:rsid w:val="00C9109F"/>
    <w:rsid w:val="00C91278"/>
    <w:rsid w:val="00C91EE2"/>
    <w:rsid w:val="00C92D3B"/>
    <w:rsid w:val="00C93091"/>
    <w:rsid w:val="00C933FD"/>
    <w:rsid w:val="00C935DA"/>
    <w:rsid w:val="00C94921"/>
    <w:rsid w:val="00C9520B"/>
    <w:rsid w:val="00C9529B"/>
    <w:rsid w:val="00C96008"/>
    <w:rsid w:val="00C96AD0"/>
    <w:rsid w:val="00C97221"/>
    <w:rsid w:val="00CA0389"/>
    <w:rsid w:val="00CA13CA"/>
    <w:rsid w:val="00CA1530"/>
    <w:rsid w:val="00CA19CB"/>
    <w:rsid w:val="00CA2EA3"/>
    <w:rsid w:val="00CA368D"/>
    <w:rsid w:val="00CA6020"/>
    <w:rsid w:val="00CA6AFC"/>
    <w:rsid w:val="00CA6CCF"/>
    <w:rsid w:val="00CA7740"/>
    <w:rsid w:val="00CA7A2D"/>
    <w:rsid w:val="00CA7EEA"/>
    <w:rsid w:val="00CB0676"/>
    <w:rsid w:val="00CB092E"/>
    <w:rsid w:val="00CB1815"/>
    <w:rsid w:val="00CB2641"/>
    <w:rsid w:val="00CB2803"/>
    <w:rsid w:val="00CB2A43"/>
    <w:rsid w:val="00CB2A52"/>
    <w:rsid w:val="00CB2D87"/>
    <w:rsid w:val="00CB38BD"/>
    <w:rsid w:val="00CB39D9"/>
    <w:rsid w:val="00CB4358"/>
    <w:rsid w:val="00CB447D"/>
    <w:rsid w:val="00CB4AE7"/>
    <w:rsid w:val="00CB55EA"/>
    <w:rsid w:val="00CB5816"/>
    <w:rsid w:val="00CB5A22"/>
    <w:rsid w:val="00CB67EC"/>
    <w:rsid w:val="00CB6FE4"/>
    <w:rsid w:val="00CB73B1"/>
    <w:rsid w:val="00CB7AB1"/>
    <w:rsid w:val="00CB7ACF"/>
    <w:rsid w:val="00CC06B0"/>
    <w:rsid w:val="00CC280B"/>
    <w:rsid w:val="00CC35E0"/>
    <w:rsid w:val="00CC3782"/>
    <w:rsid w:val="00CC37F1"/>
    <w:rsid w:val="00CC3898"/>
    <w:rsid w:val="00CC402F"/>
    <w:rsid w:val="00CC46D3"/>
    <w:rsid w:val="00CC4FEB"/>
    <w:rsid w:val="00CC7394"/>
    <w:rsid w:val="00CC7580"/>
    <w:rsid w:val="00CC76B0"/>
    <w:rsid w:val="00CC795E"/>
    <w:rsid w:val="00CC7E08"/>
    <w:rsid w:val="00CD0A00"/>
    <w:rsid w:val="00CD0D05"/>
    <w:rsid w:val="00CD0FFF"/>
    <w:rsid w:val="00CD1340"/>
    <w:rsid w:val="00CD2ABB"/>
    <w:rsid w:val="00CD2DE6"/>
    <w:rsid w:val="00CD3D87"/>
    <w:rsid w:val="00CD44FC"/>
    <w:rsid w:val="00CD5547"/>
    <w:rsid w:val="00CD5CA5"/>
    <w:rsid w:val="00CD61DC"/>
    <w:rsid w:val="00CD6952"/>
    <w:rsid w:val="00CD72A6"/>
    <w:rsid w:val="00CD7E71"/>
    <w:rsid w:val="00CE03B1"/>
    <w:rsid w:val="00CE075E"/>
    <w:rsid w:val="00CE111E"/>
    <w:rsid w:val="00CE11DA"/>
    <w:rsid w:val="00CE13A2"/>
    <w:rsid w:val="00CE1512"/>
    <w:rsid w:val="00CE1611"/>
    <w:rsid w:val="00CE1717"/>
    <w:rsid w:val="00CE18F9"/>
    <w:rsid w:val="00CE2349"/>
    <w:rsid w:val="00CE2AAA"/>
    <w:rsid w:val="00CE36CF"/>
    <w:rsid w:val="00CE3F42"/>
    <w:rsid w:val="00CE3F96"/>
    <w:rsid w:val="00CE4D64"/>
    <w:rsid w:val="00CE503F"/>
    <w:rsid w:val="00CE53C3"/>
    <w:rsid w:val="00CE6CEC"/>
    <w:rsid w:val="00CE7841"/>
    <w:rsid w:val="00CE7CB5"/>
    <w:rsid w:val="00CF012B"/>
    <w:rsid w:val="00CF042A"/>
    <w:rsid w:val="00CF0CCD"/>
    <w:rsid w:val="00CF0D07"/>
    <w:rsid w:val="00CF0D9B"/>
    <w:rsid w:val="00CF1187"/>
    <w:rsid w:val="00CF1705"/>
    <w:rsid w:val="00CF20A0"/>
    <w:rsid w:val="00CF22BE"/>
    <w:rsid w:val="00CF2AA9"/>
    <w:rsid w:val="00CF2F8F"/>
    <w:rsid w:val="00CF6828"/>
    <w:rsid w:val="00CF68E6"/>
    <w:rsid w:val="00CF6DBC"/>
    <w:rsid w:val="00CF73AD"/>
    <w:rsid w:val="00D00A66"/>
    <w:rsid w:val="00D011B1"/>
    <w:rsid w:val="00D02EA3"/>
    <w:rsid w:val="00D03756"/>
    <w:rsid w:val="00D0396D"/>
    <w:rsid w:val="00D03B74"/>
    <w:rsid w:val="00D03BBA"/>
    <w:rsid w:val="00D03EE0"/>
    <w:rsid w:val="00D04000"/>
    <w:rsid w:val="00D0492E"/>
    <w:rsid w:val="00D04ABC"/>
    <w:rsid w:val="00D04B4A"/>
    <w:rsid w:val="00D05703"/>
    <w:rsid w:val="00D05AF0"/>
    <w:rsid w:val="00D05FB6"/>
    <w:rsid w:val="00D06068"/>
    <w:rsid w:val="00D068E6"/>
    <w:rsid w:val="00D073A5"/>
    <w:rsid w:val="00D07B6A"/>
    <w:rsid w:val="00D104E1"/>
    <w:rsid w:val="00D106C4"/>
    <w:rsid w:val="00D115ED"/>
    <w:rsid w:val="00D11945"/>
    <w:rsid w:val="00D11A8C"/>
    <w:rsid w:val="00D1228D"/>
    <w:rsid w:val="00D123AF"/>
    <w:rsid w:val="00D125A2"/>
    <w:rsid w:val="00D13A5F"/>
    <w:rsid w:val="00D13C3B"/>
    <w:rsid w:val="00D141DE"/>
    <w:rsid w:val="00D147D0"/>
    <w:rsid w:val="00D1493F"/>
    <w:rsid w:val="00D1516D"/>
    <w:rsid w:val="00D156B9"/>
    <w:rsid w:val="00D16432"/>
    <w:rsid w:val="00D168DB"/>
    <w:rsid w:val="00D16A34"/>
    <w:rsid w:val="00D16B45"/>
    <w:rsid w:val="00D17E47"/>
    <w:rsid w:val="00D2103B"/>
    <w:rsid w:val="00D21326"/>
    <w:rsid w:val="00D21590"/>
    <w:rsid w:val="00D21977"/>
    <w:rsid w:val="00D2227A"/>
    <w:rsid w:val="00D222E5"/>
    <w:rsid w:val="00D22B4F"/>
    <w:rsid w:val="00D22D65"/>
    <w:rsid w:val="00D235A7"/>
    <w:rsid w:val="00D23E73"/>
    <w:rsid w:val="00D23F21"/>
    <w:rsid w:val="00D245EB"/>
    <w:rsid w:val="00D24960"/>
    <w:rsid w:val="00D25081"/>
    <w:rsid w:val="00D255D6"/>
    <w:rsid w:val="00D264FC"/>
    <w:rsid w:val="00D26505"/>
    <w:rsid w:val="00D26A34"/>
    <w:rsid w:val="00D276DC"/>
    <w:rsid w:val="00D27A0B"/>
    <w:rsid w:val="00D27C15"/>
    <w:rsid w:val="00D30565"/>
    <w:rsid w:val="00D30583"/>
    <w:rsid w:val="00D30629"/>
    <w:rsid w:val="00D30ACE"/>
    <w:rsid w:val="00D30D79"/>
    <w:rsid w:val="00D3160E"/>
    <w:rsid w:val="00D3184F"/>
    <w:rsid w:val="00D31DC2"/>
    <w:rsid w:val="00D31E0B"/>
    <w:rsid w:val="00D328FC"/>
    <w:rsid w:val="00D329FD"/>
    <w:rsid w:val="00D33DBA"/>
    <w:rsid w:val="00D347E0"/>
    <w:rsid w:val="00D34A17"/>
    <w:rsid w:val="00D34AFF"/>
    <w:rsid w:val="00D3543D"/>
    <w:rsid w:val="00D3578E"/>
    <w:rsid w:val="00D36642"/>
    <w:rsid w:val="00D369B4"/>
    <w:rsid w:val="00D37478"/>
    <w:rsid w:val="00D37A53"/>
    <w:rsid w:val="00D40483"/>
    <w:rsid w:val="00D4066B"/>
    <w:rsid w:val="00D40C92"/>
    <w:rsid w:val="00D40EF1"/>
    <w:rsid w:val="00D4114E"/>
    <w:rsid w:val="00D4127D"/>
    <w:rsid w:val="00D4160C"/>
    <w:rsid w:val="00D41669"/>
    <w:rsid w:val="00D4226F"/>
    <w:rsid w:val="00D42731"/>
    <w:rsid w:val="00D427A2"/>
    <w:rsid w:val="00D428DC"/>
    <w:rsid w:val="00D42F3A"/>
    <w:rsid w:val="00D430CF"/>
    <w:rsid w:val="00D430EF"/>
    <w:rsid w:val="00D435E7"/>
    <w:rsid w:val="00D45117"/>
    <w:rsid w:val="00D4592F"/>
    <w:rsid w:val="00D45D3B"/>
    <w:rsid w:val="00D468B9"/>
    <w:rsid w:val="00D46EDB"/>
    <w:rsid w:val="00D47894"/>
    <w:rsid w:val="00D47DC0"/>
    <w:rsid w:val="00D52070"/>
    <w:rsid w:val="00D5233D"/>
    <w:rsid w:val="00D52395"/>
    <w:rsid w:val="00D52602"/>
    <w:rsid w:val="00D5338E"/>
    <w:rsid w:val="00D54138"/>
    <w:rsid w:val="00D54323"/>
    <w:rsid w:val="00D548F9"/>
    <w:rsid w:val="00D553FB"/>
    <w:rsid w:val="00D55943"/>
    <w:rsid w:val="00D56640"/>
    <w:rsid w:val="00D566FA"/>
    <w:rsid w:val="00D57C63"/>
    <w:rsid w:val="00D6047A"/>
    <w:rsid w:val="00D60566"/>
    <w:rsid w:val="00D60AAB"/>
    <w:rsid w:val="00D60C81"/>
    <w:rsid w:val="00D620AB"/>
    <w:rsid w:val="00D6262F"/>
    <w:rsid w:val="00D64D7C"/>
    <w:rsid w:val="00D651E7"/>
    <w:rsid w:val="00D65293"/>
    <w:rsid w:val="00D6545C"/>
    <w:rsid w:val="00D656EA"/>
    <w:rsid w:val="00D657F8"/>
    <w:rsid w:val="00D65A65"/>
    <w:rsid w:val="00D65F4B"/>
    <w:rsid w:val="00D66600"/>
    <w:rsid w:val="00D667BF"/>
    <w:rsid w:val="00D72304"/>
    <w:rsid w:val="00D72A82"/>
    <w:rsid w:val="00D72EFA"/>
    <w:rsid w:val="00D7365A"/>
    <w:rsid w:val="00D73872"/>
    <w:rsid w:val="00D73A03"/>
    <w:rsid w:val="00D750BB"/>
    <w:rsid w:val="00D7515A"/>
    <w:rsid w:val="00D760F3"/>
    <w:rsid w:val="00D76598"/>
    <w:rsid w:val="00D76997"/>
    <w:rsid w:val="00D76D32"/>
    <w:rsid w:val="00D76F2D"/>
    <w:rsid w:val="00D77335"/>
    <w:rsid w:val="00D77902"/>
    <w:rsid w:val="00D807BF"/>
    <w:rsid w:val="00D82131"/>
    <w:rsid w:val="00D826A7"/>
    <w:rsid w:val="00D834D7"/>
    <w:rsid w:val="00D83A47"/>
    <w:rsid w:val="00D83CBE"/>
    <w:rsid w:val="00D849EA"/>
    <w:rsid w:val="00D84AC3"/>
    <w:rsid w:val="00D854E0"/>
    <w:rsid w:val="00D8568E"/>
    <w:rsid w:val="00D859F5"/>
    <w:rsid w:val="00D86DEF"/>
    <w:rsid w:val="00D8722A"/>
    <w:rsid w:val="00D879C6"/>
    <w:rsid w:val="00D903CC"/>
    <w:rsid w:val="00D90A3B"/>
    <w:rsid w:val="00D917F6"/>
    <w:rsid w:val="00D91ED0"/>
    <w:rsid w:val="00D922A9"/>
    <w:rsid w:val="00D929CD"/>
    <w:rsid w:val="00D92CA4"/>
    <w:rsid w:val="00D93DFA"/>
    <w:rsid w:val="00D94EF7"/>
    <w:rsid w:val="00D9539A"/>
    <w:rsid w:val="00D96348"/>
    <w:rsid w:val="00D966EE"/>
    <w:rsid w:val="00DA02A8"/>
    <w:rsid w:val="00DA07A1"/>
    <w:rsid w:val="00DA0B2C"/>
    <w:rsid w:val="00DA0BAB"/>
    <w:rsid w:val="00DA1243"/>
    <w:rsid w:val="00DA1C78"/>
    <w:rsid w:val="00DA1EF5"/>
    <w:rsid w:val="00DA2BE6"/>
    <w:rsid w:val="00DA2F9E"/>
    <w:rsid w:val="00DA3033"/>
    <w:rsid w:val="00DA3851"/>
    <w:rsid w:val="00DA41D7"/>
    <w:rsid w:val="00DA429D"/>
    <w:rsid w:val="00DA42CB"/>
    <w:rsid w:val="00DA49D1"/>
    <w:rsid w:val="00DA5688"/>
    <w:rsid w:val="00DA5AC3"/>
    <w:rsid w:val="00DA6818"/>
    <w:rsid w:val="00DA6AF8"/>
    <w:rsid w:val="00DA6F86"/>
    <w:rsid w:val="00DA7390"/>
    <w:rsid w:val="00DB1609"/>
    <w:rsid w:val="00DB1F25"/>
    <w:rsid w:val="00DB2158"/>
    <w:rsid w:val="00DB2A28"/>
    <w:rsid w:val="00DB32C8"/>
    <w:rsid w:val="00DB34B2"/>
    <w:rsid w:val="00DB3924"/>
    <w:rsid w:val="00DB4456"/>
    <w:rsid w:val="00DB4762"/>
    <w:rsid w:val="00DB4F66"/>
    <w:rsid w:val="00DB51C2"/>
    <w:rsid w:val="00DB59F8"/>
    <w:rsid w:val="00DB5B4B"/>
    <w:rsid w:val="00DB5D7A"/>
    <w:rsid w:val="00DB5E33"/>
    <w:rsid w:val="00DB5E87"/>
    <w:rsid w:val="00DB5EFA"/>
    <w:rsid w:val="00DB669B"/>
    <w:rsid w:val="00DB698A"/>
    <w:rsid w:val="00DB6E18"/>
    <w:rsid w:val="00DB7238"/>
    <w:rsid w:val="00DB7778"/>
    <w:rsid w:val="00DC00B5"/>
    <w:rsid w:val="00DC0947"/>
    <w:rsid w:val="00DC159D"/>
    <w:rsid w:val="00DC21CD"/>
    <w:rsid w:val="00DC2816"/>
    <w:rsid w:val="00DC303B"/>
    <w:rsid w:val="00DC3989"/>
    <w:rsid w:val="00DC3AC1"/>
    <w:rsid w:val="00DC53B8"/>
    <w:rsid w:val="00DC5B01"/>
    <w:rsid w:val="00DC5B4F"/>
    <w:rsid w:val="00DC6564"/>
    <w:rsid w:val="00DC6C0D"/>
    <w:rsid w:val="00DC7054"/>
    <w:rsid w:val="00DC7232"/>
    <w:rsid w:val="00DC782F"/>
    <w:rsid w:val="00DC7842"/>
    <w:rsid w:val="00DD046B"/>
    <w:rsid w:val="00DD1301"/>
    <w:rsid w:val="00DD13FA"/>
    <w:rsid w:val="00DD180A"/>
    <w:rsid w:val="00DD2B43"/>
    <w:rsid w:val="00DD3172"/>
    <w:rsid w:val="00DD3720"/>
    <w:rsid w:val="00DD3862"/>
    <w:rsid w:val="00DD3B45"/>
    <w:rsid w:val="00DD3D00"/>
    <w:rsid w:val="00DD4060"/>
    <w:rsid w:val="00DD4F17"/>
    <w:rsid w:val="00DD6C4B"/>
    <w:rsid w:val="00DD6DA5"/>
    <w:rsid w:val="00DD7E27"/>
    <w:rsid w:val="00DE01B5"/>
    <w:rsid w:val="00DE0830"/>
    <w:rsid w:val="00DE0A17"/>
    <w:rsid w:val="00DE0DD3"/>
    <w:rsid w:val="00DE1971"/>
    <w:rsid w:val="00DE2783"/>
    <w:rsid w:val="00DE2A1F"/>
    <w:rsid w:val="00DE2F53"/>
    <w:rsid w:val="00DE30A9"/>
    <w:rsid w:val="00DE338A"/>
    <w:rsid w:val="00DE411E"/>
    <w:rsid w:val="00DE417A"/>
    <w:rsid w:val="00DE41BC"/>
    <w:rsid w:val="00DE45E5"/>
    <w:rsid w:val="00DE4CC1"/>
    <w:rsid w:val="00DE62C0"/>
    <w:rsid w:val="00DE6FD4"/>
    <w:rsid w:val="00DE715B"/>
    <w:rsid w:val="00DE766E"/>
    <w:rsid w:val="00DF0465"/>
    <w:rsid w:val="00DF0483"/>
    <w:rsid w:val="00DF1544"/>
    <w:rsid w:val="00DF1821"/>
    <w:rsid w:val="00DF2D00"/>
    <w:rsid w:val="00DF3B79"/>
    <w:rsid w:val="00DF3F90"/>
    <w:rsid w:val="00DF4422"/>
    <w:rsid w:val="00DF4E82"/>
    <w:rsid w:val="00DF5856"/>
    <w:rsid w:val="00DF6141"/>
    <w:rsid w:val="00DF6AED"/>
    <w:rsid w:val="00DF6F89"/>
    <w:rsid w:val="00DF7EE9"/>
    <w:rsid w:val="00E0012B"/>
    <w:rsid w:val="00E003FE"/>
    <w:rsid w:val="00E004A5"/>
    <w:rsid w:val="00E0052D"/>
    <w:rsid w:val="00E00E24"/>
    <w:rsid w:val="00E0134A"/>
    <w:rsid w:val="00E014BC"/>
    <w:rsid w:val="00E022A0"/>
    <w:rsid w:val="00E02D05"/>
    <w:rsid w:val="00E02DC2"/>
    <w:rsid w:val="00E02E29"/>
    <w:rsid w:val="00E030C5"/>
    <w:rsid w:val="00E034F8"/>
    <w:rsid w:val="00E03706"/>
    <w:rsid w:val="00E03A74"/>
    <w:rsid w:val="00E03CFC"/>
    <w:rsid w:val="00E042BE"/>
    <w:rsid w:val="00E048ED"/>
    <w:rsid w:val="00E052BA"/>
    <w:rsid w:val="00E054A3"/>
    <w:rsid w:val="00E0569F"/>
    <w:rsid w:val="00E06243"/>
    <w:rsid w:val="00E06851"/>
    <w:rsid w:val="00E07051"/>
    <w:rsid w:val="00E07346"/>
    <w:rsid w:val="00E07474"/>
    <w:rsid w:val="00E07768"/>
    <w:rsid w:val="00E07E5F"/>
    <w:rsid w:val="00E10010"/>
    <w:rsid w:val="00E1036C"/>
    <w:rsid w:val="00E10885"/>
    <w:rsid w:val="00E12463"/>
    <w:rsid w:val="00E1331E"/>
    <w:rsid w:val="00E13366"/>
    <w:rsid w:val="00E14A21"/>
    <w:rsid w:val="00E14C76"/>
    <w:rsid w:val="00E1622C"/>
    <w:rsid w:val="00E16A88"/>
    <w:rsid w:val="00E16D7C"/>
    <w:rsid w:val="00E16EA9"/>
    <w:rsid w:val="00E17479"/>
    <w:rsid w:val="00E214A5"/>
    <w:rsid w:val="00E21AA3"/>
    <w:rsid w:val="00E2211F"/>
    <w:rsid w:val="00E22E64"/>
    <w:rsid w:val="00E23FC4"/>
    <w:rsid w:val="00E2531C"/>
    <w:rsid w:val="00E2562C"/>
    <w:rsid w:val="00E25671"/>
    <w:rsid w:val="00E25BC0"/>
    <w:rsid w:val="00E25F6B"/>
    <w:rsid w:val="00E26341"/>
    <w:rsid w:val="00E26481"/>
    <w:rsid w:val="00E27436"/>
    <w:rsid w:val="00E27956"/>
    <w:rsid w:val="00E27E40"/>
    <w:rsid w:val="00E307A5"/>
    <w:rsid w:val="00E3088E"/>
    <w:rsid w:val="00E30E0B"/>
    <w:rsid w:val="00E31699"/>
    <w:rsid w:val="00E31DA6"/>
    <w:rsid w:val="00E31EFF"/>
    <w:rsid w:val="00E3203D"/>
    <w:rsid w:val="00E32472"/>
    <w:rsid w:val="00E330B5"/>
    <w:rsid w:val="00E3385B"/>
    <w:rsid w:val="00E338A6"/>
    <w:rsid w:val="00E33A5C"/>
    <w:rsid w:val="00E33BB6"/>
    <w:rsid w:val="00E344AF"/>
    <w:rsid w:val="00E34C9B"/>
    <w:rsid w:val="00E34FD1"/>
    <w:rsid w:val="00E35583"/>
    <w:rsid w:val="00E35E81"/>
    <w:rsid w:val="00E36170"/>
    <w:rsid w:val="00E36543"/>
    <w:rsid w:val="00E37D37"/>
    <w:rsid w:val="00E4035D"/>
    <w:rsid w:val="00E4040E"/>
    <w:rsid w:val="00E40B7C"/>
    <w:rsid w:val="00E4173F"/>
    <w:rsid w:val="00E42F71"/>
    <w:rsid w:val="00E42F97"/>
    <w:rsid w:val="00E42FD8"/>
    <w:rsid w:val="00E436CF"/>
    <w:rsid w:val="00E43E75"/>
    <w:rsid w:val="00E441AA"/>
    <w:rsid w:val="00E44BBD"/>
    <w:rsid w:val="00E44C63"/>
    <w:rsid w:val="00E45BE1"/>
    <w:rsid w:val="00E45F2A"/>
    <w:rsid w:val="00E464DA"/>
    <w:rsid w:val="00E473D5"/>
    <w:rsid w:val="00E50024"/>
    <w:rsid w:val="00E500DE"/>
    <w:rsid w:val="00E5015F"/>
    <w:rsid w:val="00E50E46"/>
    <w:rsid w:val="00E513F5"/>
    <w:rsid w:val="00E51963"/>
    <w:rsid w:val="00E51E45"/>
    <w:rsid w:val="00E52000"/>
    <w:rsid w:val="00E5214A"/>
    <w:rsid w:val="00E52216"/>
    <w:rsid w:val="00E52BC3"/>
    <w:rsid w:val="00E53337"/>
    <w:rsid w:val="00E53789"/>
    <w:rsid w:val="00E53DB9"/>
    <w:rsid w:val="00E5403C"/>
    <w:rsid w:val="00E5463B"/>
    <w:rsid w:val="00E55DB5"/>
    <w:rsid w:val="00E55FDC"/>
    <w:rsid w:val="00E56048"/>
    <w:rsid w:val="00E56FA5"/>
    <w:rsid w:val="00E57900"/>
    <w:rsid w:val="00E57D8B"/>
    <w:rsid w:val="00E60B34"/>
    <w:rsid w:val="00E60E67"/>
    <w:rsid w:val="00E615DA"/>
    <w:rsid w:val="00E624EE"/>
    <w:rsid w:val="00E62DFB"/>
    <w:rsid w:val="00E62E24"/>
    <w:rsid w:val="00E63013"/>
    <w:rsid w:val="00E639C5"/>
    <w:rsid w:val="00E63EC1"/>
    <w:rsid w:val="00E6483D"/>
    <w:rsid w:val="00E64D93"/>
    <w:rsid w:val="00E64F11"/>
    <w:rsid w:val="00E65357"/>
    <w:rsid w:val="00E65437"/>
    <w:rsid w:val="00E65AE3"/>
    <w:rsid w:val="00E666C1"/>
    <w:rsid w:val="00E66A4E"/>
    <w:rsid w:val="00E66CD9"/>
    <w:rsid w:val="00E6729E"/>
    <w:rsid w:val="00E67AD4"/>
    <w:rsid w:val="00E67D5F"/>
    <w:rsid w:val="00E70A63"/>
    <w:rsid w:val="00E71B55"/>
    <w:rsid w:val="00E71F55"/>
    <w:rsid w:val="00E7265C"/>
    <w:rsid w:val="00E72FBC"/>
    <w:rsid w:val="00E7326C"/>
    <w:rsid w:val="00E7380E"/>
    <w:rsid w:val="00E7507F"/>
    <w:rsid w:val="00E768B0"/>
    <w:rsid w:val="00E76D71"/>
    <w:rsid w:val="00E76F90"/>
    <w:rsid w:val="00E77711"/>
    <w:rsid w:val="00E77EF3"/>
    <w:rsid w:val="00E8009B"/>
    <w:rsid w:val="00E80A99"/>
    <w:rsid w:val="00E80B59"/>
    <w:rsid w:val="00E81BF0"/>
    <w:rsid w:val="00E8240F"/>
    <w:rsid w:val="00E82D89"/>
    <w:rsid w:val="00E82E8C"/>
    <w:rsid w:val="00E82EA7"/>
    <w:rsid w:val="00E831EE"/>
    <w:rsid w:val="00E84945"/>
    <w:rsid w:val="00E86334"/>
    <w:rsid w:val="00E86FE0"/>
    <w:rsid w:val="00E90649"/>
    <w:rsid w:val="00E907DE"/>
    <w:rsid w:val="00E9098D"/>
    <w:rsid w:val="00E910F6"/>
    <w:rsid w:val="00E9123C"/>
    <w:rsid w:val="00E91A9D"/>
    <w:rsid w:val="00E92041"/>
    <w:rsid w:val="00E92150"/>
    <w:rsid w:val="00E93FB8"/>
    <w:rsid w:val="00E9417D"/>
    <w:rsid w:val="00E9449F"/>
    <w:rsid w:val="00E944C5"/>
    <w:rsid w:val="00E94F35"/>
    <w:rsid w:val="00E965A9"/>
    <w:rsid w:val="00E967B5"/>
    <w:rsid w:val="00E96BA8"/>
    <w:rsid w:val="00E96CD7"/>
    <w:rsid w:val="00E97765"/>
    <w:rsid w:val="00EA091D"/>
    <w:rsid w:val="00EA1ACA"/>
    <w:rsid w:val="00EA1E43"/>
    <w:rsid w:val="00EA218C"/>
    <w:rsid w:val="00EA2E1B"/>
    <w:rsid w:val="00EA2E8A"/>
    <w:rsid w:val="00EA2EB8"/>
    <w:rsid w:val="00EA47C0"/>
    <w:rsid w:val="00EA4CD3"/>
    <w:rsid w:val="00EA4F8B"/>
    <w:rsid w:val="00EA5605"/>
    <w:rsid w:val="00EA6BBA"/>
    <w:rsid w:val="00EA7A97"/>
    <w:rsid w:val="00EA7C15"/>
    <w:rsid w:val="00EA7D50"/>
    <w:rsid w:val="00EB0536"/>
    <w:rsid w:val="00EB16D8"/>
    <w:rsid w:val="00EB1AB1"/>
    <w:rsid w:val="00EB1E21"/>
    <w:rsid w:val="00EB3CEB"/>
    <w:rsid w:val="00EB3DD7"/>
    <w:rsid w:val="00EB3E77"/>
    <w:rsid w:val="00EB404A"/>
    <w:rsid w:val="00EB46CA"/>
    <w:rsid w:val="00EB6D16"/>
    <w:rsid w:val="00EB79AD"/>
    <w:rsid w:val="00EB7F1D"/>
    <w:rsid w:val="00EB7FC1"/>
    <w:rsid w:val="00EC0A1C"/>
    <w:rsid w:val="00EC0F03"/>
    <w:rsid w:val="00EC12F9"/>
    <w:rsid w:val="00EC141A"/>
    <w:rsid w:val="00EC1995"/>
    <w:rsid w:val="00EC1E2B"/>
    <w:rsid w:val="00EC24CA"/>
    <w:rsid w:val="00EC3355"/>
    <w:rsid w:val="00EC34FD"/>
    <w:rsid w:val="00EC38DA"/>
    <w:rsid w:val="00EC3E00"/>
    <w:rsid w:val="00EC3FB9"/>
    <w:rsid w:val="00EC4035"/>
    <w:rsid w:val="00EC4224"/>
    <w:rsid w:val="00EC4ED0"/>
    <w:rsid w:val="00EC4FD2"/>
    <w:rsid w:val="00EC57B5"/>
    <w:rsid w:val="00EC6260"/>
    <w:rsid w:val="00EC6603"/>
    <w:rsid w:val="00EC6B13"/>
    <w:rsid w:val="00EC6B76"/>
    <w:rsid w:val="00EC700A"/>
    <w:rsid w:val="00EC75A8"/>
    <w:rsid w:val="00EC7881"/>
    <w:rsid w:val="00EC7E9B"/>
    <w:rsid w:val="00ED0805"/>
    <w:rsid w:val="00ED081F"/>
    <w:rsid w:val="00ED08E2"/>
    <w:rsid w:val="00ED095D"/>
    <w:rsid w:val="00ED0A7D"/>
    <w:rsid w:val="00ED0E3A"/>
    <w:rsid w:val="00ED12FE"/>
    <w:rsid w:val="00ED176D"/>
    <w:rsid w:val="00ED24D7"/>
    <w:rsid w:val="00ED267A"/>
    <w:rsid w:val="00ED26E7"/>
    <w:rsid w:val="00ED2A1D"/>
    <w:rsid w:val="00ED2F9C"/>
    <w:rsid w:val="00ED3535"/>
    <w:rsid w:val="00ED3F5D"/>
    <w:rsid w:val="00ED4739"/>
    <w:rsid w:val="00ED4CF5"/>
    <w:rsid w:val="00ED6F76"/>
    <w:rsid w:val="00ED75CE"/>
    <w:rsid w:val="00ED7E93"/>
    <w:rsid w:val="00EE0D21"/>
    <w:rsid w:val="00EE164F"/>
    <w:rsid w:val="00EE1C14"/>
    <w:rsid w:val="00EE2AAC"/>
    <w:rsid w:val="00EE2E63"/>
    <w:rsid w:val="00EE31C5"/>
    <w:rsid w:val="00EE3E46"/>
    <w:rsid w:val="00EE423D"/>
    <w:rsid w:val="00EE4803"/>
    <w:rsid w:val="00EE581C"/>
    <w:rsid w:val="00EE678F"/>
    <w:rsid w:val="00EE6A6D"/>
    <w:rsid w:val="00EE6FA3"/>
    <w:rsid w:val="00EE6FD5"/>
    <w:rsid w:val="00EF0845"/>
    <w:rsid w:val="00EF1324"/>
    <w:rsid w:val="00EF1AA4"/>
    <w:rsid w:val="00EF2608"/>
    <w:rsid w:val="00EF2FDA"/>
    <w:rsid w:val="00EF3491"/>
    <w:rsid w:val="00EF3DBD"/>
    <w:rsid w:val="00EF40AF"/>
    <w:rsid w:val="00EF48CB"/>
    <w:rsid w:val="00EF4C55"/>
    <w:rsid w:val="00EF5050"/>
    <w:rsid w:val="00EF6865"/>
    <w:rsid w:val="00EF6BBD"/>
    <w:rsid w:val="00EF6C43"/>
    <w:rsid w:val="00EF6CC2"/>
    <w:rsid w:val="00EF725E"/>
    <w:rsid w:val="00EF7285"/>
    <w:rsid w:val="00F00A7B"/>
    <w:rsid w:val="00F00E78"/>
    <w:rsid w:val="00F0131D"/>
    <w:rsid w:val="00F027A9"/>
    <w:rsid w:val="00F02A12"/>
    <w:rsid w:val="00F02DFF"/>
    <w:rsid w:val="00F02EBA"/>
    <w:rsid w:val="00F0300C"/>
    <w:rsid w:val="00F03808"/>
    <w:rsid w:val="00F039B3"/>
    <w:rsid w:val="00F03CDE"/>
    <w:rsid w:val="00F048E8"/>
    <w:rsid w:val="00F04B1B"/>
    <w:rsid w:val="00F06072"/>
    <w:rsid w:val="00F061EC"/>
    <w:rsid w:val="00F07325"/>
    <w:rsid w:val="00F078E4"/>
    <w:rsid w:val="00F07DB7"/>
    <w:rsid w:val="00F100DB"/>
    <w:rsid w:val="00F10DB9"/>
    <w:rsid w:val="00F11554"/>
    <w:rsid w:val="00F11A80"/>
    <w:rsid w:val="00F11BC9"/>
    <w:rsid w:val="00F12560"/>
    <w:rsid w:val="00F12B96"/>
    <w:rsid w:val="00F1380C"/>
    <w:rsid w:val="00F13994"/>
    <w:rsid w:val="00F140F3"/>
    <w:rsid w:val="00F14B57"/>
    <w:rsid w:val="00F16520"/>
    <w:rsid w:val="00F178B0"/>
    <w:rsid w:val="00F20A45"/>
    <w:rsid w:val="00F2172E"/>
    <w:rsid w:val="00F21A50"/>
    <w:rsid w:val="00F21F51"/>
    <w:rsid w:val="00F22A9A"/>
    <w:rsid w:val="00F22D3B"/>
    <w:rsid w:val="00F234C6"/>
    <w:rsid w:val="00F23E1F"/>
    <w:rsid w:val="00F23FB7"/>
    <w:rsid w:val="00F24EA9"/>
    <w:rsid w:val="00F25AE0"/>
    <w:rsid w:val="00F2638A"/>
    <w:rsid w:val="00F26D03"/>
    <w:rsid w:val="00F27319"/>
    <w:rsid w:val="00F2787A"/>
    <w:rsid w:val="00F27B12"/>
    <w:rsid w:val="00F27CCE"/>
    <w:rsid w:val="00F3046C"/>
    <w:rsid w:val="00F3064C"/>
    <w:rsid w:val="00F306FE"/>
    <w:rsid w:val="00F30CA4"/>
    <w:rsid w:val="00F30E3E"/>
    <w:rsid w:val="00F31975"/>
    <w:rsid w:val="00F32148"/>
    <w:rsid w:val="00F3250E"/>
    <w:rsid w:val="00F328B5"/>
    <w:rsid w:val="00F32BF6"/>
    <w:rsid w:val="00F33B83"/>
    <w:rsid w:val="00F33EB3"/>
    <w:rsid w:val="00F348C0"/>
    <w:rsid w:val="00F34CF1"/>
    <w:rsid w:val="00F368CB"/>
    <w:rsid w:val="00F375DD"/>
    <w:rsid w:val="00F40EC5"/>
    <w:rsid w:val="00F40F46"/>
    <w:rsid w:val="00F4140D"/>
    <w:rsid w:val="00F422D5"/>
    <w:rsid w:val="00F42765"/>
    <w:rsid w:val="00F42B3D"/>
    <w:rsid w:val="00F433FD"/>
    <w:rsid w:val="00F44972"/>
    <w:rsid w:val="00F44990"/>
    <w:rsid w:val="00F450A1"/>
    <w:rsid w:val="00F455E0"/>
    <w:rsid w:val="00F45C91"/>
    <w:rsid w:val="00F45CB4"/>
    <w:rsid w:val="00F47152"/>
    <w:rsid w:val="00F4796D"/>
    <w:rsid w:val="00F4798C"/>
    <w:rsid w:val="00F47B80"/>
    <w:rsid w:val="00F47BBD"/>
    <w:rsid w:val="00F50A35"/>
    <w:rsid w:val="00F5203C"/>
    <w:rsid w:val="00F53249"/>
    <w:rsid w:val="00F53A0B"/>
    <w:rsid w:val="00F53A68"/>
    <w:rsid w:val="00F55094"/>
    <w:rsid w:val="00F550F8"/>
    <w:rsid w:val="00F55EFC"/>
    <w:rsid w:val="00F56700"/>
    <w:rsid w:val="00F5692B"/>
    <w:rsid w:val="00F5776B"/>
    <w:rsid w:val="00F60494"/>
    <w:rsid w:val="00F604DE"/>
    <w:rsid w:val="00F6123B"/>
    <w:rsid w:val="00F61C5B"/>
    <w:rsid w:val="00F61CBC"/>
    <w:rsid w:val="00F6294D"/>
    <w:rsid w:val="00F63691"/>
    <w:rsid w:val="00F6508B"/>
    <w:rsid w:val="00F65775"/>
    <w:rsid w:val="00F65A2C"/>
    <w:rsid w:val="00F66C0B"/>
    <w:rsid w:val="00F677C2"/>
    <w:rsid w:val="00F67CB3"/>
    <w:rsid w:val="00F67DF3"/>
    <w:rsid w:val="00F67E49"/>
    <w:rsid w:val="00F703BD"/>
    <w:rsid w:val="00F70401"/>
    <w:rsid w:val="00F707C5"/>
    <w:rsid w:val="00F70C75"/>
    <w:rsid w:val="00F70D94"/>
    <w:rsid w:val="00F711A1"/>
    <w:rsid w:val="00F71468"/>
    <w:rsid w:val="00F71BFF"/>
    <w:rsid w:val="00F72263"/>
    <w:rsid w:val="00F72932"/>
    <w:rsid w:val="00F72B91"/>
    <w:rsid w:val="00F7346E"/>
    <w:rsid w:val="00F73C9E"/>
    <w:rsid w:val="00F74056"/>
    <w:rsid w:val="00F74482"/>
    <w:rsid w:val="00F7570C"/>
    <w:rsid w:val="00F7584B"/>
    <w:rsid w:val="00F75871"/>
    <w:rsid w:val="00F75FAA"/>
    <w:rsid w:val="00F76802"/>
    <w:rsid w:val="00F76EBF"/>
    <w:rsid w:val="00F77460"/>
    <w:rsid w:val="00F7775C"/>
    <w:rsid w:val="00F77CAE"/>
    <w:rsid w:val="00F77DF0"/>
    <w:rsid w:val="00F81763"/>
    <w:rsid w:val="00F81C5F"/>
    <w:rsid w:val="00F8262D"/>
    <w:rsid w:val="00F82702"/>
    <w:rsid w:val="00F828D6"/>
    <w:rsid w:val="00F833CA"/>
    <w:rsid w:val="00F83F8E"/>
    <w:rsid w:val="00F849ED"/>
    <w:rsid w:val="00F84A46"/>
    <w:rsid w:val="00F8598C"/>
    <w:rsid w:val="00F867C1"/>
    <w:rsid w:val="00F8712F"/>
    <w:rsid w:val="00F87145"/>
    <w:rsid w:val="00F87202"/>
    <w:rsid w:val="00F8730A"/>
    <w:rsid w:val="00F87F3D"/>
    <w:rsid w:val="00F90B33"/>
    <w:rsid w:val="00F90CC9"/>
    <w:rsid w:val="00F90EAB"/>
    <w:rsid w:val="00F9112D"/>
    <w:rsid w:val="00F91383"/>
    <w:rsid w:val="00F919D7"/>
    <w:rsid w:val="00F92050"/>
    <w:rsid w:val="00F92722"/>
    <w:rsid w:val="00F927A8"/>
    <w:rsid w:val="00F927B0"/>
    <w:rsid w:val="00F9465D"/>
    <w:rsid w:val="00F95EA8"/>
    <w:rsid w:val="00F962BC"/>
    <w:rsid w:val="00F962DB"/>
    <w:rsid w:val="00F96794"/>
    <w:rsid w:val="00F96A80"/>
    <w:rsid w:val="00F96D70"/>
    <w:rsid w:val="00F97EBA"/>
    <w:rsid w:val="00FA0079"/>
    <w:rsid w:val="00FA0694"/>
    <w:rsid w:val="00FA0807"/>
    <w:rsid w:val="00FA0EA6"/>
    <w:rsid w:val="00FA11B5"/>
    <w:rsid w:val="00FA1E96"/>
    <w:rsid w:val="00FA2184"/>
    <w:rsid w:val="00FA23C8"/>
    <w:rsid w:val="00FA247F"/>
    <w:rsid w:val="00FA2A6C"/>
    <w:rsid w:val="00FA2FB5"/>
    <w:rsid w:val="00FA2FE4"/>
    <w:rsid w:val="00FA33F3"/>
    <w:rsid w:val="00FA4113"/>
    <w:rsid w:val="00FA4530"/>
    <w:rsid w:val="00FA4BB1"/>
    <w:rsid w:val="00FA4BE7"/>
    <w:rsid w:val="00FA5333"/>
    <w:rsid w:val="00FA5572"/>
    <w:rsid w:val="00FA5FA2"/>
    <w:rsid w:val="00FA7DD3"/>
    <w:rsid w:val="00FB0B65"/>
    <w:rsid w:val="00FB15C1"/>
    <w:rsid w:val="00FB1631"/>
    <w:rsid w:val="00FB1825"/>
    <w:rsid w:val="00FB1B12"/>
    <w:rsid w:val="00FB1B3E"/>
    <w:rsid w:val="00FB26A5"/>
    <w:rsid w:val="00FB290B"/>
    <w:rsid w:val="00FB3991"/>
    <w:rsid w:val="00FB3E49"/>
    <w:rsid w:val="00FB41D8"/>
    <w:rsid w:val="00FB54D9"/>
    <w:rsid w:val="00FB5F06"/>
    <w:rsid w:val="00FB6889"/>
    <w:rsid w:val="00FB740C"/>
    <w:rsid w:val="00FC078B"/>
    <w:rsid w:val="00FC098F"/>
    <w:rsid w:val="00FC138C"/>
    <w:rsid w:val="00FC1E4D"/>
    <w:rsid w:val="00FC1F4B"/>
    <w:rsid w:val="00FC2721"/>
    <w:rsid w:val="00FC2B08"/>
    <w:rsid w:val="00FC2B1D"/>
    <w:rsid w:val="00FC2E73"/>
    <w:rsid w:val="00FC36AA"/>
    <w:rsid w:val="00FC3918"/>
    <w:rsid w:val="00FC3A0B"/>
    <w:rsid w:val="00FC4800"/>
    <w:rsid w:val="00FC4D26"/>
    <w:rsid w:val="00FC5735"/>
    <w:rsid w:val="00FC5CBF"/>
    <w:rsid w:val="00FC5D0E"/>
    <w:rsid w:val="00FC60A0"/>
    <w:rsid w:val="00FC7268"/>
    <w:rsid w:val="00FC76D9"/>
    <w:rsid w:val="00FC7733"/>
    <w:rsid w:val="00FD0754"/>
    <w:rsid w:val="00FD0DF8"/>
    <w:rsid w:val="00FD0F56"/>
    <w:rsid w:val="00FD1780"/>
    <w:rsid w:val="00FD1C63"/>
    <w:rsid w:val="00FD224B"/>
    <w:rsid w:val="00FD3A9C"/>
    <w:rsid w:val="00FD40C1"/>
    <w:rsid w:val="00FD492B"/>
    <w:rsid w:val="00FD56FC"/>
    <w:rsid w:val="00FD5A84"/>
    <w:rsid w:val="00FD5A88"/>
    <w:rsid w:val="00FD7001"/>
    <w:rsid w:val="00FD766C"/>
    <w:rsid w:val="00FE032E"/>
    <w:rsid w:val="00FE06AA"/>
    <w:rsid w:val="00FE1F46"/>
    <w:rsid w:val="00FE2550"/>
    <w:rsid w:val="00FE2EC6"/>
    <w:rsid w:val="00FE3121"/>
    <w:rsid w:val="00FE314F"/>
    <w:rsid w:val="00FE3498"/>
    <w:rsid w:val="00FE3536"/>
    <w:rsid w:val="00FE374F"/>
    <w:rsid w:val="00FE38FC"/>
    <w:rsid w:val="00FE3BA0"/>
    <w:rsid w:val="00FE4F60"/>
    <w:rsid w:val="00FE56E0"/>
    <w:rsid w:val="00FE5F5B"/>
    <w:rsid w:val="00FE61E4"/>
    <w:rsid w:val="00FE7A06"/>
    <w:rsid w:val="00FE7CAA"/>
    <w:rsid w:val="00FF0063"/>
    <w:rsid w:val="00FF02DF"/>
    <w:rsid w:val="00FF0DB8"/>
    <w:rsid w:val="00FF0DFC"/>
    <w:rsid w:val="00FF107C"/>
    <w:rsid w:val="00FF10AE"/>
    <w:rsid w:val="00FF1174"/>
    <w:rsid w:val="00FF1205"/>
    <w:rsid w:val="00FF129E"/>
    <w:rsid w:val="00FF1A09"/>
    <w:rsid w:val="00FF1BA7"/>
    <w:rsid w:val="00FF1E11"/>
    <w:rsid w:val="00FF23E2"/>
    <w:rsid w:val="00FF2721"/>
    <w:rsid w:val="00FF2DCB"/>
    <w:rsid w:val="00FF2E9A"/>
    <w:rsid w:val="00FF448D"/>
    <w:rsid w:val="00FF5E47"/>
    <w:rsid w:val="00FF6181"/>
    <w:rsid w:val="00FF681E"/>
    <w:rsid w:val="00FF70EA"/>
    <w:rsid w:val="00FF73CC"/>
    <w:rsid w:val="00FF7D85"/>
    <w:rsid w:val="0145FB17"/>
    <w:rsid w:val="017D5C52"/>
    <w:rsid w:val="0A967F73"/>
    <w:rsid w:val="0B73A40D"/>
    <w:rsid w:val="0E9C9F60"/>
    <w:rsid w:val="179AD867"/>
    <w:rsid w:val="1BC782F3"/>
    <w:rsid w:val="1BD5BA89"/>
    <w:rsid w:val="21249B95"/>
    <w:rsid w:val="25B444B9"/>
    <w:rsid w:val="26C5256B"/>
    <w:rsid w:val="2B06F3AD"/>
    <w:rsid w:val="2C2F6925"/>
    <w:rsid w:val="2C7B28A5"/>
    <w:rsid w:val="3081D514"/>
    <w:rsid w:val="34231EC7"/>
    <w:rsid w:val="37DA8F20"/>
    <w:rsid w:val="3E2E794D"/>
    <w:rsid w:val="40E88622"/>
    <w:rsid w:val="42B6D4A2"/>
    <w:rsid w:val="439DE70B"/>
    <w:rsid w:val="537FB840"/>
    <w:rsid w:val="5472E3BB"/>
    <w:rsid w:val="55475733"/>
    <w:rsid w:val="57170FD0"/>
    <w:rsid w:val="58B2E031"/>
    <w:rsid w:val="5BBE7AC1"/>
    <w:rsid w:val="6A741CA7"/>
    <w:rsid w:val="6E27CA6F"/>
    <w:rsid w:val="76EC297F"/>
    <w:rsid w:val="774C0E38"/>
    <w:rsid w:val="7AD82105"/>
    <w:rsid w:val="7D127900"/>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34CBCF"/>
  <w15:chartTrackingRefBased/>
  <w15:docId w15:val="{F482A449-0C1E-4DC6-9F46-B5917A5CB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F17"/>
  </w:style>
  <w:style w:type="paragraph" w:styleId="Ttulo1">
    <w:name w:val="heading 1"/>
    <w:basedOn w:val="Normal"/>
    <w:next w:val="Normal"/>
    <w:link w:val="Ttulo1Car"/>
    <w:uiPriority w:val="9"/>
    <w:qFormat/>
    <w:rsid w:val="00207A59"/>
    <w:pPr>
      <w:keepNext/>
      <w:keepLines/>
      <w:spacing w:before="120" w:after="120"/>
      <w:outlineLvl w:val="0"/>
    </w:pPr>
    <w:rPr>
      <w:rFonts w:ascii="Times New Roman" w:eastAsiaTheme="majorEastAsia" w:hAnsi="Times New Roman" w:cstheme="majorBidi"/>
      <w:b/>
      <w:sz w:val="28"/>
      <w:szCs w:val="32"/>
    </w:rPr>
  </w:style>
  <w:style w:type="paragraph" w:styleId="Ttulo2">
    <w:name w:val="heading 2"/>
    <w:basedOn w:val="Normal"/>
    <w:next w:val="Normal"/>
    <w:link w:val="Ttulo2Car"/>
    <w:uiPriority w:val="9"/>
    <w:unhideWhenUsed/>
    <w:qFormat/>
    <w:rsid w:val="002D51EA"/>
    <w:pPr>
      <w:keepNext/>
      <w:keepLines/>
      <w:spacing w:before="120" w:after="120"/>
      <w:outlineLvl w:val="1"/>
    </w:pPr>
    <w:rPr>
      <w:rFonts w:ascii="Times New Roman" w:eastAsiaTheme="majorEastAsia" w:hAnsi="Times New Roman" w:cstheme="majorBidi"/>
      <w:b/>
      <w:i/>
      <w:sz w:val="24"/>
      <w:szCs w:val="26"/>
    </w:rPr>
  </w:style>
  <w:style w:type="paragraph" w:styleId="Ttulo3">
    <w:name w:val="heading 3"/>
    <w:basedOn w:val="Normal"/>
    <w:next w:val="Normal"/>
    <w:link w:val="Ttulo3Car"/>
    <w:uiPriority w:val="9"/>
    <w:unhideWhenUsed/>
    <w:qFormat/>
    <w:rsid w:val="00793D5B"/>
    <w:pPr>
      <w:keepNext/>
      <w:keepLines/>
      <w:spacing w:before="40" w:after="0"/>
      <w:outlineLvl w:val="2"/>
    </w:pPr>
    <w:rPr>
      <w:rFonts w:ascii="Times New Roman" w:eastAsiaTheme="majorEastAsia" w:hAnsi="Times New Roman" w:cstheme="majorBidi"/>
      <w:sz w:val="24"/>
      <w:szCs w:val="24"/>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3DA5"/>
    <w:pPr>
      <w:ind w:left="720"/>
      <w:contextualSpacing/>
    </w:pPr>
  </w:style>
  <w:style w:type="paragraph" w:styleId="Bibliografa">
    <w:name w:val="Bibliography"/>
    <w:basedOn w:val="Normal"/>
    <w:next w:val="Normal"/>
    <w:uiPriority w:val="37"/>
    <w:unhideWhenUsed/>
    <w:rsid w:val="00E50024"/>
    <w:pPr>
      <w:tabs>
        <w:tab w:val="left" w:pos="624"/>
      </w:tabs>
      <w:spacing w:after="240" w:line="240" w:lineRule="auto"/>
      <w:ind w:left="624" w:hanging="624"/>
    </w:pPr>
  </w:style>
  <w:style w:type="character" w:customStyle="1" w:styleId="Ttulo1Car">
    <w:name w:val="Título 1 Car"/>
    <w:basedOn w:val="Fuentedeprrafopredeter"/>
    <w:link w:val="Ttulo1"/>
    <w:uiPriority w:val="9"/>
    <w:rsid w:val="00207A59"/>
    <w:rPr>
      <w:rFonts w:ascii="Times New Roman" w:eastAsiaTheme="majorEastAsia" w:hAnsi="Times New Roman" w:cstheme="majorBidi"/>
      <w:b/>
      <w:sz w:val="28"/>
      <w:szCs w:val="32"/>
    </w:rPr>
  </w:style>
  <w:style w:type="character" w:customStyle="1" w:styleId="Ttulo2Car">
    <w:name w:val="Título 2 Car"/>
    <w:basedOn w:val="Fuentedeprrafopredeter"/>
    <w:link w:val="Ttulo2"/>
    <w:uiPriority w:val="9"/>
    <w:rsid w:val="002D51EA"/>
    <w:rPr>
      <w:rFonts w:ascii="Times New Roman" w:eastAsiaTheme="majorEastAsia" w:hAnsi="Times New Roman" w:cstheme="majorBidi"/>
      <w:b/>
      <w:i/>
      <w:sz w:val="24"/>
      <w:szCs w:val="26"/>
    </w:rPr>
  </w:style>
  <w:style w:type="character" w:customStyle="1" w:styleId="Ttulo3Car">
    <w:name w:val="Título 3 Car"/>
    <w:basedOn w:val="Fuentedeprrafopredeter"/>
    <w:link w:val="Ttulo3"/>
    <w:uiPriority w:val="9"/>
    <w:rsid w:val="00793D5B"/>
    <w:rPr>
      <w:rFonts w:ascii="Times New Roman" w:eastAsiaTheme="majorEastAsia" w:hAnsi="Times New Roman" w:cstheme="majorBidi"/>
      <w:sz w:val="24"/>
      <w:szCs w:val="24"/>
      <w:u w:val="single"/>
    </w:rPr>
  </w:style>
  <w:style w:type="table" w:styleId="Tablaconcuadrcula">
    <w:name w:val="Table Grid"/>
    <w:basedOn w:val="Tablanormal"/>
    <w:uiPriority w:val="39"/>
    <w:rsid w:val="00580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aliases w:val="Fuente"/>
    <w:basedOn w:val="Normal"/>
    <w:next w:val="Normal"/>
    <w:uiPriority w:val="35"/>
    <w:unhideWhenUsed/>
    <w:qFormat/>
    <w:rsid w:val="00380D5D"/>
    <w:pPr>
      <w:spacing w:after="200" w:line="240" w:lineRule="auto"/>
    </w:pPr>
    <w:rPr>
      <w:i/>
      <w:iCs/>
      <w:color w:val="44546A" w:themeColor="text2"/>
      <w:sz w:val="18"/>
      <w:szCs w:val="18"/>
    </w:rPr>
  </w:style>
  <w:style w:type="table" w:styleId="Tablaconcuadrcula4-nfasis1">
    <w:name w:val="Grid Table 4 Accent 1"/>
    <w:basedOn w:val="Tablanormal"/>
    <w:uiPriority w:val="49"/>
    <w:rsid w:val="00F11554"/>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DC1">
    <w:name w:val="toc 1"/>
    <w:basedOn w:val="Normal"/>
    <w:next w:val="Normal"/>
    <w:autoRedefine/>
    <w:uiPriority w:val="39"/>
    <w:unhideWhenUsed/>
    <w:rsid w:val="007A46EE"/>
    <w:pPr>
      <w:tabs>
        <w:tab w:val="right" w:leader="dot" w:pos="9060"/>
      </w:tabs>
      <w:spacing w:after="0" w:line="240" w:lineRule="auto"/>
    </w:pPr>
    <w:rPr>
      <w:rFonts w:cstheme="minorHAnsi"/>
      <w:b/>
      <w:bCs/>
      <w:smallCaps/>
      <w:color w:val="383A95"/>
      <w:szCs w:val="20"/>
    </w:rPr>
  </w:style>
  <w:style w:type="paragraph" w:styleId="TDC2">
    <w:name w:val="toc 2"/>
    <w:basedOn w:val="Normal"/>
    <w:next w:val="Normal"/>
    <w:autoRedefine/>
    <w:uiPriority w:val="39"/>
    <w:unhideWhenUsed/>
    <w:rsid w:val="00683193"/>
    <w:pPr>
      <w:tabs>
        <w:tab w:val="left" w:pos="880"/>
        <w:tab w:val="right" w:leader="dot" w:pos="9060"/>
      </w:tabs>
      <w:spacing w:after="0"/>
      <w:ind w:left="221"/>
    </w:pPr>
    <w:rPr>
      <w:rFonts w:cstheme="minorHAnsi"/>
      <w:smallCaps/>
      <w:color w:val="000000"/>
      <w:sz w:val="20"/>
      <w:szCs w:val="20"/>
    </w:rPr>
  </w:style>
  <w:style w:type="paragraph" w:styleId="TDC3">
    <w:name w:val="toc 3"/>
    <w:basedOn w:val="Normal"/>
    <w:next w:val="Normal"/>
    <w:autoRedefine/>
    <w:uiPriority w:val="39"/>
    <w:unhideWhenUsed/>
    <w:rsid w:val="00C0792A"/>
    <w:pPr>
      <w:spacing w:before="120" w:after="120"/>
      <w:ind w:left="442"/>
    </w:pPr>
    <w:rPr>
      <w:rFonts w:cstheme="minorHAnsi"/>
      <w:i/>
      <w:iCs/>
      <w:smallCaps/>
      <w:szCs w:val="20"/>
    </w:rPr>
  </w:style>
  <w:style w:type="paragraph" w:styleId="TDC4">
    <w:name w:val="toc 4"/>
    <w:basedOn w:val="Normal"/>
    <w:next w:val="Normal"/>
    <w:autoRedefine/>
    <w:uiPriority w:val="39"/>
    <w:unhideWhenUsed/>
    <w:rsid w:val="00CC76B0"/>
    <w:pPr>
      <w:spacing w:after="0"/>
      <w:ind w:left="660"/>
    </w:pPr>
    <w:rPr>
      <w:rFonts w:cstheme="minorHAnsi"/>
      <w:sz w:val="18"/>
      <w:szCs w:val="18"/>
    </w:rPr>
  </w:style>
  <w:style w:type="paragraph" w:styleId="TDC5">
    <w:name w:val="toc 5"/>
    <w:basedOn w:val="Normal"/>
    <w:next w:val="Normal"/>
    <w:autoRedefine/>
    <w:uiPriority w:val="39"/>
    <w:unhideWhenUsed/>
    <w:rsid w:val="00CC76B0"/>
    <w:pPr>
      <w:spacing w:after="0"/>
      <w:ind w:left="880"/>
    </w:pPr>
    <w:rPr>
      <w:rFonts w:cstheme="minorHAnsi"/>
      <w:sz w:val="18"/>
      <w:szCs w:val="18"/>
    </w:rPr>
  </w:style>
  <w:style w:type="paragraph" w:styleId="TDC6">
    <w:name w:val="toc 6"/>
    <w:basedOn w:val="Normal"/>
    <w:next w:val="Normal"/>
    <w:autoRedefine/>
    <w:uiPriority w:val="39"/>
    <w:unhideWhenUsed/>
    <w:rsid w:val="00CC76B0"/>
    <w:pPr>
      <w:spacing w:after="0"/>
      <w:ind w:left="1100"/>
    </w:pPr>
    <w:rPr>
      <w:rFonts w:cstheme="minorHAnsi"/>
      <w:sz w:val="18"/>
      <w:szCs w:val="18"/>
    </w:rPr>
  </w:style>
  <w:style w:type="paragraph" w:styleId="TDC7">
    <w:name w:val="toc 7"/>
    <w:basedOn w:val="Normal"/>
    <w:next w:val="Normal"/>
    <w:autoRedefine/>
    <w:uiPriority w:val="39"/>
    <w:unhideWhenUsed/>
    <w:rsid w:val="00CC76B0"/>
    <w:pPr>
      <w:spacing w:after="0"/>
      <w:ind w:left="1320"/>
    </w:pPr>
    <w:rPr>
      <w:rFonts w:cstheme="minorHAnsi"/>
      <w:sz w:val="18"/>
      <w:szCs w:val="18"/>
    </w:rPr>
  </w:style>
  <w:style w:type="paragraph" w:styleId="TDC8">
    <w:name w:val="toc 8"/>
    <w:basedOn w:val="Normal"/>
    <w:next w:val="Normal"/>
    <w:autoRedefine/>
    <w:uiPriority w:val="39"/>
    <w:unhideWhenUsed/>
    <w:rsid w:val="00CC76B0"/>
    <w:pPr>
      <w:spacing w:after="0"/>
      <w:ind w:left="1540"/>
    </w:pPr>
    <w:rPr>
      <w:rFonts w:cstheme="minorHAnsi"/>
      <w:sz w:val="18"/>
      <w:szCs w:val="18"/>
    </w:rPr>
  </w:style>
  <w:style w:type="paragraph" w:styleId="TDC9">
    <w:name w:val="toc 9"/>
    <w:basedOn w:val="Normal"/>
    <w:next w:val="Normal"/>
    <w:autoRedefine/>
    <w:uiPriority w:val="39"/>
    <w:unhideWhenUsed/>
    <w:rsid w:val="00CC76B0"/>
    <w:pPr>
      <w:spacing w:after="0"/>
      <w:ind w:left="1760"/>
    </w:pPr>
    <w:rPr>
      <w:rFonts w:cstheme="minorHAnsi"/>
      <w:sz w:val="18"/>
      <w:szCs w:val="18"/>
    </w:rPr>
  </w:style>
  <w:style w:type="character" w:styleId="Hipervnculo">
    <w:name w:val="Hyperlink"/>
    <w:basedOn w:val="Fuentedeprrafopredeter"/>
    <w:uiPriority w:val="99"/>
    <w:unhideWhenUsed/>
    <w:rsid w:val="00CC76B0"/>
    <w:rPr>
      <w:color w:val="0563C1" w:themeColor="hyperlink"/>
      <w:u w:val="single"/>
    </w:rPr>
  </w:style>
  <w:style w:type="paragraph" w:styleId="TtuloTDC">
    <w:name w:val="TOC Heading"/>
    <w:basedOn w:val="Ttulo1"/>
    <w:next w:val="Normal"/>
    <w:uiPriority w:val="39"/>
    <w:unhideWhenUsed/>
    <w:qFormat/>
    <w:rsid w:val="00AB6261"/>
    <w:pPr>
      <w:spacing w:before="240" w:after="0"/>
      <w:outlineLvl w:val="9"/>
    </w:pPr>
    <w:rPr>
      <w:rFonts w:asciiTheme="majorHAnsi" w:hAnsiTheme="majorHAnsi"/>
      <w:b w:val="0"/>
      <w:color w:val="2F5496" w:themeColor="accent1" w:themeShade="BF"/>
      <w:sz w:val="32"/>
      <w:lang w:eastAsia="es-ES"/>
    </w:rPr>
  </w:style>
  <w:style w:type="paragraph" w:styleId="Textonotaalfinal">
    <w:name w:val="endnote text"/>
    <w:basedOn w:val="Normal"/>
    <w:link w:val="TextonotaalfinalCar"/>
    <w:uiPriority w:val="99"/>
    <w:semiHidden/>
    <w:unhideWhenUsed/>
    <w:rsid w:val="0076627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6627C"/>
    <w:rPr>
      <w:sz w:val="20"/>
      <w:szCs w:val="20"/>
    </w:rPr>
  </w:style>
  <w:style w:type="character" w:styleId="Refdenotaalfinal">
    <w:name w:val="endnote reference"/>
    <w:basedOn w:val="Fuentedeprrafopredeter"/>
    <w:uiPriority w:val="99"/>
    <w:semiHidden/>
    <w:unhideWhenUsed/>
    <w:rsid w:val="0076627C"/>
    <w:rPr>
      <w:vertAlign w:val="superscript"/>
    </w:rPr>
  </w:style>
  <w:style w:type="paragraph" w:styleId="Encabezado">
    <w:name w:val="header"/>
    <w:basedOn w:val="Normal"/>
    <w:link w:val="EncabezadoCar"/>
    <w:uiPriority w:val="99"/>
    <w:unhideWhenUsed/>
    <w:rsid w:val="0076627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6627C"/>
  </w:style>
  <w:style w:type="paragraph" w:styleId="Piedepgina">
    <w:name w:val="footer"/>
    <w:basedOn w:val="Normal"/>
    <w:link w:val="PiedepginaCar"/>
    <w:uiPriority w:val="99"/>
    <w:unhideWhenUsed/>
    <w:rsid w:val="0076627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6627C"/>
  </w:style>
  <w:style w:type="paragraph" w:styleId="Tabladeilustraciones">
    <w:name w:val="table of figures"/>
    <w:basedOn w:val="Normal"/>
    <w:next w:val="Normal"/>
    <w:uiPriority w:val="99"/>
    <w:unhideWhenUsed/>
    <w:rsid w:val="00B24D0B"/>
    <w:pPr>
      <w:spacing w:before="120" w:after="120"/>
    </w:pPr>
  </w:style>
  <w:style w:type="character" w:styleId="Textodelmarcadordeposicin">
    <w:name w:val="Placeholder Text"/>
    <w:basedOn w:val="Fuentedeprrafopredeter"/>
    <w:uiPriority w:val="99"/>
    <w:semiHidden/>
    <w:rsid w:val="00874F9E"/>
    <w:rPr>
      <w:color w:val="808080"/>
    </w:rPr>
  </w:style>
  <w:style w:type="paragraph" w:styleId="Textodeglobo">
    <w:name w:val="Balloon Text"/>
    <w:basedOn w:val="Normal"/>
    <w:link w:val="TextodegloboCar"/>
    <w:uiPriority w:val="99"/>
    <w:semiHidden/>
    <w:unhideWhenUsed/>
    <w:rsid w:val="00FF0063"/>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F0063"/>
    <w:rPr>
      <w:rFonts w:ascii="Times New Roman" w:hAnsi="Times New Roman" w:cs="Times New Roman"/>
      <w:sz w:val="18"/>
      <w:szCs w:val="18"/>
    </w:rPr>
  </w:style>
  <w:style w:type="character" w:styleId="Refdecomentario">
    <w:name w:val="annotation reference"/>
    <w:basedOn w:val="Fuentedeprrafopredeter"/>
    <w:uiPriority w:val="99"/>
    <w:semiHidden/>
    <w:unhideWhenUsed/>
    <w:rsid w:val="00D03EE0"/>
    <w:rPr>
      <w:sz w:val="16"/>
      <w:szCs w:val="16"/>
    </w:rPr>
  </w:style>
  <w:style w:type="paragraph" w:styleId="Textocomentario">
    <w:name w:val="annotation text"/>
    <w:basedOn w:val="Normal"/>
    <w:link w:val="TextocomentarioCar"/>
    <w:uiPriority w:val="99"/>
    <w:unhideWhenUsed/>
    <w:rsid w:val="00D03EE0"/>
    <w:pPr>
      <w:spacing w:line="240" w:lineRule="auto"/>
    </w:pPr>
    <w:rPr>
      <w:sz w:val="20"/>
      <w:szCs w:val="20"/>
    </w:rPr>
  </w:style>
  <w:style w:type="character" w:customStyle="1" w:styleId="TextocomentarioCar">
    <w:name w:val="Texto comentario Car"/>
    <w:basedOn w:val="Fuentedeprrafopredeter"/>
    <w:link w:val="Textocomentario"/>
    <w:uiPriority w:val="99"/>
    <w:rsid w:val="00D03EE0"/>
    <w:rPr>
      <w:sz w:val="20"/>
      <w:szCs w:val="20"/>
    </w:rPr>
  </w:style>
  <w:style w:type="paragraph" w:styleId="Asuntodelcomentario">
    <w:name w:val="annotation subject"/>
    <w:basedOn w:val="Textocomentario"/>
    <w:next w:val="Textocomentario"/>
    <w:link w:val="AsuntodelcomentarioCar"/>
    <w:uiPriority w:val="99"/>
    <w:semiHidden/>
    <w:unhideWhenUsed/>
    <w:rsid w:val="00D03EE0"/>
    <w:rPr>
      <w:b/>
      <w:bCs/>
    </w:rPr>
  </w:style>
  <w:style w:type="character" w:customStyle="1" w:styleId="AsuntodelcomentarioCar">
    <w:name w:val="Asunto del comentario Car"/>
    <w:basedOn w:val="TextocomentarioCar"/>
    <w:link w:val="Asuntodelcomentario"/>
    <w:uiPriority w:val="99"/>
    <w:semiHidden/>
    <w:rsid w:val="00D03EE0"/>
    <w:rPr>
      <w:b/>
      <w:bCs/>
      <w:sz w:val="20"/>
      <w:szCs w:val="20"/>
    </w:rPr>
  </w:style>
  <w:style w:type="paragraph" w:styleId="Revisin">
    <w:name w:val="Revision"/>
    <w:hidden/>
    <w:uiPriority w:val="99"/>
    <w:semiHidden/>
    <w:rsid w:val="00D03EE0"/>
    <w:pPr>
      <w:spacing w:after="0" w:line="240" w:lineRule="auto"/>
    </w:pPr>
  </w:style>
  <w:style w:type="character" w:styleId="Mencionar">
    <w:name w:val="Mention"/>
    <w:basedOn w:val="Fuentedeprrafopredeter"/>
    <w:uiPriority w:val="99"/>
    <w:unhideWhenUsed/>
    <w:rsid w:val="00E030C5"/>
    <w:rPr>
      <w:color w:val="2B579A"/>
      <w:shd w:val="clear" w:color="auto" w:fill="E1DFDD"/>
    </w:rPr>
  </w:style>
  <w:style w:type="paragraph" w:styleId="Textonotapie">
    <w:name w:val="footnote text"/>
    <w:basedOn w:val="Normal"/>
    <w:link w:val="TextonotapieCar"/>
    <w:uiPriority w:val="99"/>
    <w:semiHidden/>
    <w:unhideWhenUsed/>
    <w:rsid w:val="00BD1B66"/>
    <w:pPr>
      <w:widowControl w:val="0"/>
      <w:spacing w:after="0" w:line="240" w:lineRule="auto"/>
    </w:pPr>
    <w:rPr>
      <w:sz w:val="20"/>
      <w:szCs w:val="20"/>
      <w:lang w:val="en-US"/>
    </w:rPr>
  </w:style>
  <w:style w:type="character" w:customStyle="1" w:styleId="TextonotapieCar">
    <w:name w:val="Texto nota pie Car"/>
    <w:basedOn w:val="Fuentedeprrafopredeter"/>
    <w:link w:val="Textonotapie"/>
    <w:uiPriority w:val="99"/>
    <w:semiHidden/>
    <w:rsid w:val="00BD1B66"/>
    <w:rPr>
      <w:sz w:val="20"/>
      <w:szCs w:val="20"/>
      <w:lang w:val="en-US"/>
    </w:rPr>
  </w:style>
  <w:style w:type="character" w:styleId="Refdenotaalpie">
    <w:name w:val="footnote reference"/>
    <w:basedOn w:val="Fuentedeprrafopredeter"/>
    <w:uiPriority w:val="99"/>
    <w:semiHidden/>
    <w:unhideWhenUsed/>
    <w:rsid w:val="00BD1B66"/>
    <w:rPr>
      <w:vertAlign w:val="superscript"/>
    </w:rPr>
  </w:style>
  <w:style w:type="table" w:customStyle="1" w:styleId="Tablaconcuadrcula1">
    <w:name w:val="Tabla con cuadrícula1"/>
    <w:basedOn w:val="Tablanormal"/>
    <w:next w:val="Tablaconcuadrcula"/>
    <w:uiPriority w:val="39"/>
    <w:rsid w:val="003A3BB7"/>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1">
    <w:name w:val="List Table 3 Accent 1"/>
    <w:basedOn w:val="Tablanormal"/>
    <w:uiPriority w:val="48"/>
    <w:rsid w:val="00E23FC4"/>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TITULOTABLASYFIGURAS">
    <w:name w:val="TITULO TABLAS Y FIGURAS"/>
    <w:basedOn w:val="Normal"/>
    <w:qFormat/>
    <w:rsid w:val="00477E54"/>
    <w:pPr>
      <w:pBdr>
        <w:bottom w:val="single" w:sz="4" w:space="1" w:color="auto"/>
      </w:pBdr>
      <w:spacing w:before="240" w:after="120" w:line="240" w:lineRule="auto"/>
      <w:jc w:val="both"/>
    </w:pPr>
    <w:rPr>
      <w:rFonts w:ascii="Arial Narrow" w:eastAsiaTheme="majorEastAsia" w:hAnsi="Arial Narrow" w:cstheme="majorBidi"/>
      <w:smallCaps/>
      <w:color w:val="4A4F96"/>
      <w:spacing w:val="5"/>
      <w:sz w:val="24"/>
      <w:szCs w:val="60"/>
      <w:lang w:val="es-ES_tradnl"/>
    </w:rPr>
  </w:style>
  <w:style w:type="table" w:styleId="Tabladelista4-nfasis1">
    <w:name w:val="List Table 4 Accent 1"/>
    <w:basedOn w:val="Tablanormal"/>
    <w:uiPriority w:val="49"/>
    <w:rsid w:val="0063792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Mencinsinresolver">
    <w:name w:val="Unresolved Mention"/>
    <w:basedOn w:val="Fuentedeprrafopredeter"/>
    <w:uiPriority w:val="99"/>
    <w:semiHidden/>
    <w:unhideWhenUsed/>
    <w:rsid w:val="00CB73B1"/>
    <w:rPr>
      <w:color w:val="605E5C"/>
      <w:shd w:val="clear" w:color="auto" w:fill="E1DFDD"/>
    </w:rPr>
  </w:style>
  <w:style w:type="paragraph" w:styleId="NormalWeb">
    <w:name w:val="Normal (Web)"/>
    <w:basedOn w:val="Normal"/>
    <w:uiPriority w:val="99"/>
    <w:semiHidden/>
    <w:unhideWhenUsed/>
    <w:rsid w:val="002F655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EF2FDA"/>
  </w:style>
  <w:style w:type="character" w:customStyle="1" w:styleId="eop">
    <w:name w:val="eop"/>
    <w:basedOn w:val="Fuentedeprrafopredeter"/>
    <w:rsid w:val="00EF2FDA"/>
  </w:style>
  <w:style w:type="table" w:styleId="Tabladelista3">
    <w:name w:val="List Table 3"/>
    <w:basedOn w:val="Tablanormal"/>
    <w:uiPriority w:val="48"/>
    <w:rsid w:val="00F83F8E"/>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240798">
      <w:bodyDiv w:val="1"/>
      <w:marLeft w:val="0"/>
      <w:marRight w:val="0"/>
      <w:marTop w:val="0"/>
      <w:marBottom w:val="0"/>
      <w:divBdr>
        <w:top w:val="none" w:sz="0" w:space="0" w:color="auto"/>
        <w:left w:val="none" w:sz="0" w:space="0" w:color="auto"/>
        <w:bottom w:val="none" w:sz="0" w:space="0" w:color="auto"/>
        <w:right w:val="none" w:sz="0" w:space="0" w:color="auto"/>
      </w:divBdr>
    </w:div>
    <w:div w:id="430665078">
      <w:bodyDiv w:val="1"/>
      <w:marLeft w:val="0"/>
      <w:marRight w:val="0"/>
      <w:marTop w:val="0"/>
      <w:marBottom w:val="0"/>
      <w:divBdr>
        <w:top w:val="none" w:sz="0" w:space="0" w:color="auto"/>
        <w:left w:val="none" w:sz="0" w:space="0" w:color="auto"/>
        <w:bottom w:val="none" w:sz="0" w:space="0" w:color="auto"/>
        <w:right w:val="none" w:sz="0" w:space="0" w:color="auto"/>
      </w:divBdr>
    </w:div>
    <w:div w:id="874460207">
      <w:bodyDiv w:val="1"/>
      <w:marLeft w:val="0"/>
      <w:marRight w:val="0"/>
      <w:marTop w:val="0"/>
      <w:marBottom w:val="0"/>
      <w:divBdr>
        <w:top w:val="none" w:sz="0" w:space="0" w:color="auto"/>
        <w:left w:val="none" w:sz="0" w:space="0" w:color="auto"/>
        <w:bottom w:val="none" w:sz="0" w:space="0" w:color="auto"/>
        <w:right w:val="none" w:sz="0" w:space="0" w:color="auto"/>
      </w:divBdr>
    </w:div>
    <w:div w:id="1005479790">
      <w:bodyDiv w:val="1"/>
      <w:marLeft w:val="0"/>
      <w:marRight w:val="0"/>
      <w:marTop w:val="0"/>
      <w:marBottom w:val="0"/>
      <w:divBdr>
        <w:top w:val="none" w:sz="0" w:space="0" w:color="auto"/>
        <w:left w:val="none" w:sz="0" w:space="0" w:color="auto"/>
        <w:bottom w:val="none" w:sz="0" w:space="0" w:color="auto"/>
        <w:right w:val="none" w:sz="0" w:space="0" w:color="auto"/>
      </w:divBdr>
      <w:divsChild>
        <w:div w:id="1255020207">
          <w:marLeft w:val="0"/>
          <w:marRight w:val="0"/>
          <w:marTop w:val="0"/>
          <w:marBottom w:val="0"/>
          <w:divBdr>
            <w:top w:val="none" w:sz="0" w:space="0" w:color="auto"/>
            <w:left w:val="none" w:sz="0" w:space="0" w:color="auto"/>
            <w:bottom w:val="none" w:sz="0" w:space="0" w:color="auto"/>
            <w:right w:val="none" w:sz="0" w:space="0" w:color="auto"/>
          </w:divBdr>
          <w:divsChild>
            <w:div w:id="152374285">
              <w:marLeft w:val="0"/>
              <w:marRight w:val="0"/>
              <w:marTop w:val="0"/>
              <w:marBottom w:val="0"/>
              <w:divBdr>
                <w:top w:val="none" w:sz="0" w:space="0" w:color="auto"/>
                <w:left w:val="none" w:sz="0" w:space="0" w:color="auto"/>
                <w:bottom w:val="none" w:sz="0" w:space="0" w:color="auto"/>
                <w:right w:val="none" w:sz="0" w:space="0" w:color="auto"/>
              </w:divBdr>
              <w:divsChild>
                <w:div w:id="1905026669">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07024676">
      <w:bodyDiv w:val="1"/>
      <w:marLeft w:val="0"/>
      <w:marRight w:val="0"/>
      <w:marTop w:val="0"/>
      <w:marBottom w:val="0"/>
      <w:divBdr>
        <w:top w:val="none" w:sz="0" w:space="0" w:color="auto"/>
        <w:left w:val="none" w:sz="0" w:space="0" w:color="auto"/>
        <w:bottom w:val="none" w:sz="0" w:space="0" w:color="auto"/>
        <w:right w:val="none" w:sz="0" w:space="0" w:color="auto"/>
      </w:divBdr>
    </w:div>
    <w:div w:id="1675572616">
      <w:bodyDiv w:val="1"/>
      <w:marLeft w:val="0"/>
      <w:marRight w:val="0"/>
      <w:marTop w:val="0"/>
      <w:marBottom w:val="0"/>
      <w:divBdr>
        <w:top w:val="none" w:sz="0" w:space="0" w:color="auto"/>
        <w:left w:val="none" w:sz="0" w:space="0" w:color="auto"/>
        <w:bottom w:val="none" w:sz="0" w:space="0" w:color="auto"/>
        <w:right w:val="none" w:sz="0" w:space="0" w:color="auto"/>
      </w:divBdr>
    </w:div>
    <w:div w:id="206362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1c21789-2aa1-47eb-9c4d-00dc9f0105b8">
      <Terms xmlns="http://schemas.microsoft.com/office/infopath/2007/PartnerControls"/>
    </lcf76f155ced4ddcb4097134ff3c332f>
    <TaxCatchAll xmlns="2464e5df-6132-42f1-8bd1-5be3ff54df1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626F03E8FB312D47BEBB09767D8C1FF2" ma:contentTypeVersion="15" ma:contentTypeDescription="Crear nuevo documento." ma:contentTypeScope="" ma:versionID="92e8febbdf79410a9651bbdf6cd1e704">
  <xsd:schema xmlns:xsd="http://www.w3.org/2001/XMLSchema" xmlns:xs="http://www.w3.org/2001/XMLSchema" xmlns:p="http://schemas.microsoft.com/office/2006/metadata/properties" xmlns:ns2="21c21789-2aa1-47eb-9c4d-00dc9f0105b8" xmlns:ns3="2464e5df-6132-42f1-8bd1-5be3ff54df1c" targetNamespace="http://schemas.microsoft.com/office/2006/metadata/properties" ma:root="true" ma:fieldsID="68abec52c6fa3046900106e769d49586" ns2:_="" ns3:_="">
    <xsd:import namespace="21c21789-2aa1-47eb-9c4d-00dc9f0105b8"/>
    <xsd:import namespace="2464e5df-6132-42f1-8bd1-5be3ff54df1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21789-2aa1-47eb-9c4d-00dc9f010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9d232f7a-cb30-496c-854b-3840572c10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4e5df-6132-42f1-8bd1-5be3ff54df1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e35a11b-844d-41a4-b9e1-ac4402ac8760}" ma:internalName="TaxCatchAll" ma:showField="CatchAllData" ma:web="2464e5df-6132-42f1-8bd1-5be3ff54df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58A8E0-EDC7-CA49-879B-240F5B1AD5E6}">
  <ds:schemaRefs>
    <ds:schemaRef ds:uri="http://schemas.openxmlformats.org/officeDocument/2006/bibliography"/>
  </ds:schemaRefs>
</ds:datastoreItem>
</file>

<file path=customXml/itemProps2.xml><?xml version="1.0" encoding="utf-8"?>
<ds:datastoreItem xmlns:ds="http://schemas.openxmlformats.org/officeDocument/2006/customXml" ds:itemID="{47FBE1F3-90DE-471B-A849-27002CF42F74}">
  <ds:schemaRefs>
    <ds:schemaRef ds:uri="http://schemas.microsoft.com/sharepoint/v3/contenttype/forms"/>
  </ds:schemaRefs>
</ds:datastoreItem>
</file>

<file path=customXml/itemProps3.xml><?xml version="1.0" encoding="utf-8"?>
<ds:datastoreItem xmlns:ds="http://schemas.openxmlformats.org/officeDocument/2006/customXml" ds:itemID="{941EBD11-2F6C-4004-BAB8-89BCF04EDC30}">
  <ds:schemaRefs>
    <ds:schemaRef ds:uri="http://schemas.microsoft.com/office/2006/metadata/properties"/>
    <ds:schemaRef ds:uri="http://schemas.microsoft.com/office/infopath/2007/PartnerControls"/>
    <ds:schemaRef ds:uri="21c21789-2aa1-47eb-9c4d-00dc9f0105b8"/>
    <ds:schemaRef ds:uri="2464e5df-6132-42f1-8bd1-5be3ff54df1c"/>
  </ds:schemaRefs>
</ds:datastoreItem>
</file>

<file path=customXml/itemProps4.xml><?xml version="1.0" encoding="utf-8"?>
<ds:datastoreItem xmlns:ds="http://schemas.openxmlformats.org/officeDocument/2006/customXml" ds:itemID="{FE9D6033-7478-4FE1-B540-792A1A4936C6}"/>
</file>

<file path=docProps/app.xml><?xml version="1.0" encoding="utf-8"?>
<Properties xmlns="http://schemas.openxmlformats.org/officeDocument/2006/extended-properties" xmlns:vt="http://schemas.openxmlformats.org/officeDocument/2006/docPropsVTypes">
  <Template>Normal</Template>
  <TotalTime>26</TotalTime>
  <Pages>18</Pages>
  <Words>16944</Words>
  <Characters>93197</Characters>
  <Application>Microsoft Office Word</Application>
  <DocSecurity>0</DocSecurity>
  <Lines>776</Lines>
  <Paragraphs>219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Abdalla</dc:creator>
  <cp:keywords>, docId:5FBDB62CD13B461CA9952C1F63CDDFB1</cp:keywords>
  <dc:description/>
  <cp:lastModifiedBy>Fernando Abdalla</cp:lastModifiedBy>
  <cp:revision>32</cp:revision>
  <cp:lastPrinted>2022-04-28T12:31:00Z</cp:lastPrinted>
  <dcterms:created xsi:type="dcterms:W3CDTF">2023-06-21T08:17:00Z</dcterms:created>
  <dcterms:modified xsi:type="dcterms:W3CDTF">2023-07-19T08:16:00Z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id="GLQTyvtO"/&gt;&lt;style id="http://www.zotero.org/styles/taylor-and-francis-national-library-of-medicine" hasBibliography="1" bibliographyStyleHasBeenSet="1"/&gt;&lt;prefs&gt;&lt;pref name="fieldType" value="Field</vt:lpwstr>
  </property>
  <property fmtid="{D5CDD505-2E9C-101B-9397-08002B2CF9AE}" pid="3" name="ZOTERO_PREF_2">
    <vt:lpwstr>"/&gt;&lt;pref name="automaticJournalAbbreviations" value="true"/&gt;&lt;pref name="dontAskDelayCitationUpdates" value="true"/&gt;&lt;/prefs&gt;&lt;/data&gt;</vt:lpwstr>
  </property>
  <property fmtid="{D5CDD505-2E9C-101B-9397-08002B2CF9AE}" pid="4" name="ContentTypeId">
    <vt:lpwstr>0x010100626F03E8FB312D47BEBB09767D8C1FF2</vt:lpwstr>
  </property>
  <property fmtid="{D5CDD505-2E9C-101B-9397-08002B2CF9AE}" pid="5" name="MediaServiceImageTags">
    <vt:lpwstr/>
  </property>
</Properties>
</file>