
<file path=[Content_Types].xml><?xml version="1.0" encoding="utf-8"?>
<Types xmlns="http://schemas.openxmlformats.org/package/2006/content-types">
  <Default Extension="tiff" ContentType="image/tif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cs="Times New Roman"/>
          <w:b/>
          <w:bCs/>
          <w:sz w:val="20"/>
          <w:szCs w:val="20"/>
        </w:rPr>
      </w:pPr>
      <w:r>
        <w:rPr>
          <w:rFonts w:ascii="Times New Roman" w:hAnsi="Times New Roman" w:cs="Times New Roman"/>
          <w:b/>
          <w:bCs/>
          <w:sz w:val="20"/>
          <w:szCs w:val="20"/>
        </w:rPr>
        <w:t>Supplementary Material</w:t>
      </w:r>
    </w:p>
    <w:p>
      <w:pPr>
        <w:rPr>
          <w:rFonts w:ascii="Times New Roman" w:hAnsi="Times New Roman" w:cs="Times New Roman"/>
          <w:b/>
          <w:sz w:val="20"/>
          <w:szCs w:val="20"/>
        </w:rPr>
      </w:pPr>
      <w:r>
        <w:rPr>
          <w:rFonts w:ascii="Times New Roman" w:hAnsi="Times New Roman" w:cs="Times New Roman"/>
          <w:b/>
          <w:sz w:val="20"/>
          <w:szCs w:val="20"/>
        </w:rPr>
        <w:t>Table S1. TCGA 33 cancer cohorts and their abbreviations.</w:t>
      </w:r>
    </w:p>
    <w:tbl>
      <w:tblPr>
        <w:tblStyle w:val="6"/>
        <w:tblW w:w="10207"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84"/>
        <w:gridCol w:w="1320"/>
        <w:gridCol w:w="3685"/>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84" w:type="dxa"/>
            <w:tcBorders>
              <w:top w:val="single" w:color="auto" w:sz="12" w:space="0"/>
              <w:left w:val="nil"/>
              <w:bottom w:val="single" w:color="auto" w:sz="12" w:space="0"/>
              <w:right w:val="nil"/>
            </w:tcBorders>
          </w:tcPr>
          <w:p>
            <w:pPr>
              <w:rPr>
                <w:rFonts w:ascii="Times New Roman" w:hAnsi="Times New Roman" w:cs="Times New Roman"/>
                <w:b/>
                <w:sz w:val="16"/>
                <w:szCs w:val="16"/>
              </w:rPr>
            </w:pPr>
            <w:r>
              <w:rPr>
                <w:rFonts w:ascii="Times New Roman" w:hAnsi="Times New Roman" w:cs="Times New Roman"/>
                <w:b/>
                <w:sz w:val="16"/>
                <w:szCs w:val="16"/>
              </w:rPr>
              <w:t>Cancer full name</w:t>
            </w:r>
          </w:p>
        </w:tc>
        <w:tc>
          <w:tcPr>
            <w:tcW w:w="1320" w:type="dxa"/>
            <w:tcBorders>
              <w:top w:val="single" w:color="auto" w:sz="12" w:space="0"/>
              <w:left w:val="nil"/>
              <w:bottom w:val="single" w:color="auto" w:sz="12" w:space="0"/>
              <w:right w:val="nil"/>
            </w:tcBorders>
          </w:tcPr>
          <w:p>
            <w:pPr>
              <w:rPr>
                <w:rFonts w:ascii="Times New Roman" w:hAnsi="Times New Roman" w:cs="Times New Roman"/>
                <w:b/>
                <w:sz w:val="16"/>
                <w:szCs w:val="16"/>
              </w:rPr>
            </w:pPr>
            <w:r>
              <w:rPr>
                <w:rFonts w:ascii="Times New Roman" w:hAnsi="Times New Roman" w:cs="Times New Roman"/>
                <w:b/>
                <w:sz w:val="16"/>
                <w:szCs w:val="16"/>
              </w:rPr>
              <w:t>Abbreviation</w:t>
            </w:r>
          </w:p>
        </w:tc>
        <w:tc>
          <w:tcPr>
            <w:tcW w:w="3685" w:type="dxa"/>
            <w:tcBorders>
              <w:top w:val="single" w:color="auto" w:sz="12" w:space="0"/>
              <w:left w:val="nil"/>
              <w:bottom w:val="single" w:color="auto" w:sz="12" w:space="0"/>
              <w:right w:val="nil"/>
            </w:tcBorders>
          </w:tcPr>
          <w:p>
            <w:pPr>
              <w:rPr>
                <w:rFonts w:ascii="Times New Roman" w:hAnsi="Times New Roman" w:cs="Times New Roman"/>
                <w:b/>
                <w:sz w:val="16"/>
                <w:szCs w:val="16"/>
              </w:rPr>
            </w:pPr>
            <w:r>
              <w:rPr>
                <w:rFonts w:ascii="Times New Roman" w:hAnsi="Times New Roman" w:cs="Times New Roman"/>
                <w:b/>
                <w:sz w:val="16"/>
                <w:szCs w:val="16"/>
              </w:rPr>
              <w:t>Cancer full name</w:t>
            </w:r>
          </w:p>
        </w:tc>
        <w:tc>
          <w:tcPr>
            <w:tcW w:w="1418" w:type="dxa"/>
            <w:tcBorders>
              <w:top w:val="single" w:color="auto" w:sz="12" w:space="0"/>
              <w:left w:val="nil"/>
              <w:bottom w:val="single" w:color="auto" w:sz="12" w:space="0"/>
              <w:right w:val="nil"/>
            </w:tcBorders>
          </w:tcPr>
          <w:p>
            <w:pPr>
              <w:rPr>
                <w:rFonts w:ascii="Times New Roman" w:hAnsi="Times New Roman" w:cs="Times New Roman"/>
                <w:b/>
                <w:sz w:val="16"/>
                <w:szCs w:val="16"/>
              </w:rPr>
            </w:pPr>
            <w:r>
              <w:rPr>
                <w:rFonts w:ascii="Times New Roman" w:hAnsi="Times New Roman" w:cs="Times New Roman"/>
                <w:b/>
                <w:sz w:val="16"/>
                <w:szCs w:val="16"/>
              </w:rPr>
              <w:t>Abbreviation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84" w:type="dxa"/>
            <w:tcBorders>
              <w:top w:val="single" w:color="auto" w:sz="12" w:space="0"/>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Adrenocortical carcinoma</w:t>
            </w:r>
          </w:p>
        </w:tc>
        <w:tc>
          <w:tcPr>
            <w:tcW w:w="1320" w:type="dxa"/>
            <w:tcBorders>
              <w:top w:val="single" w:color="auto" w:sz="12" w:space="0"/>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ACC</w:t>
            </w:r>
          </w:p>
        </w:tc>
        <w:tc>
          <w:tcPr>
            <w:tcW w:w="3685" w:type="dxa"/>
            <w:tcBorders>
              <w:top w:val="single" w:color="auto" w:sz="12" w:space="0"/>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Lung adenocarcinoma</w:t>
            </w:r>
          </w:p>
        </w:tc>
        <w:tc>
          <w:tcPr>
            <w:tcW w:w="1418" w:type="dxa"/>
            <w:tcBorders>
              <w:top w:val="single" w:color="auto" w:sz="12" w:space="0"/>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LUAD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84"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Bladder Urothelial Carcinoma</w:t>
            </w:r>
          </w:p>
        </w:tc>
        <w:tc>
          <w:tcPr>
            <w:tcW w:w="1320"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BLCA</w:t>
            </w:r>
          </w:p>
        </w:tc>
        <w:tc>
          <w:tcPr>
            <w:tcW w:w="3685"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Lung squamous cell carcinoma</w:t>
            </w:r>
          </w:p>
        </w:tc>
        <w:tc>
          <w:tcPr>
            <w:tcW w:w="1418"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LUSC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84"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Breast invasive carcinoma</w:t>
            </w:r>
          </w:p>
        </w:tc>
        <w:tc>
          <w:tcPr>
            <w:tcW w:w="1320"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BRCA</w:t>
            </w:r>
          </w:p>
        </w:tc>
        <w:tc>
          <w:tcPr>
            <w:tcW w:w="3685"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Mesothelioma</w:t>
            </w:r>
          </w:p>
        </w:tc>
        <w:tc>
          <w:tcPr>
            <w:tcW w:w="1418"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MESO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84"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Cervical squamous cell carcinoma and endocervical adenocarcinoma</w:t>
            </w:r>
          </w:p>
        </w:tc>
        <w:tc>
          <w:tcPr>
            <w:tcW w:w="1320"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CESC</w:t>
            </w:r>
          </w:p>
        </w:tc>
        <w:tc>
          <w:tcPr>
            <w:tcW w:w="3685"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Ovarian serous cystadenocarcinoma</w:t>
            </w:r>
          </w:p>
        </w:tc>
        <w:tc>
          <w:tcPr>
            <w:tcW w:w="1418"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OV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84"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Cholangiocarcinoma</w:t>
            </w:r>
          </w:p>
        </w:tc>
        <w:tc>
          <w:tcPr>
            <w:tcW w:w="1320"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CHOL</w:t>
            </w:r>
          </w:p>
        </w:tc>
        <w:tc>
          <w:tcPr>
            <w:tcW w:w="3685"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Pancreatic adenocarcinoma</w:t>
            </w:r>
          </w:p>
        </w:tc>
        <w:tc>
          <w:tcPr>
            <w:tcW w:w="1418"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PAAD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84"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Colon adenocarcinoma</w:t>
            </w:r>
          </w:p>
        </w:tc>
        <w:tc>
          <w:tcPr>
            <w:tcW w:w="1320"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COAD</w:t>
            </w:r>
          </w:p>
        </w:tc>
        <w:tc>
          <w:tcPr>
            <w:tcW w:w="3685"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Pheochromocytoma and Paraganglioma</w:t>
            </w:r>
          </w:p>
        </w:tc>
        <w:tc>
          <w:tcPr>
            <w:tcW w:w="1418"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PCPG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84"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Lymphoid Neoplasm Diffuse Large B-cell Lymphoma</w:t>
            </w:r>
          </w:p>
        </w:tc>
        <w:tc>
          <w:tcPr>
            <w:tcW w:w="1320"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DLBC</w:t>
            </w:r>
          </w:p>
        </w:tc>
        <w:tc>
          <w:tcPr>
            <w:tcW w:w="3685"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Prostate adenocarcinoma</w:t>
            </w:r>
          </w:p>
        </w:tc>
        <w:tc>
          <w:tcPr>
            <w:tcW w:w="1418"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PRAD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84"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Esophageal carcinoma</w:t>
            </w:r>
          </w:p>
        </w:tc>
        <w:tc>
          <w:tcPr>
            <w:tcW w:w="1320"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ESCA</w:t>
            </w:r>
          </w:p>
        </w:tc>
        <w:tc>
          <w:tcPr>
            <w:tcW w:w="3685"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Rectum adenocarcinoma</w:t>
            </w:r>
          </w:p>
        </w:tc>
        <w:tc>
          <w:tcPr>
            <w:tcW w:w="1418"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READ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84"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Glioblastoma multiforme</w:t>
            </w:r>
          </w:p>
        </w:tc>
        <w:tc>
          <w:tcPr>
            <w:tcW w:w="1320"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GBM</w:t>
            </w:r>
          </w:p>
        </w:tc>
        <w:tc>
          <w:tcPr>
            <w:tcW w:w="3685"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Sarcoma</w:t>
            </w:r>
          </w:p>
        </w:tc>
        <w:tc>
          <w:tcPr>
            <w:tcW w:w="1418"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SARC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84"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Head and Neck squamous cell carcinoma</w:t>
            </w:r>
          </w:p>
        </w:tc>
        <w:tc>
          <w:tcPr>
            <w:tcW w:w="1320"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HNSC</w:t>
            </w:r>
          </w:p>
        </w:tc>
        <w:tc>
          <w:tcPr>
            <w:tcW w:w="3685"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Skin Cutaneous Melanoma</w:t>
            </w:r>
          </w:p>
        </w:tc>
        <w:tc>
          <w:tcPr>
            <w:tcW w:w="1418"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SKCM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84"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Kidney Chromophobe</w:t>
            </w:r>
          </w:p>
        </w:tc>
        <w:tc>
          <w:tcPr>
            <w:tcW w:w="1320"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KICH</w:t>
            </w:r>
          </w:p>
        </w:tc>
        <w:tc>
          <w:tcPr>
            <w:tcW w:w="3685"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Stomach adenocarcinoma</w:t>
            </w:r>
          </w:p>
        </w:tc>
        <w:tc>
          <w:tcPr>
            <w:tcW w:w="1418"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STAD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84"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Kidney renal clear cell carcinoma</w:t>
            </w:r>
          </w:p>
        </w:tc>
        <w:tc>
          <w:tcPr>
            <w:tcW w:w="1320"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KIRC</w:t>
            </w:r>
          </w:p>
        </w:tc>
        <w:tc>
          <w:tcPr>
            <w:tcW w:w="3685"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Testicular Germ Cell Tumors</w:t>
            </w:r>
          </w:p>
        </w:tc>
        <w:tc>
          <w:tcPr>
            <w:tcW w:w="1418"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TGCT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84"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Kidney renal papillary cell carcinoma</w:t>
            </w:r>
          </w:p>
        </w:tc>
        <w:tc>
          <w:tcPr>
            <w:tcW w:w="1320"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KIRP</w:t>
            </w:r>
          </w:p>
        </w:tc>
        <w:tc>
          <w:tcPr>
            <w:tcW w:w="3685"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Thyroid carcinoma</w:t>
            </w:r>
          </w:p>
        </w:tc>
        <w:tc>
          <w:tcPr>
            <w:tcW w:w="1418"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THCA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84"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Acute Myeloid Leukemia</w:t>
            </w:r>
          </w:p>
        </w:tc>
        <w:tc>
          <w:tcPr>
            <w:tcW w:w="1320"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LAML</w:t>
            </w:r>
          </w:p>
        </w:tc>
        <w:tc>
          <w:tcPr>
            <w:tcW w:w="3685"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Thymoma</w:t>
            </w:r>
          </w:p>
        </w:tc>
        <w:tc>
          <w:tcPr>
            <w:tcW w:w="1418"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THYM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84"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Brain Lower Grade Glioma</w:t>
            </w:r>
          </w:p>
        </w:tc>
        <w:tc>
          <w:tcPr>
            <w:tcW w:w="1320"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LGG</w:t>
            </w:r>
          </w:p>
        </w:tc>
        <w:tc>
          <w:tcPr>
            <w:tcW w:w="3685"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Uterine Corpus Endometrial Carcinoma</w:t>
            </w:r>
          </w:p>
        </w:tc>
        <w:tc>
          <w:tcPr>
            <w:tcW w:w="1418"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UCEC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84"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Liver hepatocellular carcinoma</w:t>
            </w:r>
          </w:p>
        </w:tc>
        <w:tc>
          <w:tcPr>
            <w:tcW w:w="1320"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LIHC</w:t>
            </w:r>
          </w:p>
        </w:tc>
        <w:tc>
          <w:tcPr>
            <w:tcW w:w="3685"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Uterine Carcinosarcoma</w:t>
            </w:r>
          </w:p>
        </w:tc>
        <w:tc>
          <w:tcPr>
            <w:tcW w:w="1418" w:type="dxa"/>
            <w:tcBorders>
              <w:top w:val="nil"/>
              <w:left w:val="nil"/>
              <w:bottom w:val="nil"/>
              <w:right w:val="nil"/>
            </w:tcBorders>
          </w:tcPr>
          <w:p>
            <w:pPr>
              <w:rPr>
                <w:rFonts w:ascii="Times New Roman" w:hAnsi="Times New Roman" w:cs="Times New Roman"/>
                <w:sz w:val="16"/>
                <w:szCs w:val="16"/>
              </w:rPr>
            </w:pPr>
            <w:r>
              <w:rPr>
                <w:rFonts w:ascii="Times New Roman" w:hAnsi="Times New Roman" w:cs="Times New Roman"/>
                <w:sz w:val="16"/>
                <w:szCs w:val="16"/>
              </w:rPr>
              <w:t>UCS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84" w:type="dxa"/>
            <w:tcBorders>
              <w:top w:val="nil"/>
              <w:left w:val="nil"/>
              <w:bottom w:val="single" w:color="auto" w:sz="12" w:space="0"/>
              <w:right w:val="nil"/>
            </w:tcBorders>
          </w:tcPr>
          <w:p>
            <w:pPr>
              <w:rPr>
                <w:rFonts w:ascii="Times New Roman" w:hAnsi="Times New Roman" w:cs="Times New Roman"/>
                <w:sz w:val="16"/>
                <w:szCs w:val="16"/>
              </w:rPr>
            </w:pPr>
            <w:r>
              <w:rPr>
                <w:rFonts w:ascii="Times New Roman" w:hAnsi="Times New Roman" w:cs="Times New Roman"/>
                <w:sz w:val="16"/>
                <w:szCs w:val="16"/>
              </w:rPr>
              <w:t>Uveal Melanoma</w:t>
            </w:r>
          </w:p>
        </w:tc>
        <w:tc>
          <w:tcPr>
            <w:tcW w:w="1320" w:type="dxa"/>
            <w:tcBorders>
              <w:top w:val="nil"/>
              <w:left w:val="nil"/>
              <w:bottom w:val="single" w:color="auto" w:sz="12" w:space="0"/>
              <w:right w:val="nil"/>
            </w:tcBorders>
          </w:tcPr>
          <w:p>
            <w:pPr>
              <w:rPr>
                <w:rFonts w:ascii="Times New Roman" w:hAnsi="Times New Roman" w:cs="Times New Roman"/>
                <w:sz w:val="16"/>
                <w:szCs w:val="16"/>
              </w:rPr>
            </w:pPr>
            <w:r>
              <w:rPr>
                <w:rFonts w:ascii="Times New Roman" w:hAnsi="Times New Roman" w:cs="Times New Roman"/>
                <w:sz w:val="16"/>
                <w:szCs w:val="16"/>
              </w:rPr>
              <w:t>UVM</w:t>
            </w:r>
          </w:p>
        </w:tc>
        <w:tc>
          <w:tcPr>
            <w:tcW w:w="3685" w:type="dxa"/>
            <w:tcBorders>
              <w:top w:val="nil"/>
              <w:left w:val="nil"/>
              <w:bottom w:val="single" w:color="auto" w:sz="12" w:space="0"/>
              <w:right w:val="nil"/>
            </w:tcBorders>
          </w:tcPr>
          <w:p>
            <w:pPr>
              <w:rPr>
                <w:rFonts w:ascii="Times New Roman" w:hAnsi="Times New Roman" w:cs="Times New Roman"/>
                <w:sz w:val="16"/>
                <w:szCs w:val="16"/>
              </w:rPr>
            </w:pPr>
          </w:p>
        </w:tc>
        <w:tc>
          <w:tcPr>
            <w:tcW w:w="1418" w:type="dxa"/>
            <w:tcBorders>
              <w:top w:val="nil"/>
              <w:left w:val="nil"/>
              <w:bottom w:val="single" w:color="auto" w:sz="12" w:space="0"/>
              <w:right w:val="nil"/>
            </w:tcBorders>
          </w:tcPr>
          <w:p>
            <w:pPr>
              <w:rPr>
                <w:rFonts w:ascii="Times New Roman" w:hAnsi="Times New Roman" w:cs="Times New Roman"/>
                <w:sz w:val="16"/>
                <w:szCs w:val="16"/>
              </w:rPr>
            </w:pPr>
          </w:p>
        </w:tc>
      </w:tr>
    </w:tbl>
    <w:p>
      <w:pPr>
        <w:rPr>
          <w:rFonts w:ascii="Times New Roman" w:hAnsi="Times New Roman" w:cs="Times New Roman"/>
          <w:sz w:val="20"/>
          <w:szCs w:val="20"/>
        </w:rPr>
      </w:pPr>
    </w:p>
    <w:p>
      <w:pPr>
        <w:widowControl/>
        <w:jc w:val="left"/>
        <w:rPr>
          <w:rFonts w:ascii="Times New Roman" w:hAnsi="Times New Roman" w:cs="Times New Roman"/>
          <w:sz w:val="20"/>
          <w:szCs w:val="20"/>
        </w:rPr>
      </w:pPr>
      <w:r>
        <w:rPr>
          <w:rFonts w:ascii="Times New Roman" w:hAnsi="Times New Roman" w:cs="Times New Roman"/>
          <w:sz w:val="20"/>
          <w:szCs w:val="20"/>
        </w:rPr>
        <w:br w:type="page"/>
      </w:r>
    </w:p>
    <w:p>
      <w:pPr>
        <w:rPr>
          <w:rFonts w:ascii="Times New Roman" w:hAnsi="Times New Roman" w:cs="Times New Roman"/>
          <w:sz w:val="20"/>
          <w:szCs w:val="20"/>
        </w:rPr>
      </w:pPr>
      <w:r>
        <w:rPr>
          <w:rFonts w:ascii="Times New Roman" w:hAnsi="Times New Roman" w:cs="Times New Roman"/>
          <w:sz w:val="20"/>
          <w:szCs w:val="20"/>
        </w:rPr>
        <w:drawing>
          <wp:inline distT="0" distB="0" distL="0" distR="0">
            <wp:extent cx="5266690" cy="5640705"/>
            <wp:effectExtent l="19050" t="0" r="0" b="0"/>
            <wp:docPr id="3" name="图片 1" descr="C:\Users\Administrator\Desktop\final manuscript\Figure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Administrator\Desktop\final manuscript\FigureS1.tif"/>
                    <pic:cNvPicPr>
                      <a:picLocks noChangeAspect="1" noChangeArrowheads="1"/>
                    </pic:cNvPicPr>
                  </pic:nvPicPr>
                  <pic:blipFill>
                    <a:blip r:embed="rId4" cstate="print"/>
                    <a:srcRect/>
                    <a:stretch>
                      <a:fillRect/>
                    </a:stretch>
                  </pic:blipFill>
                  <pic:spPr>
                    <a:xfrm>
                      <a:off x="0" y="0"/>
                      <a:ext cx="5266690" cy="5640705"/>
                    </a:xfrm>
                    <a:prstGeom prst="rect">
                      <a:avLst/>
                    </a:prstGeom>
                    <a:noFill/>
                    <a:ln w="9525">
                      <a:noFill/>
                      <a:miter lim="800000"/>
                      <a:headEnd/>
                      <a:tailEnd/>
                    </a:ln>
                  </pic:spPr>
                </pic:pic>
              </a:graphicData>
            </a:graphic>
          </wp:inline>
        </w:drawing>
      </w:r>
    </w:p>
    <w:p>
      <w:pPr>
        <w:rPr>
          <w:rFonts w:ascii="Times New Roman" w:hAnsi="Times New Roman" w:cs="Times New Roman"/>
          <w:b/>
          <w:bCs/>
          <w:sz w:val="20"/>
          <w:szCs w:val="20"/>
        </w:rPr>
      </w:pPr>
      <w:r>
        <w:rPr>
          <w:rFonts w:ascii="Times New Roman" w:hAnsi="Times New Roman" w:cs="Times New Roman"/>
          <w:b/>
          <w:bCs/>
          <w:sz w:val="20"/>
          <w:szCs w:val="20"/>
        </w:rPr>
        <w:t>Figure S1. Correlation analysis between ANO family and six immune subtypes.</w:t>
      </w:r>
    </w:p>
    <w:p>
      <w:pPr>
        <w:rPr>
          <w:rFonts w:ascii="Times New Roman" w:hAnsi="Times New Roman" w:cs="Times New Roman"/>
          <w:bCs/>
          <w:sz w:val="20"/>
          <w:szCs w:val="20"/>
        </w:rPr>
      </w:pPr>
      <w:r>
        <w:rPr>
          <w:rFonts w:ascii="Times New Roman" w:hAnsi="Times New Roman" w:cs="Times New Roman"/>
          <w:bCs/>
          <w:sz w:val="20"/>
          <w:szCs w:val="20"/>
        </w:rPr>
        <w:t>(</w:t>
      </w:r>
      <w:r>
        <w:rPr>
          <w:rFonts w:hint="eastAsia" w:ascii="Times New Roman" w:hAnsi="Times New Roman" w:cs="Times New Roman"/>
          <w:bCs/>
          <w:sz w:val="20"/>
          <w:szCs w:val="20"/>
        </w:rPr>
        <w:t>a</w:t>
      </w:r>
      <w:r>
        <w:rPr>
          <w:rFonts w:ascii="Times New Roman" w:hAnsi="Times New Roman" w:cs="Times New Roman"/>
          <w:bCs/>
          <w:sz w:val="20"/>
          <w:szCs w:val="20"/>
        </w:rPr>
        <w:t>)</w:t>
      </w:r>
      <w:r>
        <w:rPr>
          <w:rFonts w:ascii="Times New Roman" w:hAnsi="Times New Roman" w:cs="Times New Roman"/>
          <w:bCs/>
          <w:sz w:val="20"/>
          <w:szCs w:val="20"/>
        </w:rPr>
        <w:tab/>
      </w:r>
      <w:r>
        <w:rPr>
          <w:rFonts w:ascii="Times New Roman" w:hAnsi="Times New Roman" w:cs="Times New Roman"/>
          <w:bCs/>
          <w:sz w:val="20"/>
          <w:szCs w:val="20"/>
        </w:rPr>
        <w:t>The medium expression level of ANO family in C1-C6 immune subtypes.</w:t>
      </w:r>
    </w:p>
    <w:p>
      <w:pPr>
        <w:rPr>
          <w:rFonts w:ascii="Times New Roman" w:hAnsi="Times New Roman" w:cs="Times New Roman"/>
          <w:bCs/>
          <w:sz w:val="20"/>
          <w:szCs w:val="20"/>
        </w:rPr>
      </w:pPr>
      <w:r>
        <w:rPr>
          <w:rFonts w:ascii="Times New Roman" w:hAnsi="Times New Roman" w:cs="Times New Roman"/>
          <w:bCs/>
          <w:sz w:val="20"/>
          <w:szCs w:val="20"/>
        </w:rPr>
        <w:t>(</w:t>
      </w:r>
      <w:r>
        <w:rPr>
          <w:rFonts w:hint="eastAsia" w:ascii="Times New Roman" w:hAnsi="Times New Roman" w:cs="Times New Roman"/>
          <w:bCs/>
          <w:sz w:val="20"/>
          <w:szCs w:val="20"/>
        </w:rPr>
        <w:t>b</w:t>
      </w:r>
      <w:r>
        <w:rPr>
          <w:rFonts w:ascii="Times New Roman" w:hAnsi="Times New Roman" w:cs="Times New Roman"/>
          <w:bCs/>
          <w:sz w:val="20"/>
          <w:szCs w:val="20"/>
        </w:rPr>
        <w:t>-</w:t>
      </w:r>
      <w:r>
        <w:rPr>
          <w:rFonts w:hint="eastAsia" w:ascii="Times New Roman" w:hAnsi="Times New Roman" w:cs="Times New Roman"/>
          <w:bCs/>
          <w:sz w:val="20"/>
          <w:szCs w:val="20"/>
        </w:rPr>
        <w:t>d</w:t>
      </w:r>
      <w:r>
        <w:rPr>
          <w:rFonts w:ascii="Times New Roman" w:hAnsi="Times New Roman" w:cs="Times New Roman"/>
          <w:bCs/>
          <w:sz w:val="20"/>
          <w:szCs w:val="20"/>
        </w:rPr>
        <w:t>)</w:t>
      </w:r>
      <w:r>
        <w:rPr>
          <w:rFonts w:ascii="Times New Roman" w:hAnsi="Times New Roman" w:cs="Times New Roman"/>
          <w:bCs/>
          <w:sz w:val="20"/>
          <w:szCs w:val="20"/>
        </w:rPr>
        <w:tab/>
      </w:r>
      <w:r>
        <w:rPr>
          <w:rFonts w:ascii="Times New Roman" w:hAnsi="Times New Roman" w:cs="Times New Roman"/>
          <w:bCs/>
          <w:sz w:val="20"/>
          <w:szCs w:val="20"/>
        </w:rPr>
        <w:t>Boxplot showing expression differences of ANO family in different immune subtypes with tumor of LIHC, BRCA and SARC, respectively.</w:t>
      </w:r>
    </w:p>
    <w:p>
      <w:pPr>
        <w:rPr>
          <w:rFonts w:ascii="Times New Roman" w:hAnsi="Times New Roman" w:cs="Times New Roman"/>
          <w:bCs/>
          <w:sz w:val="20"/>
          <w:szCs w:val="20"/>
        </w:rPr>
      </w:pPr>
      <w:r>
        <w:rPr>
          <w:rFonts w:ascii="Times New Roman" w:hAnsi="Times New Roman" w:cs="Times New Roman"/>
          <w:bCs/>
          <w:sz w:val="20"/>
          <w:szCs w:val="20"/>
        </w:rPr>
        <w:t xml:space="preserve">(***: p &lt; 0.001; **: p &lt; 0.01; *: p&lt;0.05; LIHC: Liver hepatocellular carcinoma, BRCA: Breast invasive carcinoma, SARC: Sarcoma). </w:t>
      </w:r>
      <w:bookmarkStart w:id="0" w:name="_GoBack"/>
      <w:bookmarkEnd w:id="0"/>
    </w:p>
    <w:p>
      <w:pPr>
        <w:rPr>
          <w:rFonts w:ascii="Times New Roman" w:hAnsi="Times New Roman" w:cs="Times New Roman"/>
          <w:b/>
          <w:bCs/>
          <w:sz w:val="20"/>
          <w:szCs w:val="20"/>
        </w:rPr>
      </w:pPr>
      <w:r>
        <w:rPr>
          <w:rFonts w:ascii="Times New Roman" w:hAnsi="Times New Roman" w:cs="Times New Roman"/>
          <w:b/>
          <w:bCs/>
          <w:sz w:val="20"/>
          <w:szCs w:val="20"/>
        </w:rPr>
        <w:drawing>
          <wp:inline distT="0" distB="0" distL="0" distR="0">
            <wp:extent cx="5270500" cy="6376035"/>
            <wp:effectExtent l="19050" t="0" r="6350" b="0"/>
            <wp:docPr id="7" name="图片 2" descr="C:\Users\Administrator\Desktop\final manuscript\Figure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C:\Users\Administrator\Desktop\final manuscript\FigureS2.tif"/>
                    <pic:cNvPicPr>
                      <a:picLocks noChangeAspect="1" noChangeArrowheads="1"/>
                    </pic:cNvPicPr>
                  </pic:nvPicPr>
                  <pic:blipFill>
                    <a:blip r:embed="rId5" cstate="print"/>
                    <a:srcRect/>
                    <a:stretch>
                      <a:fillRect/>
                    </a:stretch>
                  </pic:blipFill>
                  <pic:spPr>
                    <a:xfrm>
                      <a:off x="0" y="0"/>
                      <a:ext cx="5270500" cy="6376389"/>
                    </a:xfrm>
                    <a:prstGeom prst="rect">
                      <a:avLst/>
                    </a:prstGeom>
                    <a:noFill/>
                    <a:ln w="9525">
                      <a:noFill/>
                      <a:miter lim="800000"/>
                      <a:headEnd/>
                      <a:tailEnd/>
                    </a:ln>
                  </pic:spPr>
                </pic:pic>
              </a:graphicData>
            </a:graphic>
          </wp:inline>
        </w:drawing>
      </w:r>
    </w:p>
    <w:p>
      <w:pPr>
        <w:rPr>
          <w:rFonts w:hint="eastAsia" w:ascii="Times New Roman" w:hAnsi="Times New Roman" w:cs="Times New Roman"/>
          <w:b w:val="0"/>
          <w:bCs w:val="0"/>
          <w:sz w:val="20"/>
          <w:szCs w:val="20"/>
        </w:rPr>
      </w:pPr>
      <w:r>
        <w:rPr>
          <w:rFonts w:ascii="Times New Roman" w:hAnsi="Times New Roman" w:cs="Times New Roman"/>
          <w:b/>
          <w:bCs/>
          <w:sz w:val="20"/>
          <w:szCs w:val="20"/>
        </w:rPr>
        <w:t xml:space="preserve">Figure S2. </w:t>
      </w:r>
      <w:r>
        <w:rPr>
          <w:rFonts w:ascii="Times New Roman" w:hAnsi="Times New Roman" w:cs="Times New Roman"/>
          <w:b w:val="0"/>
          <w:bCs w:val="0"/>
          <w:sz w:val="20"/>
          <w:szCs w:val="20"/>
        </w:rPr>
        <w:t xml:space="preserve">Three examples showing the correlation between ANO family and stemness indices, stromal scores, immune scores, estimate scores and tumor purity. </w:t>
      </w:r>
    </w:p>
    <w:p>
      <w:pPr>
        <w:rPr>
          <w:rFonts w:ascii="Times New Roman" w:hAnsi="Times New Roman" w:cs="Times New Roman"/>
          <w:b w:val="0"/>
          <w:bCs w:val="0"/>
          <w:sz w:val="20"/>
          <w:szCs w:val="20"/>
        </w:rPr>
      </w:pPr>
      <w:r>
        <w:rPr>
          <w:rFonts w:ascii="Times New Roman" w:hAnsi="Times New Roman" w:cs="Times New Roman"/>
          <w:b w:val="0"/>
          <w:bCs w:val="0"/>
          <w:sz w:val="20"/>
          <w:szCs w:val="20"/>
        </w:rPr>
        <w:t xml:space="preserve">(LIHC: liver hepatocellular carcinoma; COAD: colorectal adenocarcinoma; HNSC: head and neck squamous carcinoma) </w:t>
      </w:r>
    </w:p>
    <w:p>
      <w:pPr>
        <w:rPr>
          <w:rFonts w:ascii="Times New Roman" w:hAnsi="Times New Roman" w:cs="Times New Roman"/>
          <w:b/>
          <w:bCs/>
          <w:sz w:val="20"/>
          <w:szCs w:val="20"/>
        </w:rPr>
      </w:pPr>
      <w:r>
        <w:rPr>
          <w:rFonts w:ascii="Times New Roman" w:hAnsi="Times New Roman" w:cs="Times New Roman"/>
          <w:b/>
          <w:bCs/>
          <w:sz w:val="20"/>
          <w:szCs w:val="20"/>
        </w:rPr>
        <w:drawing>
          <wp:inline distT="0" distB="0" distL="0" distR="0">
            <wp:extent cx="5270500" cy="4891405"/>
            <wp:effectExtent l="19050" t="0" r="6350" b="0"/>
            <wp:docPr id="8" name="图片 3" descr="C:\Users\Administrator\Desktop\final manuscript\Figure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C:\Users\Administrator\Desktop\final manuscript\FigureS3.tif"/>
                    <pic:cNvPicPr>
                      <a:picLocks noChangeAspect="1" noChangeArrowheads="1"/>
                    </pic:cNvPicPr>
                  </pic:nvPicPr>
                  <pic:blipFill>
                    <a:blip r:embed="rId6" cstate="print"/>
                    <a:srcRect/>
                    <a:stretch>
                      <a:fillRect/>
                    </a:stretch>
                  </pic:blipFill>
                  <pic:spPr>
                    <a:xfrm>
                      <a:off x="0" y="0"/>
                      <a:ext cx="5270500" cy="4891856"/>
                    </a:xfrm>
                    <a:prstGeom prst="rect">
                      <a:avLst/>
                    </a:prstGeom>
                    <a:noFill/>
                    <a:ln w="9525">
                      <a:noFill/>
                      <a:miter lim="800000"/>
                      <a:headEnd/>
                      <a:tailEnd/>
                    </a:ln>
                  </pic:spPr>
                </pic:pic>
              </a:graphicData>
            </a:graphic>
          </wp:inline>
        </w:drawing>
      </w:r>
    </w:p>
    <w:p>
      <w:pPr>
        <w:rPr>
          <w:rFonts w:ascii="Times New Roman" w:hAnsi="Times New Roman" w:cs="Times New Roman"/>
          <w:b/>
          <w:bCs/>
          <w:sz w:val="20"/>
          <w:szCs w:val="20"/>
        </w:rPr>
      </w:pPr>
      <w:r>
        <w:rPr>
          <w:rFonts w:ascii="Times New Roman" w:hAnsi="Times New Roman" w:cs="Times New Roman"/>
          <w:b/>
          <w:bCs/>
          <w:sz w:val="20"/>
          <w:szCs w:val="20"/>
        </w:rPr>
        <w:t>Figure S3. Correlation between ANO family and drug sensivity.</w:t>
      </w:r>
    </w:p>
    <w:p>
      <w:pPr>
        <w:rPr>
          <w:rFonts w:ascii="Times New Roman" w:hAnsi="Times New Roman" w:cs="Times New Roman"/>
          <w:bCs/>
          <w:sz w:val="20"/>
          <w:szCs w:val="20"/>
        </w:rPr>
      </w:pPr>
      <w:r>
        <w:rPr>
          <w:rFonts w:ascii="Times New Roman" w:hAnsi="Times New Roman" w:cs="Times New Roman"/>
          <w:bCs/>
          <w:sz w:val="20"/>
          <w:szCs w:val="20"/>
        </w:rPr>
        <w:t>Scatter plots showing correlation between ANO family and many compounds. (Vertical axis means drug activity Z score in Cellminer database and horizontal axis stand for expression level of each ANO member)</w:t>
      </w:r>
    </w:p>
    <w:p>
      <w:pPr>
        <w:rPr>
          <w:rFonts w:ascii="Times New Roman" w:hAnsi="Times New Roman" w:cs="Times New Roman"/>
          <w:b/>
          <w:bCs/>
          <w:sz w:val="20"/>
          <w:szCs w:val="20"/>
        </w:rPr>
      </w:pPr>
      <w:r>
        <w:rPr>
          <w:rFonts w:ascii="Times New Roman" w:hAnsi="Times New Roman" w:cs="Times New Roman"/>
          <w:b/>
          <w:bCs/>
          <w:sz w:val="20"/>
          <w:szCs w:val="20"/>
        </w:rPr>
        <w:drawing>
          <wp:inline distT="0" distB="0" distL="0" distR="0">
            <wp:extent cx="5270500" cy="4146550"/>
            <wp:effectExtent l="19050" t="0" r="6350" b="0"/>
            <wp:docPr id="9" name="图片 4" descr="C:\Users\Administrator\Desktop\final manuscript\Figure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C:\Users\Administrator\Desktop\final manuscript\FigureS4.tif"/>
                    <pic:cNvPicPr>
                      <a:picLocks noChangeAspect="1" noChangeArrowheads="1"/>
                    </pic:cNvPicPr>
                  </pic:nvPicPr>
                  <pic:blipFill>
                    <a:blip r:embed="rId7" cstate="print"/>
                    <a:srcRect/>
                    <a:stretch>
                      <a:fillRect/>
                    </a:stretch>
                  </pic:blipFill>
                  <pic:spPr>
                    <a:xfrm>
                      <a:off x="0" y="0"/>
                      <a:ext cx="5270500" cy="4146966"/>
                    </a:xfrm>
                    <a:prstGeom prst="rect">
                      <a:avLst/>
                    </a:prstGeom>
                    <a:noFill/>
                    <a:ln w="9525">
                      <a:noFill/>
                      <a:miter lim="800000"/>
                      <a:headEnd/>
                      <a:tailEnd/>
                    </a:ln>
                  </pic:spPr>
                </pic:pic>
              </a:graphicData>
            </a:graphic>
          </wp:inline>
        </w:drawing>
      </w:r>
    </w:p>
    <w:p>
      <w:pPr>
        <w:rPr>
          <w:rFonts w:ascii="Times New Roman" w:hAnsi="Times New Roman" w:cs="Times New Roman"/>
          <w:b/>
          <w:bCs/>
          <w:sz w:val="20"/>
          <w:szCs w:val="20"/>
        </w:rPr>
      </w:pPr>
      <w:r>
        <w:rPr>
          <w:rFonts w:ascii="Times New Roman" w:hAnsi="Times New Roman" w:cs="Times New Roman"/>
          <w:b/>
          <w:bCs/>
          <w:sz w:val="20"/>
          <w:szCs w:val="20"/>
        </w:rPr>
        <w:t>Figure S4. Protein-protein network, correlation analysis and alteration in ANO family.</w:t>
      </w:r>
    </w:p>
    <w:p>
      <w:pPr>
        <w:rPr>
          <w:rFonts w:ascii="Times New Roman" w:hAnsi="Times New Roman" w:cs="Times New Roman"/>
          <w:bCs/>
          <w:sz w:val="20"/>
          <w:szCs w:val="20"/>
        </w:rPr>
      </w:pPr>
      <w:r>
        <w:rPr>
          <w:rFonts w:ascii="Times New Roman" w:hAnsi="Times New Roman" w:cs="Times New Roman"/>
          <w:bCs/>
          <w:sz w:val="20"/>
          <w:szCs w:val="20"/>
        </w:rPr>
        <w:t>(</w:t>
      </w:r>
      <w:r>
        <w:rPr>
          <w:rFonts w:hint="eastAsia" w:ascii="Times New Roman" w:hAnsi="Times New Roman" w:cs="Times New Roman"/>
          <w:bCs/>
          <w:sz w:val="20"/>
          <w:szCs w:val="20"/>
        </w:rPr>
        <w:t>a</w:t>
      </w:r>
      <w:r>
        <w:rPr>
          <w:rFonts w:ascii="Times New Roman" w:hAnsi="Times New Roman" w:cs="Times New Roman"/>
          <w:bCs/>
          <w:sz w:val="20"/>
          <w:szCs w:val="20"/>
        </w:rPr>
        <w:t>)</w:t>
      </w:r>
      <w:r>
        <w:rPr>
          <w:rFonts w:ascii="Times New Roman" w:hAnsi="Times New Roman" w:cs="Times New Roman"/>
          <w:bCs/>
          <w:sz w:val="20"/>
          <w:szCs w:val="20"/>
        </w:rPr>
        <w:tab/>
      </w:r>
      <w:r>
        <w:rPr>
          <w:rFonts w:ascii="Times New Roman" w:hAnsi="Times New Roman" w:cs="Times New Roman"/>
          <w:bCs/>
          <w:sz w:val="20"/>
          <w:szCs w:val="20"/>
        </w:rPr>
        <w:t>The protein-protein interaction network, ANO1, ANO8 among the center stage.</w:t>
      </w:r>
    </w:p>
    <w:p>
      <w:pPr>
        <w:rPr>
          <w:rFonts w:ascii="Times New Roman" w:hAnsi="Times New Roman" w:cs="Times New Roman"/>
          <w:bCs/>
          <w:sz w:val="20"/>
          <w:szCs w:val="20"/>
        </w:rPr>
      </w:pPr>
      <w:r>
        <w:rPr>
          <w:rFonts w:ascii="Times New Roman" w:hAnsi="Times New Roman" w:cs="Times New Roman"/>
          <w:bCs/>
          <w:sz w:val="20"/>
          <w:szCs w:val="20"/>
        </w:rPr>
        <w:t>(</w:t>
      </w:r>
      <w:r>
        <w:rPr>
          <w:rFonts w:hint="eastAsia" w:ascii="Times New Roman" w:hAnsi="Times New Roman" w:cs="Times New Roman"/>
          <w:bCs/>
          <w:sz w:val="20"/>
          <w:szCs w:val="20"/>
        </w:rPr>
        <w:t>b</w:t>
      </w:r>
      <w:r>
        <w:rPr>
          <w:rFonts w:ascii="Times New Roman" w:hAnsi="Times New Roman" w:cs="Times New Roman"/>
          <w:bCs/>
          <w:sz w:val="20"/>
          <w:szCs w:val="20"/>
        </w:rPr>
        <w:t>)</w:t>
      </w:r>
      <w:r>
        <w:rPr>
          <w:rFonts w:ascii="Times New Roman" w:hAnsi="Times New Roman" w:cs="Times New Roman"/>
          <w:bCs/>
          <w:sz w:val="20"/>
          <w:szCs w:val="20"/>
        </w:rPr>
        <w:tab/>
      </w:r>
      <w:r>
        <w:rPr>
          <w:rFonts w:ascii="Times New Roman" w:hAnsi="Times New Roman" w:cs="Times New Roman"/>
          <w:bCs/>
          <w:sz w:val="20"/>
          <w:szCs w:val="20"/>
        </w:rPr>
        <w:t>Correlation heatmap. Intense correlations were seen between ANO4 and ANO5, ANO7L1 and ANO9, both with a Pearson coefficient of 0.35.</w:t>
      </w:r>
    </w:p>
    <w:p>
      <w:pPr>
        <w:rPr>
          <w:rFonts w:ascii="Times New Roman" w:hAnsi="Times New Roman" w:cs="Times New Roman"/>
          <w:bCs/>
          <w:sz w:val="20"/>
          <w:szCs w:val="20"/>
        </w:rPr>
      </w:pPr>
      <w:r>
        <w:rPr>
          <w:rFonts w:ascii="Times New Roman" w:hAnsi="Times New Roman" w:cs="Times New Roman"/>
          <w:bCs/>
          <w:sz w:val="20"/>
          <w:szCs w:val="20"/>
        </w:rPr>
        <w:t>(</w:t>
      </w:r>
      <w:r>
        <w:rPr>
          <w:rFonts w:hint="eastAsia" w:ascii="Times New Roman" w:hAnsi="Times New Roman" w:cs="Times New Roman"/>
          <w:bCs/>
          <w:sz w:val="20"/>
          <w:szCs w:val="20"/>
        </w:rPr>
        <w:t>c</w:t>
      </w:r>
      <w:r>
        <w:rPr>
          <w:rFonts w:ascii="Times New Roman" w:hAnsi="Times New Roman" w:cs="Times New Roman"/>
          <w:bCs/>
          <w:sz w:val="20"/>
          <w:szCs w:val="20"/>
        </w:rPr>
        <w:t>)</w:t>
      </w:r>
      <w:r>
        <w:rPr>
          <w:rFonts w:ascii="Times New Roman" w:hAnsi="Times New Roman" w:cs="Times New Roman"/>
          <w:bCs/>
          <w:sz w:val="20"/>
          <w:szCs w:val="20"/>
        </w:rPr>
        <w:tab/>
      </w:r>
      <w:r>
        <w:rPr>
          <w:rFonts w:ascii="Times New Roman" w:hAnsi="Times New Roman" w:cs="Times New Roman"/>
          <w:bCs/>
          <w:sz w:val="20"/>
          <w:szCs w:val="20"/>
        </w:rPr>
        <w:t>Oncoprint showing the alteration of ANO family. ANO1, ANO2 took up the top roll with a mutation frequency of 7% and 4% respectively.</w:t>
      </w:r>
    </w:p>
    <w:p>
      <w:pPr>
        <w:rPr>
          <w:rFonts w:ascii="Times New Roman" w:hAnsi="Times New Roman" w:cs="Times New Roman"/>
          <w:b/>
          <w:bCs/>
          <w:sz w:val="20"/>
          <w:szCs w:val="20"/>
        </w:rPr>
      </w:pPr>
      <w:r>
        <w:rPr>
          <w:rFonts w:ascii="Times New Roman" w:hAnsi="Times New Roman" w:cs="Times New Roman"/>
          <w:b/>
          <w:bCs/>
          <w:sz w:val="20"/>
          <w:szCs w:val="20"/>
        </w:rPr>
        <w:drawing>
          <wp:inline distT="0" distB="0" distL="0" distR="0">
            <wp:extent cx="3378835" cy="3900805"/>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378835" cy="3900805"/>
                    </a:xfrm>
                    <a:prstGeom prst="rect">
                      <a:avLst/>
                    </a:prstGeom>
                    <a:noFill/>
                    <a:ln>
                      <a:noFill/>
                    </a:ln>
                  </pic:spPr>
                </pic:pic>
              </a:graphicData>
            </a:graphic>
          </wp:inline>
        </w:drawing>
      </w:r>
    </w:p>
    <w:p>
      <w:pPr>
        <w:rPr>
          <w:rFonts w:ascii="Times New Roman" w:hAnsi="Times New Roman" w:cs="Times New Roman"/>
          <w:b/>
          <w:bCs/>
          <w:sz w:val="20"/>
          <w:szCs w:val="20"/>
        </w:rPr>
      </w:pPr>
      <w:r>
        <w:rPr>
          <w:rFonts w:ascii="Times New Roman" w:hAnsi="Times New Roman" w:cs="Times New Roman"/>
          <w:b/>
          <w:bCs/>
          <w:sz w:val="20"/>
          <w:szCs w:val="20"/>
        </w:rPr>
        <w:t>Figure S5. The speculative mechanism diagram of ANO family.</w:t>
      </w:r>
    </w:p>
    <w:p>
      <w:pPr>
        <w:rPr>
          <w:rFonts w:ascii="Times New Roman" w:hAnsi="Times New Roman" w:cs="Times New Roman"/>
          <w:bCs/>
          <w:sz w:val="20"/>
          <w:szCs w:val="20"/>
        </w:rPr>
      </w:pPr>
      <w:r>
        <w:rPr>
          <w:rFonts w:ascii="Times New Roman" w:hAnsi="Times New Roman" w:cs="Times New Roman"/>
          <w:bCs/>
          <w:sz w:val="20"/>
          <w:szCs w:val="20"/>
        </w:rPr>
        <w:t>(</w:t>
      </w:r>
      <w:r>
        <w:rPr>
          <w:rFonts w:hint="eastAsia" w:ascii="Times New Roman" w:hAnsi="Times New Roman" w:cs="Times New Roman"/>
          <w:bCs/>
          <w:sz w:val="20"/>
          <w:szCs w:val="20"/>
        </w:rPr>
        <w:t>a</w:t>
      </w:r>
      <w:r>
        <w:rPr>
          <w:rFonts w:ascii="Times New Roman" w:hAnsi="Times New Roman" w:cs="Times New Roman"/>
          <w:bCs/>
          <w:sz w:val="20"/>
          <w:szCs w:val="20"/>
        </w:rPr>
        <w:t xml:space="preserve">) </w:t>
      </w:r>
      <w:r>
        <w:rPr>
          <w:rFonts w:ascii="Times New Roman" w:hAnsi="Times New Roman" w:cs="Times New Roman"/>
          <w:bCs/>
          <w:sz w:val="20"/>
          <w:szCs w:val="20"/>
        </w:rPr>
        <w:tab/>
      </w:r>
      <w:r>
        <w:rPr>
          <w:rFonts w:ascii="Times New Roman" w:hAnsi="Times New Roman" w:cs="Times New Roman"/>
          <w:bCs/>
          <w:sz w:val="20"/>
          <w:szCs w:val="20"/>
        </w:rPr>
        <w:t>The structure of ANO family proteins.</w:t>
      </w:r>
    </w:p>
    <w:p>
      <w:pPr>
        <w:rPr>
          <w:rFonts w:ascii="Times New Roman" w:hAnsi="Times New Roman" w:cs="Times New Roman"/>
          <w:bCs/>
          <w:sz w:val="20"/>
          <w:szCs w:val="20"/>
        </w:rPr>
      </w:pPr>
      <w:r>
        <w:rPr>
          <w:rFonts w:ascii="Times New Roman" w:hAnsi="Times New Roman" w:cs="Times New Roman"/>
          <w:bCs/>
          <w:sz w:val="20"/>
          <w:szCs w:val="20"/>
        </w:rPr>
        <w:t>(</w:t>
      </w:r>
      <w:r>
        <w:rPr>
          <w:rFonts w:hint="eastAsia" w:ascii="Times New Roman" w:hAnsi="Times New Roman" w:cs="Times New Roman"/>
          <w:bCs/>
          <w:sz w:val="20"/>
          <w:szCs w:val="20"/>
        </w:rPr>
        <w:t>b</w:t>
      </w:r>
      <w:r>
        <w:rPr>
          <w:rFonts w:ascii="Times New Roman" w:hAnsi="Times New Roman" w:cs="Times New Roman"/>
          <w:bCs/>
          <w:sz w:val="20"/>
          <w:szCs w:val="20"/>
        </w:rPr>
        <w:t xml:space="preserve">) </w:t>
      </w:r>
      <w:r>
        <w:rPr>
          <w:rFonts w:ascii="Times New Roman" w:hAnsi="Times New Roman" w:cs="Times New Roman"/>
          <w:bCs/>
          <w:sz w:val="20"/>
          <w:szCs w:val="20"/>
        </w:rPr>
        <w:tab/>
      </w:r>
      <w:r>
        <w:rPr>
          <w:rFonts w:ascii="Times New Roman" w:hAnsi="Times New Roman" w:cs="Times New Roman"/>
          <w:bCs/>
          <w:sz w:val="20"/>
          <w:szCs w:val="20"/>
        </w:rPr>
        <w:t>As data from exoRBase has confirmed the exosome expression of ANO family in several cancer tissues, it can be speculated that all ANO members can act as exosome themselves to mediated downstream signal transduction.</w:t>
      </w:r>
    </w:p>
    <w:p>
      <w:pPr>
        <w:rPr>
          <w:rFonts w:ascii="Times New Roman" w:hAnsi="Times New Roman" w:cs="Times New Roman"/>
          <w:sz w:val="20"/>
          <w:szCs w:val="20"/>
        </w:rPr>
      </w:pPr>
    </w:p>
    <w:sectPr>
      <w:pgSz w:w="11900" w:h="16840"/>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zlmNTQxZWU0YmM3ODllOTg0YjY4ZmU1YWYxYjkyMDAifQ=="/>
  </w:docVars>
  <w:rsids>
    <w:rsidRoot w:val="003F3235"/>
    <w:rsid w:val="00106416"/>
    <w:rsid w:val="003F3235"/>
    <w:rsid w:val="009079AB"/>
    <w:rsid w:val="009423DC"/>
    <w:rsid w:val="009D1155"/>
    <w:rsid w:val="00E0773C"/>
    <w:rsid w:val="00E305A6"/>
    <w:rsid w:val="00E512DE"/>
    <w:rsid w:val="00E72A1B"/>
    <w:rsid w:val="00F812CC"/>
    <w:rsid w:val="15060E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uiPriority w:val="39"/>
    <w:rPr>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页眉 Char"/>
    <w:basedOn w:val="7"/>
    <w:link w:val="4"/>
    <w:uiPriority w:val="99"/>
    <w:rPr>
      <w:sz w:val="18"/>
      <w:szCs w:val="18"/>
    </w:rPr>
  </w:style>
  <w:style w:type="character" w:customStyle="1" w:styleId="9">
    <w:name w:val="页脚 Char"/>
    <w:basedOn w:val="7"/>
    <w:link w:val="3"/>
    <w:uiPriority w:val="99"/>
    <w:rPr>
      <w:sz w:val="18"/>
      <w:szCs w:val="18"/>
    </w:rPr>
  </w:style>
  <w:style w:type="character" w:customStyle="1" w:styleId="10">
    <w:name w:val="批注框文本 Char"/>
    <w:basedOn w:val="7"/>
    <w:link w:val="2"/>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404</Words>
  <Characters>2480</Characters>
  <Lines>20</Lines>
  <Paragraphs>5</Paragraphs>
  <TotalTime>4</TotalTime>
  <ScaleCrop>false</ScaleCrop>
  <LinksUpToDate>false</LinksUpToDate>
  <CharactersWithSpaces>2802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2020-07-30T01:47:00Z</dcterms:created>
  <dc:creator>Runzhi Huang</dc:creator>
  <cp:lastModifiedBy>刘逸凡</cp:lastModifiedBy>
  <dcterms:modified xsi:type="dcterms:W3CDTF">2023-07-04T12:54:23Z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B2901515834D48EAA2ABA3417CAA1E9E_12</vt:lpwstr>
  </property>
</Properties>
</file>