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5D76" w14:textId="77777777" w:rsidR="00CE1D36" w:rsidRDefault="00CE1D36" w:rsidP="00CE1D36">
      <w:pPr>
        <w:jc w:val="center"/>
        <w:rPr>
          <w:b/>
          <w:bCs/>
        </w:rPr>
      </w:pPr>
      <w:r>
        <w:rPr>
          <w:b/>
          <w:bCs/>
          <w:noProof/>
          <w:lang w:val="en-US" w:eastAsia="en-US"/>
        </w:rPr>
        <w:drawing>
          <wp:inline distT="0" distB="0" distL="0" distR="0" wp14:anchorId="051AD5D0" wp14:editId="71893C10">
            <wp:extent cx="4562475" cy="4245090"/>
            <wp:effectExtent l="0" t="0" r="0" b="0"/>
            <wp:docPr id="1575817018" name="Picture 1" descr="A screenshot of a black and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817018" name="Picture 1" descr="A screenshot of a black and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123" cy="4248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F31EAE" w14:textId="77777777" w:rsidR="00CE1D36" w:rsidRDefault="00CE1D36" w:rsidP="00CE1D36">
      <w:r>
        <w:rPr>
          <w:b/>
          <w:bCs/>
        </w:rPr>
        <w:t>Supplemental Figure 1. Consort diagram of subset cohort of patients younger than 50 (</w:t>
      </w:r>
      <w:proofErr w:type="spellStart"/>
      <w:r>
        <w:rPr>
          <w:b/>
          <w:bCs/>
        </w:rPr>
        <w:t>EoCRC</w:t>
      </w:r>
      <w:proofErr w:type="spellEnd"/>
      <w:r>
        <w:rPr>
          <w:b/>
          <w:bCs/>
        </w:rPr>
        <w:t>) and 50 years or older (</w:t>
      </w:r>
      <w:proofErr w:type="spellStart"/>
      <w:r>
        <w:rPr>
          <w:b/>
          <w:bCs/>
        </w:rPr>
        <w:t>LoCRC</w:t>
      </w:r>
      <w:proofErr w:type="spellEnd"/>
      <w:r>
        <w:rPr>
          <w:b/>
          <w:bCs/>
        </w:rPr>
        <w:t>) with colorectal cancer.</w:t>
      </w:r>
      <w:r>
        <w:br w:type="page"/>
      </w:r>
    </w:p>
    <w:p w14:paraId="25ECD680" w14:textId="77777777" w:rsidR="00CE1D36" w:rsidRDefault="00CE1D36" w:rsidP="00CE1D36"/>
    <w:p w14:paraId="09EDA573" w14:textId="77777777" w:rsidR="00CE1D36" w:rsidRDefault="00CE1D36" w:rsidP="00CE1D36"/>
    <w:tbl>
      <w:tblPr>
        <w:tblW w:w="8980" w:type="dxa"/>
        <w:tblInd w:w="113" w:type="dxa"/>
        <w:tblLook w:val="04A0" w:firstRow="1" w:lastRow="0" w:firstColumn="1" w:lastColumn="0" w:noHBand="0" w:noVBand="1"/>
      </w:tblPr>
      <w:tblGrid>
        <w:gridCol w:w="2280"/>
        <w:gridCol w:w="1265"/>
        <w:gridCol w:w="1415"/>
        <w:gridCol w:w="1564"/>
        <w:gridCol w:w="1116"/>
        <w:gridCol w:w="1340"/>
      </w:tblGrid>
      <w:tr w:rsidR="00CE1D36" w:rsidRPr="005F3F9B" w14:paraId="47768F67" w14:textId="77777777" w:rsidTr="00FC3722">
        <w:trPr>
          <w:trHeight w:val="315"/>
        </w:trPr>
        <w:tc>
          <w:tcPr>
            <w:tcW w:w="2280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8" w:space="0" w:color="000000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CF0E20C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Characteristics</w:t>
            </w:r>
          </w:p>
        </w:tc>
        <w:tc>
          <w:tcPr>
            <w:tcW w:w="2680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401CEC2E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LoCRC</w:t>
            </w:r>
            <w:proofErr w:type="spellEnd"/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 xml:space="preserve"> (subset)</w:t>
            </w:r>
          </w:p>
        </w:tc>
        <w:tc>
          <w:tcPr>
            <w:tcW w:w="2680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09D8A7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LoCRC</w:t>
            </w:r>
            <w:proofErr w:type="spellEnd"/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 xml:space="preserve"> (all)</w:t>
            </w:r>
          </w:p>
        </w:tc>
        <w:tc>
          <w:tcPr>
            <w:tcW w:w="1340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8" w:space="0" w:color="000000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6D4A97B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p value</w:t>
            </w:r>
          </w:p>
        </w:tc>
      </w:tr>
      <w:tr w:rsidR="00CE1D36" w:rsidRPr="005F3F9B" w14:paraId="3733D8CB" w14:textId="77777777" w:rsidTr="00FC3722">
        <w:trPr>
          <w:trHeight w:val="330"/>
        </w:trPr>
        <w:tc>
          <w:tcPr>
            <w:tcW w:w="2280" w:type="dxa"/>
            <w:vMerge/>
            <w:tcBorders>
              <w:top w:val="single" w:sz="4" w:space="0" w:color="A5A5A5"/>
              <w:left w:val="single" w:sz="4" w:space="0" w:color="A5A5A5"/>
              <w:bottom w:val="single" w:sz="8" w:space="0" w:color="000000"/>
              <w:right w:val="single" w:sz="4" w:space="0" w:color="A5A5A5"/>
            </w:tcBorders>
            <w:vAlign w:val="center"/>
            <w:hideMark/>
          </w:tcPr>
          <w:p w14:paraId="2A683358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A86710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n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2AB5DB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%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336B0E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n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42DB16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%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8" w:space="0" w:color="000000"/>
              <w:right w:val="single" w:sz="4" w:space="0" w:color="A5A5A5"/>
            </w:tcBorders>
            <w:vAlign w:val="center"/>
            <w:hideMark/>
          </w:tcPr>
          <w:p w14:paraId="17FBF006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52C902A7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A994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Sex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77B2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B4D8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796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D0A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661D8DA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5F3F9B" w14:paraId="0F2D307A" w14:textId="77777777" w:rsidTr="00FC3722">
        <w:trPr>
          <w:trHeight w:val="315"/>
        </w:trPr>
        <w:tc>
          <w:tcPr>
            <w:tcW w:w="22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0477AA3F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Male</w:t>
            </w:r>
          </w:p>
        </w:tc>
        <w:tc>
          <w:tcPr>
            <w:tcW w:w="126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DCAE3B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1474</w:t>
            </w:r>
          </w:p>
        </w:tc>
        <w:tc>
          <w:tcPr>
            <w:tcW w:w="141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6B8FB3FB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57.4</w:t>
            </w:r>
          </w:p>
        </w:tc>
        <w:tc>
          <w:tcPr>
            <w:tcW w:w="1564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2F89AC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15979</w:t>
            </w:r>
          </w:p>
        </w:tc>
        <w:tc>
          <w:tcPr>
            <w:tcW w:w="1116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6574C4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57.9</w:t>
            </w:r>
          </w:p>
        </w:tc>
        <w:tc>
          <w:tcPr>
            <w:tcW w:w="1340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E15A37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0.63</w:t>
            </w:r>
          </w:p>
        </w:tc>
      </w:tr>
      <w:tr w:rsidR="00CE1D36" w:rsidRPr="005F3F9B" w14:paraId="066C5B87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3A971CA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Female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67F387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1096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9A4E34C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42.6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B0C6CE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11637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9C7B1C4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42.1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6CFB7960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5AF10C96" w14:textId="77777777" w:rsidTr="00FC3722">
        <w:trPr>
          <w:trHeight w:val="630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vAlign w:val="center"/>
            <w:hideMark/>
          </w:tcPr>
          <w:p w14:paraId="06000311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Median age at diagnosis (min-max)</w:t>
            </w:r>
          </w:p>
        </w:tc>
        <w:tc>
          <w:tcPr>
            <w:tcW w:w="2680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9825F6B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69 (50-104)</w:t>
            </w:r>
          </w:p>
        </w:tc>
        <w:tc>
          <w:tcPr>
            <w:tcW w:w="2680" w:type="dxa"/>
            <w:gridSpan w:val="2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9936736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66 (50-104)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6EB463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0.23</w:t>
            </w:r>
          </w:p>
        </w:tc>
      </w:tr>
      <w:tr w:rsidR="00CE1D36" w:rsidRPr="005F3F9B" w14:paraId="009CBF4C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CAC35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Diagnosis date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65AB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00B4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B9FA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9BB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263901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5F3F9B" w14:paraId="5EE1F501" w14:textId="77777777" w:rsidTr="00FC3722">
        <w:trPr>
          <w:trHeight w:val="315"/>
        </w:trPr>
        <w:tc>
          <w:tcPr>
            <w:tcW w:w="22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8636568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1990-1994</w:t>
            </w:r>
          </w:p>
        </w:tc>
        <w:tc>
          <w:tcPr>
            <w:tcW w:w="126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836135C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</w:t>
            </w:r>
          </w:p>
        </w:tc>
        <w:tc>
          <w:tcPr>
            <w:tcW w:w="141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0D9187D4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</w:t>
            </w:r>
          </w:p>
        </w:tc>
        <w:tc>
          <w:tcPr>
            <w:tcW w:w="1564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314924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2126</w:t>
            </w:r>
          </w:p>
        </w:tc>
        <w:tc>
          <w:tcPr>
            <w:tcW w:w="1116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73B90F7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8.5</w:t>
            </w:r>
          </w:p>
        </w:tc>
        <w:tc>
          <w:tcPr>
            <w:tcW w:w="1340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3354D4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5F3F9B" w14:paraId="06926216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D811656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1995-1999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C429517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15E87D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28F3AD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2906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BD2541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11.6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1EF05FA8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117D9F89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8C9A65B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2000-2004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AFFCC06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242C94A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730DDD2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4629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8BA9522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18.5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68F81D01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5B6B663C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B5DFB07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2005-2009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F73EE1E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D82E60B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1BFF24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5881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BBDCC0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23.5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3B483022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32213E2A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423DFC7D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2010-2014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F0C287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078598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40E9DA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6906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FC1F564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27.5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5EEFD73E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1BBD4445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405AA687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2015-2017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0B357A4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2569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B361D2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100.0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609FEB8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2624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87DBB9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10.5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6A92C5DB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588A6892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0B926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Clinical stage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B57B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FEE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FDB7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389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6E19E8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5F3F9B" w14:paraId="5C211076" w14:textId="77777777" w:rsidTr="00FC3722">
        <w:trPr>
          <w:trHeight w:val="315"/>
        </w:trPr>
        <w:tc>
          <w:tcPr>
            <w:tcW w:w="22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0DA7B3C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</w:t>
            </w:r>
          </w:p>
        </w:tc>
        <w:tc>
          <w:tcPr>
            <w:tcW w:w="126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68B6909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</w:t>
            </w:r>
          </w:p>
        </w:tc>
        <w:tc>
          <w:tcPr>
            <w:tcW w:w="141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ED63BB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0.2</w:t>
            </w:r>
          </w:p>
        </w:tc>
        <w:tc>
          <w:tcPr>
            <w:tcW w:w="1564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BBC9D5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62</w:t>
            </w:r>
          </w:p>
        </w:tc>
        <w:tc>
          <w:tcPr>
            <w:tcW w:w="1116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DEBDFC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0.2</w:t>
            </w:r>
          </w:p>
        </w:tc>
        <w:tc>
          <w:tcPr>
            <w:tcW w:w="1340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CF3B2D9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5F3F9B" w14:paraId="5F947A31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B8172C7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01D3C6C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83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6CA3C616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3.2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1F3257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7F025C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2.4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62E75428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127BE999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E2086B6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0DCD6F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736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32EF228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28.6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B0CC61E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7609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41941B8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30.3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17FAFB00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3ACE9E93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6BD47B5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674BC47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1087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1767BB4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42.3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187365C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9897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B3D0C1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39.5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300494D6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0DAD3A16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3A63629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A7884A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609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C86F37C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23.7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037A19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6030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13E9A3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24.1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29ADDABC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39902547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499A2506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Unknown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98B388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2D03D18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68B17D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864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11F6CFA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3.4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4DA477AE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515B7B51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F12D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Histology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4A21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945A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1BA8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E98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C32BBC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5F3F9B" w14:paraId="46736F32" w14:textId="77777777" w:rsidTr="00FC3722">
        <w:trPr>
          <w:trHeight w:val="315"/>
        </w:trPr>
        <w:tc>
          <w:tcPr>
            <w:tcW w:w="22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D96B615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Adenocarcinoma</w:t>
            </w:r>
          </w:p>
        </w:tc>
        <w:tc>
          <w:tcPr>
            <w:tcW w:w="126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9D40D6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2523</w:t>
            </w:r>
          </w:p>
        </w:tc>
        <w:tc>
          <w:tcPr>
            <w:tcW w:w="1415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71431F1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98.2</w:t>
            </w:r>
          </w:p>
        </w:tc>
        <w:tc>
          <w:tcPr>
            <w:tcW w:w="1564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CCCC37E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24679</w:t>
            </w:r>
          </w:p>
        </w:tc>
        <w:tc>
          <w:tcPr>
            <w:tcW w:w="1116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674838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98.4</w:t>
            </w:r>
          </w:p>
        </w:tc>
        <w:tc>
          <w:tcPr>
            <w:tcW w:w="1340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EE79CB3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0.33</w:t>
            </w:r>
          </w:p>
        </w:tc>
      </w:tr>
      <w:tr w:rsidR="00CE1D36" w:rsidRPr="005F3F9B" w14:paraId="122704DC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57DA7DB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Mucinous cell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509D5C77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120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3FF12E40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288321B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1478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DF6FC04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6.0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672F06DC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735B1B8A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DF224B7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Signet cell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4D77748B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7ABEE04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7AEA6DD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150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244200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0.6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1A8ECCFF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  <w:tr w:rsidR="00CE1D36" w:rsidRPr="005F3F9B" w14:paraId="7CE67132" w14:textId="77777777" w:rsidTr="00FC3722">
        <w:trPr>
          <w:trHeight w:val="315"/>
        </w:trPr>
        <w:tc>
          <w:tcPr>
            <w:tcW w:w="228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093C7339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</w:t>
            </w: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Other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6F1D0F5F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47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48E39C28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EEA930E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393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81868D5" w14:textId="77777777" w:rsidR="00CE1D36" w:rsidRPr="005F3F9B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5F3F9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1.6</w:t>
            </w:r>
          </w:p>
        </w:tc>
        <w:tc>
          <w:tcPr>
            <w:tcW w:w="1340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vAlign w:val="center"/>
            <w:hideMark/>
          </w:tcPr>
          <w:p w14:paraId="0B7AB10A" w14:textId="77777777" w:rsidR="00CE1D36" w:rsidRPr="005F3F9B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</w:p>
        </w:tc>
      </w:tr>
    </w:tbl>
    <w:p w14:paraId="2F917D95" w14:textId="77777777" w:rsidR="00CE1D36" w:rsidRDefault="00CE1D36" w:rsidP="00CE1D36"/>
    <w:p w14:paraId="7B8B7EB0" w14:textId="77777777" w:rsidR="00CE1D36" w:rsidRDefault="00CE1D36" w:rsidP="00CE1D36">
      <w:r>
        <w:rPr>
          <w:b/>
        </w:rPr>
        <w:t xml:space="preserve">Supplemental Table 1. Demographic characteristics of all individuals </w:t>
      </w:r>
      <w:r w:rsidRPr="00435135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CA"/>
        </w:rPr>
        <w:t>≥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CA"/>
        </w:rPr>
        <w:t xml:space="preserve"> </w:t>
      </w:r>
      <w:r>
        <w:rPr>
          <w:b/>
        </w:rPr>
        <w:t xml:space="preserve">50yo and a matched subset of the </w:t>
      </w:r>
      <w:r w:rsidRPr="00435135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CA"/>
        </w:rPr>
        <w:t>≥</w:t>
      </w:r>
      <w:r>
        <w:rPr>
          <w:b/>
        </w:rPr>
        <w:t xml:space="preserve">50 </w:t>
      </w:r>
      <w:proofErr w:type="spellStart"/>
      <w:r>
        <w:rPr>
          <w:b/>
        </w:rPr>
        <w:t>yo</w:t>
      </w:r>
      <w:proofErr w:type="spellEnd"/>
      <w:r>
        <w:rPr>
          <w:b/>
        </w:rPr>
        <w:t xml:space="preserve"> cohort (</w:t>
      </w:r>
      <w:proofErr w:type="spellStart"/>
      <w:r>
        <w:rPr>
          <w:b/>
        </w:rPr>
        <w:t>LoCRC</w:t>
      </w:r>
      <w:proofErr w:type="spellEnd"/>
      <w:r>
        <w:rPr>
          <w:b/>
        </w:rPr>
        <w:t xml:space="preserve">). </w:t>
      </w:r>
      <w:r>
        <w:br w:type="page"/>
      </w:r>
    </w:p>
    <w:p w14:paraId="318823AB" w14:textId="77777777" w:rsidR="00CE1D36" w:rsidRDefault="00CE1D36" w:rsidP="00CE1D36">
      <w:pPr>
        <w:rPr>
          <w:noProof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38D23829" wp14:editId="73C14A98">
            <wp:simplePos x="0" y="0"/>
            <wp:positionH relativeFrom="column">
              <wp:posOffset>742950</wp:posOffset>
            </wp:positionH>
            <wp:positionV relativeFrom="paragraph">
              <wp:posOffset>43180</wp:posOffset>
            </wp:positionV>
            <wp:extent cx="1673859" cy="190500"/>
            <wp:effectExtent l="0" t="0" r="0" b="0"/>
            <wp:wrapNone/>
            <wp:docPr id="1290774622" name="Picture 14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774622" name="Picture 14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40" b="28969"/>
                    <a:stretch/>
                  </pic:blipFill>
                  <pic:spPr bwMode="auto">
                    <a:xfrm>
                      <a:off x="0" y="0"/>
                      <a:ext cx="1673859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CD292B" w14:textId="77777777" w:rsidR="00CE1D36" w:rsidRDefault="00CE1D36" w:rsidP="00CE1D36">
      <w:pPr>
        <w:rPr>
          <w:b/>
          <w:lang w:val="en-US"/>
        </w:rPr>
      </w:pPr>
      <w:r w:rsidRPr="0085203C">
        <w:rPr>
          <w:noProof/>
        </w:rPr>
        <w:t xml:space="preserve"> </w:t>
      </w:r>
      <w:r w:rsidRPr="0085203C">
        <w:rPr>
          <w:b/>
          <w:lang w:val="en-US"/>
        </w:rPr>
        <w:t xml:space="preserve"> </w:t>
      </w:r>
      <w:r>
        <w:rPr>
          <w:b/>
          <w:noProof/>
          <w:lang w:val="en-US" w:eastAsia="en-US"/>
        </w:rPr>
        <w:drawing>
          <wp:inline distT="0" distB="0" distL="0" distR="0" wp14:anchorId="595790EB" wp14:editId="0F5F7033">
            <wp:extent cx="5494655" cy="3753892"/>
            <wp:effectExtent l="0" t="0" r="0" b="0"/>
            <wp:docPr id="1" name="Picture 1" descr="A black backgroun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backgroun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89"/>
                    <a:stretch/>
                  </pic:blipFill>
                  <pic:spPr bwMode="auto">
                    <a:xfrm>
                      <a:off x="0" y="0"/>
                      <a:ext cx="5532749" cy="377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B12C7E" w14:textId="77777777" w:rsidR="00CE1D36" w:rsidRDefault="00CE1D36" w:rsidP="00CE1D36">
      <w:pPr>
        <w:rPr>
          <w:b/>
        </w:rPr>
      </w:pPr>
      <w:r>
        <w:rPr>
          <w:b/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5B600C6C" wp14:editId="0EC97869">
            <wp:simplePos x="0" y="0"/>
            <wp:positionH relativeFrom="column">
              <wp:posOffset>704850</wp:posOffset>
            </wp:positionH>
            <wp:positionV relativeFrom="paragraph">
              <wp:posOffset>5715</wp:posOffset>
            </wp:positionV>
            <wp:extent cx="1677035" cy="258445"/>
            <wp:effectExtent l="0" t="0" r="0" b="0"/>
            <wp:wrapNone/>
            <wp:docPr id="1220532893" name="Picture 15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532893" name="Picture 15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035" cy="25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B049765" w14:textId="77777777" w:rsidR="00CE1D36" w:rsidRDefault="00CE1D36" w:rsidP="00CE1D36">
      <w:pPr>
        <w:rPr>
          <w:b/>
        </w:rPr>
      </w:pPr>
      <w:r>
        <w:rPr>
          <w:b/>
          <w:noProof/>
          <w:lang w:val="en-US" w:eastAsia="en-US"/>
        </w:rPr>
        <w:drawing>
          <wp:inline distT="0" distB="0" distL="0" distR="0" wp14:anchorId="621CFA35" wp14:editId="0CB7A796">
            <wp:extent cx="5416974" cy="3700145"/>
            <wp:effectExtent l="0" t="0" r="0" b="0"/>
            <wp:docPr id="2" name="Picture 2" descr="A black backgroun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backgroun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29"/>
                    <a:stretch/>
                  </pic:blipFill>
                  <pic:spPr bwMode="auto">
                    <a:xfrm>
                      <a:off x="0" y="0"/>
                      <a:ext cx="5451366" cy="372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30CB51" w14:textId="77777777" w:rsidR="00CE1D36" w:rsidRDefault="00CE1D36" w:rsidP="00CE1D36">
      <w:r>
        <w:rPr>
          <w:b/>
        </w:rPr>
        <w:t xml:space="preserve">Supplemental Figure 2. Survival of patients with early-onset (patients under 50) and late-onset (patients 50 years or older) with colorectal cancer by number of symptoms at presentation, separated by stage of CRC at presentation. </w:t>
      </w:r>
      <w:r>
        <w:t xml:space="preserve">Kaplan Meyer curves for </w:t>
      </w:r>
      <w:proofErr w:type="spellStart"/>
      <w:r>
        <w:t>EoCRC</w:t>
      </w:r>
      <w:proofErr w:type="spellEnd"/>
      <w:r>
        <w:t xml:space="preserve"> and </w:t>
      </w:r>
      <w:proofErr w:type="spellStart"/>
      <w:r>
        <w:t>LoCRC</w:t>
      </w:r>
      <w:proofErr w:type="spellEnd"/>
      <w:r>
        <w:t xml:space="preserve"> from Figure 3 are divided by either stage 1-3 or stage 4 CRC. Stage 0 and undefined stage excluded.</w:t>
      </w:r>
    </w:p>
    <w:p w14:paraId="7CF4C328" w14:textId="77777777" w:rsidR="00CE1D36" w:rsidRDefault="00CE1D36" w:rsidP="00CE1D36"/>
    <w:p w14:paraId="54EFC27A" w14:textId="77777777" w:rsidR="00CE1D36" w:rsidRDefault="00CE1D36" w:rsidP="00CE1D36">
      <w:r>
        <w:rPr>
          <w:noProof/>
          <w:lang w:val="en-US" w:eastAsia="en-US"/>
        </w:rPr>
        <w:drawing>
          <wp:inline distT="0" distB="0" distL="0" distR="0" wp14:anchorId="7CA4E148" wp14:editId="5C638569">
            <wp:extent cx="5593565" cy="2111828"/>
            <wp:effectExtent l="0" t="0" r="0" b="0"/>
            <wp:docPr id="874173450" name="Picture 5" descr="A picture containing black, darkness, sketch, w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173450" name="Picture 5" descr="A picture containing black, darkness, sketch, wor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620" cy="2123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04A05C" w14:textId="77777777" w:rsidR="00CE1D36" w:rsidRDefault="00CE1D36" w:rsidP="00CE1D36">
      <w:r>
        <w:rPr>
          <w:b/>
        </w:rPr>
        <w:t>Supplemental Figure 3. Median survival of patients younger than 50 (</w:t>
      </w:r>
      <w:proofErr w:type="spellStart"/>
      <w:r>
        <w:rPr>
          <w:b/>
        </w:rPr>
        <w:t>EoCRC</w:t>
      </w:r>
      <w:proofErr w:type="spellEnd"/>
      <w:r>
        <w:rPr>
          <w:b/>
        </w:rPr>
        <w:t>) and 50 years or older (</w:t>
      </w:r>
      <w:proofErr w:type="spellStart"/>
      <w:r>
        <w:rPr>
          <w:b/>
        </w:rPr>
        <w:t>LoCRC</w:t>
      </w:r>
      <w:proofErr w:type="spellEnd"/>
      <w:r>
        <w:rPr>
          <w:b/>
        </w:rPr>
        <w:t xml:space="preserve">) by stage of cancer at presentation. </w:t>
      </w:r>
      <w:r>
        <w:t xml:space="preserve">Kaplan Meyer curves of all </w:t>
      </w:r>
      <w:proofErr w:type="spellStart"/>
      <w:r>
        <w:t>EoCRC</w:t>
      </w:r>
      <w:proofErr w:type="spellEnd"/>
      <w:r>
        <w:t xml:space="preserve"> and </w:t>
      </w:r>
      <w:proofErr w:type="spellStart"/>
      <w:r>
        <w:t>LoCRC</w:t>
      </w:r>
      <w:proofErr w:type="spellEnd"/>
      <w:r>
        <w:t xml:space="preserve"> divided by Stage 1-3 and Stage 4 excluding stage 0 and undefined stage. </w:t>
      </w:r>
    </w:p>
    <w:p w14:paraId="05889B54" w14:textId="77777777" w:rsidR="00CE1D36" w:rsidRDefault="00CE1D36" w:rsidP="00CE1D36"/>
    <w:p w14:paraId="64BB97F1" w14:textId="77777777" w:rsidR="00CE1D36" w:rsidRDefault="00CE1D36" w:rsidP="00CE1D36">
      <w:r>
        <w:br w:type="page"/>
      </w:r>
    </w:p>
    <w:p w14:paraId="0BC0DBC2" w14:textId="77777777" w:rsidR="00CE1D36" w:rsidRDefault="00CE1D36" w:rsidP="00CE1D36">
      <w:r>
        <w:rPr>
          <w:noProof/>
          <w:lang w:val="en-US" w:eastAsia="en-US"/>
        </w:rPr>
        <w:lastRenderedPageBreak/>
        <w:drawing>
          <wp:inline distT="0" distB="0" distL="0" distR="0" wp14:anchorId="7101E987" wp14:editId="7168DED2">
            <wp:extent cx="5715000" cy="4852864"/>
            <wp:effectExtent l="0" t="0" r="0" b="0"/>
            <wp:docPr id="748232514" name="Picture 23" descr="A black and white screen with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232514" name="Picture 23" descr="A black and white screen with whit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795" cy="48611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BB67D7" w14:textId="77777777" w:rsidR="00CE1D36" w:rsidRDefault="00CE1D36" w:rsidP="00CE1D36">
      <w:r>
        <w:rPr>
          <w:b/>
        </w:rPr>
        <w:t>Supplemental Figure 4. Median survival of patients younger than 50 (</w:t>
      </w:r>
      <w:proofErr w:type="spellStart"/>
      <w:r>
        <w:rPr>
          <w:b/>
        </w:rPr>
        <w:t>EoCRC</w:t>
      </w:r>
      <w:proofErr w:type="spellEnd"/>
      <w:r>
        <w:rPr>
          <w:b/>
        </w:rPr>
        <w:t>) and 50 years or older (</w:t>
      </w:r>
      <w:proofErr w:type="spellStart"/>
      <w:r>
        <w:rPr>
          <w:b/>
        </w:rPr>
        <w:t>LoCRC</w:t>
      </w:r>
      <w:proofErr w:type="spellEnd"/>
      <w:r>
        <w:rPr>
          <w:b/>
        </w:rPr>
        <w:t xml:space="preserve">) by symptom number at presentation and stage of diagnosis of colorectal cancer. </w:t>
      </w:r>
      <w:r>
        <w:t xml:space="preserve">Median survival calculated from Kaplan Meyer curves in Supplementary Figure 2, and p-value summarizes log-rank comparisons. </w:t>
      </w:r>
    </w:p>
    <w:p w14:paraId="308B45B9" w14:textId="77777777" w:rsidR="00CE1D36" w:rsidRDefault="00CE1D36" w:rsidP="00CE1D36">
      <w:r>
        <w:br w:type="page"/>
      </w:r>
    </w:p>
    <w:tbl>
      <w:tblPr>
        <w:tblW w:w="5880" w:type="dxa"/>
        <w:tblLook w:val="04A0" w:firstRow="1" w:lastRow="0" w:firstColumn="1" w:lastColumn="0" w:noHBand="0" w:noVBand="1"/>
      </w:tblPr>
      <w:tblGrid>
        <w:gridCol w:w="1960"/>
        <w:gridCol w:w="1960"/>
        <w:gridCol w:w="1960"/>
      </w:tblGrid>
      <w:tr w:rsidR="00CE1D36" w:rsidRPr="0023157D" w14:paraId="32E5B59A" w14:textId="77777777" w:rsidTr="00FC3722">
        <w:trPr>
          <w:trHeight w:val="492"/>
        </w:trPr>
        <w:tc>
          <w:tcPr>
            <w:tcW w:w="1960" w:type="dxa"/>
            <w:tcBorders>
              <w:top w:val="single" w:sz="4" w:space="0" w:color="A5A5A5"/>
              <w:left w:val="single" w:sz="4" w:space="0" w:color="A5A5A5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9FEA0E6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lastRenderedPageBreak/>
              <w:t>Variable</w:t>
            </w:r>
          </w:p>
        </w:tc>
        <w:tc>
          <w:tcPr>
            <w:tcW w:w="1960" w:type="dxa"/>
            <w:tcBorders>
              <w:top w:val="single" w:sz="4" w:space="0" w:color="A5A5A5"/>
              <w:left w:val="nil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86F82F6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HR (95% CI)</w:t>
            </w:r>
          </w:p>
        </w:tc>
        <w:tc>
          <w:tcPr>
            <w:tcW w:w="1960" w:type="dxa"/>
            <w:tcBorders>
              <w:top w:val="single" w:sz="4" w:space="0" w:color="A5A5A5"/>
              <w:left w:val="nil"/>
              <w:bottom w:val="single" w:sz="8" w:space="0" w:color="auto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9001300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P</w:t>
            </w:r>
          </w:p>
        </w:tc>
      </w:tr>
      <w:tr w:rsidR="00CE1D36" w:rsidRPr="0023157D" w14:paraId="6A9F0DE0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1749D2D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Age&lt;50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1BEA515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0.87 (0.78-0.96)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9CFF962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0.008</w:t>
            </w:r>
          </w:p>
        </w:tc>
      </w:tr>
      <w:tr w:rsidR="00CE1D36" w:rsidRPr="0023157D" w14:paraId="1891ADD7" w14:textId="77777777" w:rsidTr="00FC3722">
        <w:trPr>
          <w:trHeight w:val="420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72E42C14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Stage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367BF613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C9C05A7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23157D" w14:paraId="2A284EC0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7C6C03D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Stage 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EC9A14E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0.12 (0.066-0.23)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83DE934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19DB1B17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761F3F0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Stage 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3D83660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0.11 (0.090-0.13)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8AAC1D7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&lt;0.001</w:t>
            </w:r>
          </w:p>
        </w:tc>
      </w:tr>
      <w:tr w:rsidR="00CE1D36" w:rsidRPr="0023157D" w14:paraId="16EA0F7D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5AB0DDC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Stage 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E3F75DC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0.25 (0.23-0.28)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3993098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&lt;0.001</w:t>
            </w:r>
          </w:p>
        </w:tc>
      </w:tr>
      <w:tr w:rsidR="00CE1D36" w:rsidRPr="0023157D" w14:paraId="08779A33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C60E0D7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Stage 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B9E54F3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Reference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42DB4A3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23157D" w14:paraId="3C9E0540" w14:textId="77777777" w:rsidTr="00FC3722">
        <w:trPr>
          <w:trHeight w:val="409"/>
        </w:trPr>
        <w:tc>
          <w:tcPr>
            <w:tcW w:w="3920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auto"/>
            <w:noWrap/>
            <w:vAlign w:val="center"/>
            <w:hideMark/>
          </w:tcPr>
          <w:p w14:paraId="6F6346DB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CA"/>
              </w:rPr>
              <w:t>Total Number of Symptoms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EA21F77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23157D" w14:paraId="45C38BDB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53C4D1B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566CB04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Reference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38739DD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 </w:t>
            </w:r>
          </w:p>
        </w:tc>
      </w:tr>
      <w:tr w:rsidR="00CE1D36" w:rsidRPr="0023157D" w14:paraId="04C9DDDD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9D92FB7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C08738C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1.48 (1.12-1.95)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B458346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0.006</w:t>
            </w:r>
          </w:p>
        </w:tc>
      </w:tr>
      <w:tr w:rsidR="00CE1D36" w:rsidRPr="0023157D" w14:paraId="7F955A4B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F511B0F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587FBFE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1.36 (1.027-1.80)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CDB2E8A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0.032</w:t>
            </w:r>
          </w:p>
        </w:tc>
      </w:tr>
      <w:tr w:rsidR="00CE1D36" w:rsidRPr="0023157D" w14:paraId="23CBD18F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FB5DA52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1E8544FF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1.68 (1.27-2.23)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9B4AFDE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0C5DE2E3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5D3322CE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DCB1A19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1.93 (1.44-2.58)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3B4DBB7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2CBBBA6F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8D5C50E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BF57278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2.51 (1.84-3.43)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2352AE7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323B9667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8EBF7FC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4F955936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2.36 (1.63-3.42)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F8C3E37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628C5BB0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305BFC4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7E9A8D94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2.31 (1.46-3.68)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0A365CA2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39682EE1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DA6488D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2F3A2C5B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9.02 (3.27-24.88)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5C45E72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&lt;0.0001</w:t>
            </w:r>
          </w:p>
        </w:tc>
      </w:tr>
      <w:tr w:rsidR="00CE1D36" w:rsidRPr="0023157D" w14:paraId="1A5D67D6" w14:textId="77777777" w:rsidTr="00FC3722">
        <w:trPr>
          <w:trHeight w:val="315"/>
        </w:trPr>
        <w:tc>
          <w:tcPr>
            <w:tcW w:w="1960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6CDB440E" w14:textId="77777777" w:rsidR="00CE1D36" w:rsidRPr="0023157D" w:rsidRDefault="00CE1D36" w:rsidP="00FC372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 xml:space="preserve">    </w:t>
            </w: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2CEB084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5.20 (0.72-37.58)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vAlign w:val="center"/>
            <w:hideMark/>
          </w:tcPr>
          <w:p w14:paraId="3E56934B" w14:textId="77777777" w:rsidR="00CE1D36" w:rsidRPr="0023157D" w:rsidRDefault="00CE1D36" w:rsidP="00FC372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</w:pPr>
            <w:r w:rsidRPr="0023157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CA"/>
              </w:rPr>
              <w:t>0.1</w:t>
            </w:r>
          </w:p>
        </w:tc>
      </w:tr>
    </w:tbl>
    <w:p w14:paraId="0C652A14" w14:textId="77777777" w:rsidR="00CE1D36" w:rsidRDefault="00CE1D36" w:rsidP="00CE1D36"/>
    <w:p w14:paraId="200BF09F" w14:textId="77777777" w:rsidR="00CE1D36" w:rsidRPr="0023157D" w:rsidRDefault="00CE1D36" w:rsidP="00CE1D36">
      <w:pPr>
        <w:rPr>
          <w:bCs/>
        </w:rPr>
      </w:pPr>
      <w:r>
        <w:rPr>
          <w:b/>
        </w:rPr>
        <w:t xml:space="preserve">Supplemental Table 2. Multivariate analysis of the listed variables controlling for age, diagnosis era, stage at diagnosis, number of symptoms and duration of symptoms (categorical as 0-90, 91-180 and 181+ days). </w:t>
      </w:r>
      <w:r>
        <w:rPr>
          <w:bCs/>
        </w:rPr>
        <w:t xml:space="preserve">A total of 3344 patients with all available values were </w:t>
      </w:r>
      <w:proofErr w:type="spellStart"/>
      <w:r>
        <w:rPr>
          <w:bCs/>
        </w:rPr>
        <w:t>analyzed</w:t>
      </w:r>
      <w:proofErr w:type="spellEnd"/>
      <w:r>
        <w:rPr>
          <w:bCs/>
        </w:rPr>
        <w:t xml:space="preserve"> using a Cox-proportional hazard model. </w:t>
      </w:r>
    </w:p>
    <w:p w14:paraId="632C412D" w14:textId="77777777" w:rsidR="004554D1" w:rsidRDefault="004554D1"/>
    <w:sectPr w:rsidR="004554D1" w:rsidSect="003A6D45">
      <w:pgSz w:w="11909" w:h="16834"/>
      <w:pgMar w:top="1417" w:right="1419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D36"/>
    <w:rsid w:val="003B3234"/>
    <w:rsid w:val="004554D1"/>
    <w:rsid w:val="00CE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7BB5F"/>
  <w15:chartTrackingRefBased/>
  <w15:docId w15:val="{230BCBC4-F89E-4FE8-ABC4-5F977CF2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D36"/>
    <w:pPr>
      <w:spacing w:after="0" w:line="276" w:lineRule="auto"/>
    </w:pPr>
    <w:rPr>
      <w:rFonts w:ascii="Arial" w:eastAsia="Arial" w:hAnsi="Arial" w:cs="Arial"/>
      <w:kern w:val="0"/>
      <w:lang w:val="en-GB" w:eastAsia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Baronas</dc:creator>
  <cp:keywords/>
  <dc:description/>
  <cp:lastModifiedBy>Victoria Baronas</cp:lastModifiedBy>
  <cp:revision>1</cp:revision>
  <dcterms:created xsi:type="dcterms:W3CDTF">2023-09-05T01:26:00Z</dcterms:created>
  <dcterms:modified xsi:type="dcterms:W3CDTF">2023-09-05T01:27:00Z</dcterms:modified>
</cp:coreProperties>
</file>