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3467C7" w14:textId="77777777" w:rsidR="00C778B8" w:rsidRPr="005178C4" w:rsidRDefault="00C778B8" w:rsidP="00C778B8">
      <w:pPr>
        <w:spacing w:line="480" w:lineRule="auto"/>
        <w:rPr>
          <w:rFonts w:ascii="Times New Roman" w:eastAsia="宋体" w:hAnsi="Times New Roman" w:cs="Times New Roman"/>
          <w:b/>
          <w:bCs/>
          <w:sz w:val="32"/>
          <w:szCs w:val="32"/>
        </w:rPr>
      </w:pPr>
      <w:r>
        <w:rPr>
          <w:rFonts w:ascii="Times New Roman" w:eastAsia="宋体" w:hAnsi="Times New Roman" w:cs="Times New Roman"/>
          <w:b/>
          <w:bCs/>
          <w:sz w:val="32"/>
          <w:szCs w:val="32"/>
        </w:rPr>
        <w:t>S</w:t>
      </w:r>
      <w:r w:rsidRPr="009725A7">
        <w:rPr>
          <w:rFonts w:ascii="Times New Roman" w:eastAsia="宋体" w:hAnsi="Times New Roman" w:cs="Times New Roman"/>
          <w:b/>
          <w:bCs/>
          <w:sz w:val="32"/>
          <w:szCs w:val="32"/>
        </w:rPr>
        <w:t xml:space="preserve">upplementary </w:t>
      </w:r>
      <w:r>
        <w:rPr>
          <w:rFonts w:ascii="Times New Roman" w:eastAsia="宋体" w:hAnsi="Times New Roman" w:cs="Times New Roman"/>
          <w:b/>
          <w:bCs/>
          <w:sz w:val="32"/>
          <w:szCs w:val="32"/>
        </w:rPr>
        <w:t>M</w:t>
      </w:r>
      <w:r w:rsidRPr="009725A7">
        <w:rPr>
          <w:rFonts w:ascii="Times New Roman" w:eastAsia="宋体" w:hAnsi="Times New Roman" w:cs="Times New Roman"/>
          <w:b/>
          <w:bCs/>
          <w:sz w:val="32"/>
          <w:szCs w:val="32"/>
        </w:rPr>
        <w:t>aterial</w:t>
      </w:r>
    </w:p>
    <w:p w14:paraId="367DFE1B" w14:textId="6003F046" w:rsidR="00C778B8" w:rsidRDefault="00D2018B" w:rsidP="00C778B8">
      <w:pPr>
        <w:pStyle w:val="BBAuthorName"/>
        <w:spacing w:after="0"/>
        <w:jc w:val="left"/>
        <w:rPr>
          <w:rFonts w:ascii="Times New Roman" w:hAnsi="Times New Roman"/>
          <w:i w:val="0"/>
          <w:sz w:val="44"/>
        </w:rPr>
      </w:pPr>
      <w:bookmarkStart w:id="0" w:name="_Hlk59024769"/>
      <w:r w:rsidRPr="00D2018B">
        <w:rPr>
          <w:rFonts w:ascii="Times New Roman" w:hAnsi="Times New Roman"/>
          <w:i w:val="0"/>
          <w:sz w:val="44"/>
        </w:rPr>
        <w:t>Increasing precipitation deteriorates the prog</w:t>
      </w:r>
      <w:bookmarkStart w:id="1" w:name="_GoBack"/>
      <w:bookmarkEnd w:id="1"/>
      <w:r w:rsidRPr="00D2018B">
        <w:rPr>
          <w:rFonts w:ascii="Times New Roman" w:hAnsi="Times New Roman"/>
          <w:i w:val="0"/>
          <w:sz w:val="44"/>
        </w:rPr>
        <w:t>ress of pesticide reduction policy: a case study in the Yellow River</w:t>
      </w:r>
    </w:p>
    <w:bookmarkEnd w:id="0"/>
    <w:p w14:paraId="1A8A3039" w14:textId="688C9198" w:rsidR="00C778B8" w:rsidRPr="00937DEA" w:rsidRDefault="00C778B8" w:rsidP="00C778B8">
      <w:pPr>
        <w:pStyle w:val="FACorrespondingAuthorFootnote"/>
        <w:spacing w:before="156" w:after="240"/>
        <w:jc w:val="left"/>
        <w:rPr>
          <w:i/>
        </w:rPr>
      </w:pPr>
      <w:r w:rsidRPr="009725A7">
        <w:rPr>
          <w:i/>
        </w:rPr>
        <w:t xml:space="preserve">Zewei Guo </w:t>
      </w:r>
      <w:r w:rsidRPr="009725A7">
        <w:rPr>
          <w:i/>
          <w:vertAlign w:val="superscript"/>
        </w:rPr>
        <w:t>a</w:t>
      </w:r>
      <w:r w:rsidRPr="009725A7">
        <w:rPr>
          <w:i/>
        </w:rPr>
        <w:t xml:space="preserve">, Wei Ouyang </w:t>
      </w:r>
      <w:r w:rsidRPr="009725A7">
        <w:rPr>
          <w:i/>
          <w:vertAlign w:val="superscript"/>
        </w:rPr>
        <w:t>a, b *</w:t>
      </w:r>
      <w:r w:rsidRPr="009725A7">
        <w:rPr>
          <w:i/>
        </w:rPr>
        <w:t>,</w:t>
      </w:r>
      <w:r>
        <w:rPr>
          <w:i/>
        </w:rPr>
        <w:t xml:space="preserve"> </w:t>
      </w:r>
      <w:proofErr w:type="spellStart"/>
      <w:r w:rsidRPr="009725A7">
        <w:rPr>
          <w:i/>
        </w:rPr>
        <w:t>Tulcan</w:t>
      </w:r>
      <w:proofErr w:type="spellEnd"/>
      <w:r w:rsidRPr="009725A7">
        <w:rPr>
          <w:i/>
        </w:rPr>
        <w:t xml:space="preserve">, Roberto Xavier </w:t>
      </w:r>
      <w:proofErr w:type="spellStart"/>
      <w:r w:rsidRPr="009725A7">
        <w:rPr>
          <w:i/>
        </w:rPr>
        <w:t>Supe</w:t>
      </w:r>
      <w:proofErr w:type="spellEnd"/>
      <w:r w:rsidRPr="009725A7">
        <w:rPr>
          <w:i/>
          <w:vertAlign w:val="superscript"/>
        </w:rPr>
        <w:t xml:space="preserve"> a</w:t>
      </w:r>
      <w:r w:rsidRPr="009725A7">
        <w:rPr>
          <w:i/>
        </w:rPr>
        <w:t xml:space="preserve">, </w:t>
      </w:r>
      <w:proofErr w:type="spellStart"/>
      <w:r w:rsidRPr="009725A7">
        <w:rPr>
          <w:i/>
        </w:rPr>
        <w:t>Chunye</w:t>
      </w:r>
      <w:proofErr w:type="spellEnd"/>
      <w:r w:rsidRPr="009725A7">
        <w:rPr>
          <w:i/>
        </w:rPr>
        <w:t xml:space="preserve"> Lin </w:t>
      </w:r>
      <w:r w:rsidRPr="009725A7">
        <w:rPr>
          <w:i/>
          <w:vertAlign w:val="superscript"/>
        </w:rPr>
        <w:t>a</w:t>
      </w:r>
      <w:r w:rsidRPr="009725A7">
        <w:rPr>
          <w:i/>
        </w:rPr>
        <w:t xml:space="preserve">, </w:t>
      </w:r>
      <w:proofErr w:type="spellStart"/>
      <w:r w:rsidRPr="009725A7">
        <w:rPr>
          <w:i/>
        </w:rPr>
        <w:t>Mengchang</w:t>
      </w:r>
      <w:proofErr w:type="spellEnd"/>
      <w:r w:rsidRPr="009725A7">
        <w:rPr>
          <w:i/>
        </w:rPr>
        <w:t xml:space="preserve"> He </w:t>
      </w:r>
      <w:r w:rsidRPr="009725A7">
        <w:rPr>
          <w:i/>
          <w:vertAlign w:val="superscript"/>
        </w:rPr>
        <w:t>a</w:t>
      </w:r>
    </w:p>
    <w:p w14:paraId="4268A916" w14:textId="77777777" w:rsidR="00C778B8" w:rsidRPr="00937DEA" w:rsidRDefault="00C778B8" w:rsidP="00C778B8">
      <w:pPr>
        <w:pStyle w:val="FACorrespondingAuthorFootnote"/>
        <w:spacing w:before="156" w:after="240"/>
        <w:jc w:val="left"/>
        <w:rPr>
          <w:i/>
        </w:rPr>
      </w:pPr>
      <w:r w:rsidRPr="00937DEA">
        <w:rPr>
          <w:i/>
          <w:vertAlign w:val="superscript"/>
        </w:rPr>
        <w:t>a</w:t>
      </w:r>
      <w:r w:rsidRPr="00937DEA">
        <w:rPr>
          <w:i/>
        </w:rPr>
        <w:t xml:space="preserve"> State Key Laboratory of Water Environment Simulation, School of Environment, Beijing Normal University, Beijing 100875, China</w:t>
      </w:r>
    </w:p>
    <w:p w14:paraId="442B9B8A" w14:textId="77777777" w:rsidR="00C778B8" w:rsidRPr="00937DEA" w:rsidRDefault="00C778B8" w:rsidP="00C778B8">
      <w:pPr>
        <w:pStyle w:val="FACorrespondingAuthorFootnote"/>
        <w:spacing w:before="156" w:after="240"/>
        <w:jc w:val="left"/>
        <w:rPr>
          <w:i/>
        </w:rPr>
      </w:pPr>
      <w:r w:rsidRPr="00937DEA">
        <w:rPr>
          <w:i/>
          <w:vertAlign w:val="superscript"/>
        </w:rPr>
        <w:t>b</w:t>
      </w:r>
      <w:r w:rsidRPr="00937DEA">
        <w:rPr>
          <w:i/>
        </w:rPr>
        <w:t xml:space="preserve"> Advanced Interdisciplinary Institute of Environment and Ecology, Beijing Normal University, Zhuhai, 519087, China</w:t>
      </w:r>
    </w:p>
    <w:p w14:paraId="4EC50CBB" w14:textId="2D80F2E6" w:rsidR="00C778B8" w:rsidRDefault="00C778B8" w:rsidP="00C778B8">
      <w:pPr>
        <w:autoSpaceDE w:val="0"/>
        <w:autoSpaceDN w:val="0"/>
        <w:adjustRightInd w:val="0"/>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Number of Pages: </w:t>
      </w:r>
      <w:r w:rsidR="001112F5">
        <w:rPr>
          <w:rFonts w:ascii="Times New Roman" w:eastAsia="宋体" w:hAnsi="Times New Roman" w:cs="Times New Roman"/>
          <w:b/>
          <w:bCs/>
          <w:sz w:val="24"/>
          <w:szCs w:val="24"/>
        </w:rPr>
        <w:t>2</w:t>
      </w:r>
      <w:r w:rsidR="00A96038">
        <w:rPr>
          <w:rFonts w:ascii="Times New Roman" w:eastAsia="宋体" w:hAnsi="Times New Roman" w:cs="Times New Roman"/>
          <w:b/>
          <w:bCs/>
          <w:sz w:val="24"/>
          <w:szCs w:val="24"/>
        </w:rPr>
        <w:t>6</w:t>
      </w:r>
    </w:p>
    <w:p w14:paraId="788636F9" w14:textId="77777777" w:rsidR="00C778B8" w:rsidRDefault="00C778B8" w:rsidP="00C778B8">
      <w:pPr>
        <w:autoSpaceDE w:val="0"/>
        <w:autoSpaceDN w:val="0"/>
        <w:adjustRightInd w:val="0"/>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Number of Tables: 3</w:t>
      </w:r>
    </w:p>
    <w:p w14:paraId="4FF7F4E1" w14:textId="107A3583" w:rsidR="00C778B8" w:rsidRDefault="00C778B8" w:rsidP="00C778B8">
      <w:pPr>
        <w:autoSpaceDE w:val="0"/>
        <w:autoSpaceDN w:val="0"/>
        <w:adjustRightInd w:val="0"/>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Number of Figures: </w:t>
      </w:r>
      <w:r w:rsidR="006055F0">
        <w:rPr>
          <w:rFonts w:ascii="Times New Roman" w:eastAsia="宋体" w:hAnsi="Times New Roman" w:cs="Times New Roman"/>
          <w:b/>
          <w:bCs/>
          <w:sz w:val="24"/>
          <w:szCs w:val="24"/>
        </w:rPr>
        <w:t>4</w:t>
      </w:r>
    </w:p>
    <w:p w14:paraId="701B3F20" w14:textId="767A307B" w:rsidR="004D75E2" w:rsidRDefault="004D75E2" w:rsidP="004D75E2">
      <w:pPr>
        <w:pStyle w:val="TAMainText"/>
        <w:spacing w:line="400" w:lineRule="exact"/>
        <w:ind w:firstLine="0"/>
        <w:rPr>
          <w:rFonts w:ascii="Times New Roman" w:hAnsi="Times New Roman"/>
          <w:lang w:eastAsia="zh-CN"/>
        </w:rPr>
      </w:pPr>
    </w:p>
    <w:p w14:paraId="48A2C93B" w14:textId="280EC1AA" w:rsidR="00C778B8" w:rsidRDefault="00C778B8">
      <w:pPr>
        <w:widowControl/>
        <w:jc w:val="left"/>
        <w:rPr>
          <w:rFonts w:ascii="Times New Roman" w:eastAsia="宋体" w:hAnsi="Times New Roman" w:cs="Times New Roman"/>
          <w:kern w:val="0"/>
          <w:sz w:val="24"/>
          <w:szCs w:val="20"/>
        </w:rPr>
      </w:pPr>
      <w:r>
        <w:rPr>
          <w:rFonts w:ascii="Times New Roman" w:hAnsi="Times New Roman"/>
        </w:rPr>
        <w:br w:type="page"/>
      </w:r>
    </w:p>
    <w:p w14:paraId="4D19D2B2" w14:textId="77777777" w:rsidR="00AE55E3" w:rsidRPr="00AE55E3" w:rsidRDefault="00AE55E3" w:rsidP="00AE55E3">
      <w:pPr>
        <w:autoSpaceDE w:val="0"/>
        <w:autoSpaceDN w:val="0"/>
        <w:adjustRightInd w:val="0"/>
        <w:snapToGrid w:val="0"/>
        <w:spacing w:line="480" w:lineRule="auto"/>
        <w:rPr>
          <w:rFonts w:ascii="Times New Roman" w:eastAsia="宋体" w:hAnsi="Times New Roman" w:cs="Times New Roman"/>
          <w:b/>
          <w:bCs/>
          <w:sz w:val="32"/>
          <w:szCs w:val="24"/>
        </w:rPr>
      </w:pPr>
      <w:r w:rsidRPr="00AE55E3">
        <w:rPr>
          <w:rFonts w:ascii="Times New Roman" w:eastAsia="宋体" w:hAnsi="Times New Roman" w:cs="Times New Roman"/>
          <w:b/>
          <w:bCs/>
          <w:sz w:val="32"/>
          <w:szCs w:val="24"/>
        </w:rPr>
        <w:lastRenderedPageBreak/>
        <w:t>Method</w:t>
      </w:r>
    </w:p>
    <w:p w14:paraId="478D7722" w14:textId="2FE35D49" w:rsidR="00AE55E3" w:rsidRPr="005835D3" w:rsidRDefault="00AE55E3" w:rsidP="00AE55E3">
      <w:pPr>
        <w:autoSpaceDE w:val="0"/>
        <w:autoSpaceDN w:val="0"/>
        <w:adjustRightInd w:val="0"/>
        <w:snapToGrid w:val="0"/>
        <w:spacing w:line="480" w:lineRule="auto"/>
        <w:rPr>
          <w:rFonts w:ascii="Times New Roman" w:eastAsia="宋体" w:hAnsi="Times New Roman" w:cs="Times New Roman"/>
          <w:bCs/>
          <w:sz w:val="24"/>
          <w:szCs w:val="24"/>
        </w:rPr>
      </w:pPr>
      <w:r w:rsidRPr="005835D3">
        <w:rPr>
          <w:rFonts w:ascii="Times New Roman" w:eastAsia="宋体" w:hAnsi="Times New Roman" w:cs="Times New Roman"/>
          <w:bCs/>
          <w:sz w:val="24"/>
          <w:szCs w:val="24"/>
        </w:rPr>
        <w:t>The comprehensive water inflow coefficient λ</w:t>
      </w:r>
      <w:r w:rsidR="005835D3" w:rsidRPr="005835D3">
        <w:rPr>
          <w:rFonts w:ascii="Times New Roman" w:eastAsia="宋体" w:hAnsi="Times New Roman" w:cs="Times New Roman"/>
          <w:bCs/>
          <w:sz w:val="24"/>
          <w:szCs w:val="24"/>
        </w:rPr>
        <w:t>.</w:t>
      </w:r>
    </w:p>
    <w:p w14:paraId="01D46997" w14:textId="77777777" w:rsidR="00AE55E3" w:rsidRPr="00184A31" w:rsidRDefault="00AE55E3" w:rsidP="00AE55E3">
      <w:pPr>
        <w:autoSpaceDE w:val="0"/>
        <w:autoSpaceDN w:val="0"/>
        <w:adjustRightInd w:val="0"/>
        <w:snapToGrid w:val="0"/>
        <w:spacing w:line="480" w:lineRule="auto"/>
        <w:rPr>
          <w:rFonts w:ascii="Times New Roman" w:eastAsia="宋体" w:hAnsi="Times New Roman" w:cs="Times New Roman"/>
          <w:b/>
          <w:bCs/>
          <w:sz w:val="32"/>
          <w:szCs w:val="24"/>
        </w:rPr>
      </w:pPr>
      <w:r w:rsidRPr="00184A31">
        <w:rPr>
          <w:rFonts w:ascii="Times New Roman" w:eastAsia="宋体" w:hAnsi="Times New Roman" w:cs="Times New Roman"/>
          <w:b/>
          <w:bCs/>
          <w:sz w:val="32"/>
          <w:szCs w:val="24"/>
        </w:rPr>
        <w:t>Table list</w:t>
      </w:r>
    </w:p>
    <w:p w14:paraId="4CE3755C" w14:textId="77777777" w:rsidR="00AE55E3" w:rsidRDefault="00AE55E3" w:rsidP="00AE55E3">
      <w:pPr>
        <w:spacing w:line="480" w:lineRule="auto"/>
        <w:rPr>
          <w:rFonts w:ascii="Times New Roman" w:eastAsia="宋体" w:hAnsi="Times New Roman" w:cs="Times New Roman"/>
          <w:b/>
          <w:bCs/>
          <w:sz w:val="24"/>
          <w:szCs w:val="24"/>
        </w:rPr>
      </w:pPr>
      <w:r w:rsidRPr="00E547AD">
        <w:rPr>
          <w:rFonts w:ascii="Times New Roman" w:eastAsia="宋体" w:hAnsi="Times New Roman" w:cs="Times New Roman"/>
          <w:b/>
          <w:bCs/>
          <w:sz w:val="24"/>
          <w:szCs w:val="24"/>
        </w:rPr>
        <w:t>Table S1</w:t>
      </w:r>
      <w:r w:rsidRPr="00E547AD">
        <w:rPr>
          <w:rFonts w:ascii="Times New Roman" w:eastAsia="宋体" w:hAnsi="Times New Roman" w:cs="Times New Roman"/>
          <w:bCs/>
          <w:sz w:val="24"/>
          <w:szCs w:val="24"/>
        </w:rPr>
        <w:t>. The geographical coordinates of the sampling sites</w:t>
      </w:r>
    </w:p>
    <w:p w14:paraId="4D1A2A68" w14:textId="77777777" w:rsidR="00AE55E3" w:rsidRPr="00E547AD" w:rsidRDefault="00AE55E3" w:rsidP="00AE55E3">
      <w:pPr>
        <w:spacing w:line="480" w:lineRule="auto"/>
        <w:rPr>
          <w:rFonts w:ascii="Times New Roman" w:hAnsi="Times New Roman" w:cs="Times New Roman"/>
          <w:b/>
          <w:sz w:val="24"/>
          <w:szCs w:val="24"/>
        </w:rPr>
      </w:pPr>
      <w:r w:rsidRPr="00E547AD">
        <w:rPr>
          <w:rFonts w:ascii="Times New Roman" w:eastAsia="宋体" w:hAnsi="Times New Roman" w:cs="Times New Roman"/>
          <w:b/>
          <w:bCs/>
          <w:sz w:val="24"/>
          <w:szCs w:val="24"/>
        </w:rPr>
        <w:t xml:space="preserve">Table S2 </w:t>
      </w:r>
      <w:r w:rsidRPr="00E547AD">
        <w:rPr>
          <w:rFonts w:ascii="Times New Roman" w:hAnsi="Times New Roman" w:cs="Times New Roman"/>
          <w:sz w:val="24"/>
          <w:szCs w:val="24"/>
        </w:rPr>
        <w:t xml:space="preserve">Optimized UPLC - MS/MS parameters of atrazine and its, surrogates, and internal standards. </w:t>
      </w:r>
    </w:p>
    <w:p w14:paraId="7FD9BC68" w14:textId="77777777" w:rsidR="00AE55E3" w:rsidRPr="00E547AD" w:rsidRDefault="00AE55E3" w:rsidP="00AE55E3">
      <w:pPr>
        <w:spacing w:line="480" w:lineRule="auto"/>
        <w:rPr>
          <w:rFonts w:ascii="Times New Roman" w:eastAsia="宋体" w:hAnsi="Times New Roman" w:cs="Times New Roman"/>
          <w:sz w:val="24"/>
          <w:szCs w:val="24"/>
        </w:rPr>
      </w:pPr>
      <w:r w:rsidRPr="00E547AD">
        <w:rPr>
          <w:rFonts w:ascii="Times New Roman" w:eastAsia="宋体" w:hAnsi="Times New Roman" w:cs="Times New Roman"/>
          <w:b/>
          <w:bCs/>
          <w:sz w:val="24"/>
          <w:szCs w:val="24"/>
        </w:rPr>
        <w:t xml:space="preserve">Table S3 </w:t>
      </w:r>
      <w:r w:rsidRPr="00E547AD">
        <w:rPr>
          <w:rFonts w:ascii="Times New Roman" w:hAnsi="Times New Roman" w:cs="Times New Roman"/>
          <w:sz w:val="24"/>
          <w:szCs w:val="24"/>
        </w:rPr>
        <w:t>Calibration equations, linear ranges and performances (</w:t>
      </w:r>
      <w:r w:rsidRPr="00E547AD">
        <w:rPr>
          <w:rFonts w:ascii="Times New Roman" w:hAnsi="Times New Roman" w:cs="Times New Roman"/>
          <w:i/>
          <w:sz w:val="24"/>
          <w:szCs w:val="24"/>
        </w:rPr>
        <w:t>R</w:t>
      </w:r>
      <w:r w:rsidRPr="00E547AD">
        <w:rPr>
          <w:rFonts w:ascii="Times New Roman" w:hAnsi="Times New Roman" w:cs="Times New Roman"/>
          <w:sz w:val="24"/>
          <w:szCs w:val="24"/>
          <w:vertAlign w:val="superscript"/>
        </w:rPr>
        <w:t>2</w:t>
      </w:r>
      <w:r w:rsidRPr="00E547AD">
        <w:rPr>
          <w:rFonts w:ascii="Times New Roman" w:hAnsi="Times New Roman" w:cs="Times New Roman"/>
          <w:sz w:val="24"/>
          <w:szCs w:val="24"/>
        </w:rPr>
        <w:t xml:space="preserve">, MDLs, MQLs) of the target chemicals and the surrogate in surface water (ng/L), SPM (ng/L), and surface sediment (ng/g) samples. </w:t>
      </w:r>
    </w:p>
    <w:p w14:paraId="5F1DDFCF" w14:textId="77777777" w:rsidR="00AE55E3" w:rsidRPr="00E547AD" w:rsidRDefault="00AE55E3" w:rsidP="00AE55E3">
      <w:pPr>
        <w:spacing w:line="480" w:lineRule="auto"/>
        <w:rPr>
          <w:rFonts w:ascii="Times New Roman" w:hAnsi="Times New Roman" w:cs="Times New Roman"/>
          <w:sz w:val="24"/>
        </w:rPr>
      </w:pPr>
      <w:r w:rsidRPr="00E547AD">
        <w:rPr>
          <w:rFonts w:ascii="Times New Roman" w:hAnsi="Times New Roman" w:cs="Times New Roman"/>
          <w:b/>
          <w:sz w:val="24"/>
        </w:rPr>
        <w:t>Table. S4</w:t>
      </w:r>
      <w:r w:rsidRPr="00E547AD">
        <w:rPr>
          <w:rFonts w:ascii="Times New Roman" w:hAnsi="Times New Roman" w:cs="Times New Roman"/>
          <w:sz w:val="24"/>
        </w:rPr>
        <w:t xml:space="preserve"> Global atrazine concentration in the water.</w:t>
      </w:r>
    </w:p>
    <w:p w14:paraId="181FF61F" w14:textId="77777777" w:rsidR="00AE55E3" w:rsidRPr="00E547AD" w:rsidRDefault="00AE55E3" w:rsidP="00AE55E3">
      <w:pPr>
        <w:spacing w:line="480" w:lineRule="auto"/>
        <w:rPr>
          <w:rFonts w:ascii="Times New Roman" w:hAnsi="Times New Roman" w:cs="Times New Roman"/>
        </w:rPr>
      </w:pPr>
    </w:p>
    <w:p w14:paraId="1D31C8A6" w14:textId="77777777" w:rsidR="00AE55E3" w:rsidRPr="00184A31" w:rsidRDefault="00AE55E3" w:rsidP="00AE55E3">
      <w:pPr>
        <w:spacing w:line="480" w:lineRule="auto"/>
        <w:rPr>
          <w:rFonts w:ascii="Times New Roman" w:eastAsia="宋体" w:hAnsi="Times New Roman" w:cs="Times New Roman"/>
          <w:b/>
          <w:bCs/>
          <w:sz w:val="32"/>
          <w:szCs w:val="24"/>
        </w:rPr>
      </w:pPr>
      <w:r w:rsidRPr="00184A31">
        <w:rPr>
          <w:rFonts w:ascii="Times New Roman" w:eastAsia="宋体" w:hAnsi="Times New Roman" w:cs="Times New Roman" w:hint="eastAsia"/>
          <w:b/>
          <w:bCs/>
          <w:sz w:val="32"/>
          <w:szCs w:val="24"/>
        </w:rPr>
        <w:t>Figure list</w:t>
      </w:r>
    </w:p>
    <w:p w14:paraId="19EB436D" w14:textId="77777777" w:rsidR="00AE55E3" w:rsidRPr="00E547AD" w:rsidRDefault="00AE55E3" w:rsidP="00AE55E3">
      <w:pPr>
        <w:spacing w:line="480" w:lineRule="auto"/>
        <w:rPr>
          <w:rFonts w:ascii="Times New Roman" w:hAnsi="Times New Roman" w:cs="Times New Roman"/>
        </w:rPr>
      </w:pPr>
      <w:r w:rsidRPr="00E547AD">
        <w:rPr>
          <w:rFonts w:ascii="Times New Roman" w:eastAsia="宋体" w:hAnsi="Times New Roman" w:cs="Times New Roman"/>
          <w:b/>
          <w:bCs/>
          <w:sz w:val="24"/>
          <w:szCs w:val="24"/>
        </w:rPr>
        <w:t>Fig. S1</w:t>
      </w:r>
      <w:r w:rsidRPr="00E547AD">
        <w:rPr>
          <w:rFonts w:ascii="Times New Roman" w:eastAsia="宋体" w:hAnsi="Times New Roman" w:cs="Times New Roman"/>
          <w:bCs/>
          <w:sz w:val="24"/>
          <w:szCs w:val="24"/>
        </w:rPr>
        <w:t xml:space="preserve"> Extracted ion chromatograms (EIC) of the atrazine</w:t>
      </w:r>
      <w:r w:rsidRPr="00E547AD">
        <w:rPr>
          <w:rFonts w:ascii="Times New Roman" w:hAnsi="Times New Roman" w:cs="Times New Roman"/>
          <w:sz w:val="24"/>
          <w:szCs w:val="24"/>
        </w:rPr>
        <w:t>, the surrogate desethylatrazine-</w:t>
      </w:r>
      <w:r w:rsidRPr="00E547AD">
        <w:rPr>
          <w:rFonts w:ascii="Times New Roman" w:hAnsi="Times New Roman" w:cs="Times New Roman"/>
          <w:sz w:val="24"/>
          <w:szCs w:val="24"/>
          <w:vertAlign w:val="superscript"/>
        </w:rPr>
        <w:t>13</w:t>
      </w:r>
      <w:r w:rsidRPr="00E547AD">
        <w:rPr>
          <w:rFonts w:ascii="Times New Roman" w:hAnsi="Times New Roman" w:cs="Times New Roman"/>
          <w:sz w:val="24"/>
          <w:szCs w:val="24"/>
        </w:rPr>
        <w:t>C,</w:t>
      </w:r>
      <w:r w:rsidRPr="00E547AD">
        <w:rPr>
          <w:rFonts w:ascii="Times New Roman" w:eastAsia="宋体" w:hAnsi="Times New Roman" w:cs="Times New Roman"/>
          <w:bCs/>
          <w:sz w:val="24"/>
          <w:szCs w:val="24"/>
        </w:rPr>
        <w:t xml:space="preserve"> and the internal standard atrazine-</w:t>
      </w:r>
      <w:r w:rsidRPr="00E547AD">
        <w:rPr>
          <w:rFonts w:ascii="Times New Roman" w:eastAsia="宋体" w:hAnsi="Times New Roman" w:cs="Times New Roman"/>
          <w:bCs/>
          <w:sz w:val="24"/>
          <w:szCs w:val="24"/>
          <w:vertAlign w:val="superscript"/>
        </w:rPr>
        <w:t>13</w:t>
      </w:r>
      <w:r w:rsidRPr="00E547AD">
        <w:rPr>
          <w:rFonts w:ascii="Times New Roman" w:eastAsia="宋体" w:hAnsi="Times New Roman" w:cs="Times New Roman"/>
          <w:bCs/>
          <w:sz w:val="24"/>
          <w:szCs w:val="24"/>
        </w:rPr>
        <w:t>C in the samples, respectively.</w:t>
      </w:r>
      <w:r w:rsidRPr="00E547AD">
        <w:rPr>
          <w:rFonts w:ascii="Times New Roman" w:eastAsia="宋体" w:hAnsi="Times New Roman" w:cs="Times New Roman"/>
          <w:sz w:val="24"/>
          <w:szCs w:val="24"/>
        </w:rPr>
        <w:t xml:space="preserve"> </w:t>
      </w:r>
    </w:p>
    <w:p w14:paraId="71866C22" w14:textId="77777777" w:rsidR="00AE55E3" w:rsidRPr="00E51CC5" w:rsidRDefault="00AE55E3" w:rsidP="00AE55E3">
      <w:pPr>
        <w:spacing w:line="480" w:lineRule="auto"/>
        <w:rPr>
          <w:rFonts w:ascii="Times New Roman" w:hAnsi="Times New Roman" w:cs="Times New Roman"/>
          <w:sz w:val="24"/>
          <w:szCs w:val="24"/>
        </w:rPr>
      </w:pPr>
      <w:r w:rsidRPr="00E51CC5">
        <w:rPr>
          <w:rFonts w:ascii="Times New Roman" w:hAnsi="Times New Roman" w:cs="Times New Roman"/>
          <w:b/>
          <w:sz w:val="24"/>
          <w:szCs w:val="24"/>
        </w:rPr>
        <w:t>Fig. S2</w:t>
      </w:r>
      <w:r w:rsidRPr="00E51CC5">
        <w:rPr>
          <w:rFonts w:ascii="Times New Roman" w:hAnsi="Times New Roman" w:cs="Times New Roman"/>
          <w:sz w:val="24"/>
          <w:szCs w:val="24"/>
        </w:rPr>
        <w:t xml:space="preserve"> Annual spatial distribution of parameters related to comprehensive water inflow coefficient, including (A) sub-basin classify, (B) retain index, (C) precipitation index, (D) runoff index, (E) subsurface water index, and (F) terrain index.</w:t>
      </w:r>
    </w:p>
    <w:p w14:paraId="4CEF55C1" w14:textId="77777777" w:rsidR="00AE55E3" w:rsidRPr="00E51CC5" w:rsidRDefault="00AE55E3" w:rsidP="00AE55E3">
      <w:pPr>
        <w:spacing w:line="480" w:lineRule="auto"/>
        <w:rPr>
          <w:rFonts w:ascii="Times New Roman" w:hAnsi="Times New Roman" w:cs="Times New Roman"/>
          <w:sz w:val="24"/>
        </w:rPr>
      </w:pPr>
      <w:r w:rsidRPr="00E51CC5">
        <w:rPr>
          <w:rFonts w:ascii="Times New Roman" w:hAnsi="Times New Roman" w:cs="Times New Roman"/>
          <w:b/>
          <w:sz w:val="24"/>
        </w:rPr>
        <w:t xml:space="preserve">Fig. S3 </w:t>
      </w:r>
      <w:r w:rsidRPr="00E51CC5">
        <w:rPr>
          <w:rFonts w:ascii="Times New Roman" w:hAnsi="Times New Roman" w:cs="Times New Roman"/>
          <w:sz w:val="24"/>
        </w:rPr>
        <w:t>Atrazine occurrence in China before and after reduction policy. The red point indicates level of atrazine in Yellow River Watershed (YRW).</w:t>
      </w:r>
    </w:p>
    <w:p w14:paraId="14B99B44" w14:textId="77777777" w:rsidR="00AE55E3" w:rsidRPr="00E51CC5" w:rsidRDefault="00AE55E3" w:rsidP="00AE55E3">
      <w:pPr>
        <w:spacing w:line="480" w:lineRule="auto"/>
        <w:rPr>
          <w:rFonts w:ascii="Times New Roman" w:hAnsi="Times New Roman" w:cs="Times New Roman"/>
          <w:sz w:val="24"/>
        </w:rPr>
      </w:pPr>
      <w:r w:rsidRPr="00E51CC5">
        <w:rPr>
          <w:rFonts w:ascii="Times New Roman" w:hAnsi="Times New Roman" w:cs="Times New Roman"/>
          <w:b/>
          <w:sz w:val="24"/>
        </w:rPr>
        <w:t>Fig. S4</w:t>
      </w:r>
      <w:r w:rsidRPr="00E51CC5">
        <w:rPr>
          <w:rFonts w:ascii="Times New Roman" w:hAnsi="Times New Roman" w:cs="Times New Roman"/>
          <w:sz w:val="24"/>
        </w:rPr>
        <w:t xml:space="preserve"> </w:t>
      </w:r>
      <w:r>
        <w:rPr>
          <w:rFonts w:ascii="Times New Roman" w:hAnsi="Times New Roman" w:cs="Times New Roman"/>
          <w:sz w:val="24"/>
        </w:rPr>
        <w:t>Estimated atrazine c</w:t>
      </w:r>
      <w:r w:rsidRPr="00E51CC5">
        <w:rPr>
          <w:rFonts w:ascii="Times New Roman" w:hAnsi="Times New Roman" w:cs="Times New Roman"/>
          <w:sz w:val="24"/>
        </w:rPr>
        <w:t>oncentration in the water of the Yellow River Watershed</w:t>
      </w:r>
    </w:p>
    <w:p w14:paraId="2F86447D" w14:textId="77777777" w:rsidR="00AE55E3" w:rsidRPr="00E51CC5" w:rsidRDefault="00AE55E3" w:rsidP="00AE55E3">
      <w:pPr>
        <w:rPr>
          <w:rFonts w:ascii="Times New Roman" w:hAnsi="Times New Roman" w:cs="Times New Roman"/>
          <w:sz w:val="24"/>
        </w:rPr>
      </w:pPr>
    </w:p>
    <w:p w14:paraId="4CFE3F82" w14:textId="77777777" w:rsidR="00AE55E3" w:rsidRPr="00E547AD" w:rsidRDefault="00AE55E3" w:rsidP="00AE55E3">
      <w:pPr>
        <w:widowControl/>
        <w:jc w:val="left"/>
        <w:rPr>
          <w:rFonts w:ascii="Times New Roman" w:hAnsi="Times New Roman" w:cs="Times New Roman"/>
        </w:rPr>
      </w:pPr>
      <w:r w:rsidRPr="00E547AD">
        <w:rPr>
          <w:rFonts w:ascii="Times New Roman" w:hAnsi="Times New Roman" w:cs="Times New Roman"/>
        </w:rPr>
        <w:br w:type="page"/>
      </w:r>
    </w:p>
    <w:p w14:paraId="4E5D6137" w14:textId="57F2D361" w:rsidR="003658D8" w:rsidRPr="00E547AD" w:rsidRDefault="00C778B8" w:rsidP="00CC5182">
      <w:pPr>
        <w:pStyle w:val="TAMainText"/>
        <w:ind w:firstLine="0"/>
        <w:rPr>
          <w:rFonts w:ascii="Times New Roman" w:hAnsi="Times New Roman"/>
          <w:b/>
          <w:lang w:eastAsia="zh-CN"/>
        </w:rPr>
      </w:pPr>
      <w:r>
        <w:rPr>
          <w:rFonts w:ascii="Times New Roman" w:hAnsi="Times New Roman"/>
          <w:b/>
          <w:lang w:eastAsia="zh-CN"/>
        </w:rPr>
        <w:lastRenderedPageBreak/>
        <w:t>T</w:t>
      </w:r>
      <w:r w:rsidR="004D75E2" w:rsidRPr="00E547AD">
        <w:rPr>
          <w:rFonts w:ascii="Times New Roman" w:hAnsi="Times New Roman"/>
          <w:b/>
          <w:lang w:eastAsia="zh-CN"/>
        </w:rPr>
        <w:t xml:space="preserve">he </w:t>
      </w:r>
      <w:r>
        <w:rPr>
          <w:rFonts w:ascii="Times New Roman" w:hAnsi="Times New Roman"/>
          <w:b/>
          <w:lang w:eastAsia="zh-CN"/>
        </w:rPr>
        <w:t>comprehensive water inflow coefficient</w:t>
      </w:r>
      <w:r w:rsidR="004D75E2" w:rsidRPr="00E547AD">
        <w:rPr>
          <w:rFonts w:ascii="Times New Roman" w:hAnsi="Times New Roman"/>
          <w:b/>
          <w:lang w:eastAsia="zh-CN"/>
        </w:rPr>
        <w:t xml:space="preserve"> </w:t>
      </w:r>
      <w:r w:rsidR="004D75E2" w:rsidRPr="00E547AD">
        <w:rPr>
          <w:rFonts w:ascii="Times New Roman" w:hAnsi="Times New Roman"/>
          <w:b/>
        </w:rPr>
        <w:t>λ.</w:t>
      </w:r>
    </w:p>
    <w:p w14:paraId="21504E69" w14:textId="1DDCA185" w:rsidR="003658D8" w:rsidRPr="00E547AD" w:rsidRDefault="003658D8" w:rsidP="003658D8">
      <w:pPr>
        <w:pStyle w:val="TAMainText"/>
        <w:spacing w:line="400" w:lineRule="exact"/>
        <w:ind w:firstLineChars="100" w:firstLine="240"/>
        <w:rPr>
          <w:rFonts w:ascii="Times New Roman" w:hAnsi="Times New Roman"/>
        </w:rPr>
      </w:pPr>
      <w:r w:rsidRPr="00E547AD">
        <w:rPr>
          <w:rFonts w:ascii="Times New Roman" w:hAnsi="Times New Roman"/>
        </w:rPr>
        <w:t xml:space="preserve">The generation, migration, and transformation of pollutants are mainly determined by precipitation, slope, surface/underground runoff, and watershed </w:t>
      </w:r>
      <w:r w:rsidR="004627AA">
        <w:rPr>
          <w:rFonts w:ascii="Times New Roman" w:hAnsi="Times New Roman"/>
        </w:rPr>
        <w:t>interception</w:t>
      </w:r>
      <w:r w:rsidRPr="00E547AD">
        <w:rPr>
          <w:rFonts w:ascii="Times New Roman" w:hAnsi="Times New Roman"/>
        </w:rPr>
        <w:t xml:space="preserve">. Therefore, different </w:t>
      </w:r>
      <w:r w:rsidR="004627AA">
        <w:rPr>
          <w:rFonts w:ascii="Times New Roman" w:hAnsi="Times New Roman"/>
        </w:rPr>
        <w:t>water</w:t>
      </w:r>
      <w:r w:rsidRPr="00E547AD">
        <w:rPr>
          <w:rFonts w:ascii="Times New Roman" w:hAnsi="Times New Roman"/>
        </w:rPr>
        <w:t xml:space="preserve"> inflow coefficients λ for each sub-basin are used to comprehensively consider the process of pollutant</w:t>
      </w:r>
      <w:r w:rsidR="004627AA">
        <w:rPr>
          <w:rFonts w:ascii="Times New Roman" w:hAnsi="Times New Roman"/>
        </w:rPr>
        <w:t>s</w:t>
      </w:r>
      <w:r w:rsidRPr="00E547AD">
        <w:rPr>
          <w:rFonts w:ascii="Times New Roman" w:hAnsi="Times New Roman"/>
        </w:rPr>
        <w:t xml:space="preserve"> inflow into the </w:t>
      </w:r>
      <w:r w:rsidR="004627AA">
        <w:rPr>
          <w:rFonts w:ascii="Times New Roman" w:hAnsi="Times New Roman"/>
        </w:rPr>
        <w:t>aquatic environments</w:t>
      </w:r>
      <w:r w:rsidR="005E34EB" w:rsidRPr="005E34EB">
        <w:rPr>
          <w:rFonts w:ascii="Times New Roman" w:hAnsi="Times New Roman"/>
          <w:color w:val="0070C0"/>
        </w:rPr>
        <w:fldChar w:fldCharType="begin" w:fldLock="1"/>
      </w:r>
      <w:r w:rsidR="00140B7E">
        <w:rPr>
          <w:rFonts w:ascii="Times New Roman" w:hAnsi="Times New Roman"/>
          <w:color w:val="0070C0"/>
        </w:rPr>
        <w:instrText>ADDIN CSL_CITATION {"citationItems":[{"id":"ITEM-1","itemData":{"DOI":"10.13209/j.0479-8023.2021.049","ISSN":"04798023","abstract":"The Dianchi watershed Basin was selected as a typical watershed. Considering the differences of regional natural geography, hydrometeorology and human activities, using 1 km×1 km grid data, the detailed simulation calculation of the pollutants entering the water source of agricultural sources is carried out. The rainfall driving factors, terrain driving factors, surface runoff factor, underground storage/groundwater runoff factor and interception factor are obtained. The average comprehensive water inflow coefficients of TN and TP from agricultural sources in Dianchi Basin in 2016 are 0.447 and 0.342 respectively, and the actual water inflow loads of TN and TP from agricultural sources in 2016 are 577.39 t and 167.62 t respectively. The results show that the discharge of agricultural source pollutants and the load of influent water have significant spatial variation in Dianchi Lake Basin. 81.0% of nitrogen and 74.2% of phosphorus were concentrated in Caohai land area and the north coast of the open sea. The largest emission was in the upper reaches of Panlong River, with nitrogen and phosphorus accounting for 21.9% and 20.2% respectively. It is also found that livestock and poultry breeding account for more than 90% of the total TN and TP emissions of from agricultural sources, which should be the focus of agricultural source pollution control.","author":[{"dropping-particle":"","family":"Hu","given":"Qing","non-dropping-particle":"","parse-names":false,"suffix":""},{"dropping-particle":"","family":"Guo","given":"Huaicheng","non-dropping-particle":"","parse-names":false,"suffix":""},{"dropping-particle":"","family":"Wang","given":"Yuqi","non-dropping-particle":"","parse-names":false,"suffix":""},{"dropping-particle":"","family":"Zhang","given":"Yang","non-dropping-particle":"","parse-names":false,"suffix":""},{"dropping-particle":"","family":"Li","given":"Zheng","non-dropping-particle":"","parse-names":false,"suffix":""},{"dropping-particle":"","family":"Fu","given":"Zhenghui","non-dropping-particle":"","parse-names":false,"suffix":""},{"dropping-particle":"","family":"Lu","given":"Wentao","non-dropping-particle":"","parse-names":false,"suffix":""}],"container-title":"Beijing Daxue Xuebao (Ziran Kexue Ban)/Acta Scientiarum Naturalium Universitatis Pekinensis","id":"ITEM-1","issue":"4","issued":{"date-parts":[["2021"]]},"page":"739-748","title":"Estimation of Agricultural Non-point Source Pollution Loads Based on Improved Export Coefficient Model","type":"article-journal","volume":"57"},"uris":["http://www.mendeley.com/documents/?uuid=0ad28644-a0b7-456d-9d99-feacfdf5bbed"]}],"mendeley":{"formattedCitation":"&lt;sup&gt;1&lt;/sup&gt;","plainTextFormattedCitation":"1","previouslyFormattedCitation":"&lt;sup&gt;1&lt;/sup&gt;"},"properties":{"noteIndex":0},"schema":"https://github.com/citation-style-language/schema/raw/master/csl-citation.json"}</w:instrText>
      </w:r>
      <w:r w:rsidR="005E34EB" w:rsidRPr="005E34EB">
        <w:rPr>
          <w:rFonts w:ascii="Times New Roman" w:hAnsi="Times New Roman"/>
          <w:color w:val="0070C0"/>
        </w:rPr>
        <w:fldChar w:fldCharType="separate"/>
      </w:r>
      <w:r w:rsidR="005E34EB" w:rsidRPr="005E34EB">
        <w:rPr>
          <w:rFonts w:ascii="Times New Roman" w:hAnsi="Times New Roman"/>
          <w:noProof/>
          <w:color w:val="0070C0"/>
          <w:vertAlign w:val="superscript"/>
        </w:rPr>
        <w:t>1</w:t>
      </w:r>
      <w:r w:rsidR="005E34EB" w:rsidRPr="005E34EB">
        <w:rPr>
          <w:rFonts w:ascii="Times New Roman" w:hAnsi="Times New Roman"/>
          <w:color w:val="0070C0"/>
        </w:rPr>
        <w:fldChar w:fldCharType="end"/>
      </w:r>
      <w:r w:rsidRPr="00E547AD">
        <w:rPr>
          <w:rFonts w:ascii="Times New Roman" w:hAnsi="Times New Roman"/>
        </w:rPr>
        <w:t xml:space="preserve">. A comprehensive </w:t>
      </w:r>
      <w:r w:rsidR="004627AA">
        <w:rPr>
          <w:rFonts w:ascii="Times New Roman" w:hAnsi="Times New Roman"/>
        </w:rPr>
        <w:t>water</w:t>
      </w:r>
      <w:r w:rsidRPr="00E547AD">
        <w:rPr>
          <w:rFonts w:ascii="Times New Roman" w:hAnsi="Times New Roman"/>
        </w:rPr>
        <w:t xml:space="preserve"> inflow coefficient</w:t>
      </w:r>
      <w:r w:rsidR="004627AA">
        <w:rPr>
          <w:rFonts w:ascii="Times New Roman" w:hAnsi="Times New Roman"/>
        </w:rPr>
        <w:t>s</w:t>
      </w:r>
      <w:r w:rsidRPr="00E547AD">
        <w:rPr>
          <w:rFonts w:ascii="Times New Roman" w:hAnsi="Times New Roman"/>
        </w:rPr>
        <w:t xml:space="preserve"> method is established based on five </w:t>
      </w:r>
      <w:r w:rsidR="004627AA">
        <w:rPr>
          <w:rFonts w:ascii="Times New Roman" w:hAnsi="Times New Roman"/>
        </w:rPr>
        <w:t>indicators</w:t>
      </w:r>
      <w:r w:rsidRPr="00E547AD">
        <w:rPr>
          <w:rFonts w:ascii="Times New Roman" w:hAnsi="Times New Roman"/>
        </w:rPr>
        <w:t xml:space="preserve">: </w:t>
      </w:r>
      <w:r w:rsidR="00C4419F">
        <w:rPr>
          <w:rFonts w:ascii="Times New Roman" w:hAnsi="Times New Roman"/>
        </w:rPr>
        <w:t xml:space="preserve">precipitation, </w:t>
      </w:r>
      <w:r w:rsidRPr="00E547AD">
        <w:rPr>
          <w:rFonts w:ascii="Times New Roman" w:hAnsi="Times New Roman"/>
        </w:rPr>
        <w:t>slope</w:t>
      </w:r>
      <w:r w:rsidR="00C4419F">
        <w:rPr>
          <w:rFonts w:ascii="Times New Roman" w:hAnsi="Times New Roman"/>
        </w:rPr>
        <w:t xml:space="preserve">, </w:t>
      </w:r>
      <w:r w:rsidRPr="00E547AD">
        <w:rPr>
          <w:rFonts w:ascii="Times New Roman" w:hAnsi="Times New Roman"/>
        </w:rPr>
        <w:t>surface runoff</w:t>
      </w:r>
      <w:r w:rsidR="00C4419F">
        <w:rPr>
          <w:rFonts w:ascii="Times New Roman" w:hAnsi="Times New Roman"/>
        </w:rPr>
        <w:t>, subsurface</w:t>
      </w:r>
      <w:r w:rsidRPr="00E547AD">
        <w:rPr>
          <w:rFonts w:ascii="Times New Roman" w:hAnsi="Times New Roman"/>
        </w:rPr>
        <w:t xml:space="preserve"> infiltration</w:t>
      </w:r>
      <w:r w:rsidR="00C4419F">
        <w:rPr>
          <w:rFonts w:ascii="Times New Roman" w:hAnsi="Times New Roman"/>
        </w:rPr>
        <w:t xml:space="preserve">, </w:t>
      </w:r>
      <w:r w:rsidRPr="00E547AD">
        <w:rPr>
          <w:rFonts w:ascii="Times New Roman" w:hAnsi="Times New Roman"/>
        </w:rPr>
        <w:t>interception.</w:t>
      </w:r>
    </w:p>
    <w:p w14:paraId="20DCC732" w14:textId="77777777" w:rsidR="003658D8" w:rsidRPr="00E547AD" w:rsidRDefault="003658D8" w:rsidP="003658D8">
      <w:pPr>
        <w:ind w:firstLine="480"/>
        <w:jc w:val="center"/>
        <w:rPr>
          <w:rFonts w:ascii="Times New Roman" w:hAnsi="Times New Roman" w:cs="Times New Roman"/>
        </w:rPr>
      </w:pPr>
      <m:oMathPara>
        <m:oMath>
          <m:r>
            <m:rPr>
              <m:sty m:val="p"/>
            </m:rPr>
            <w:rPr>
              <w:rFonts w:ascii="Cambria Math" w:hAnsi="Cambria Math" w:cs="Times New Roman"/>
            </w:rPr>
            <m:t>λ=α×β×TI×LI×RI</m:t>
          </m:r>
        </m:oMath>
      </m:oMathPara>
    </w:p>
    <w:p w14:paraId="50D293B8" w14:textId="51ADB277" w:rsidR="003658D8" w:rsidRDefault="00C4419F" w:rsidP="003658D8">
      <w:pPr>
        <w:pStyle w:val="TAMainText"/>
        <w:spacing w:line="400" w:lineRule="exact"/>
        <w:ind w:firstLineChars="100" w:firstLine="240"/>
        <w:rPr>
          <w:rFonts w:ascii="Times New Roman" w:hAnsi="Times New Roman"/>
        </w:rPr>
      </w:pPr>
      <w:r>
        <w:rPr>
          <w:rFonts w:ascii="Times New Roman" w:hAnsi="Times New Roman"/>
        </w:rPr>
        <w:t>where</w:t>
      </w:r>
      <w:r w:rsidR="003658D8" w:rsidRPr="00E547AD">
        <w:rPr>
          <w:rFonts w:ascii="Times New Roman" w:hAnsi="Times New Roman"/>
        </w:rPr>
        <w:t xml:space="preserve"> α, β, TI, LI, and RI represent the </w:t>
      </w:r>
      <w:r w:rsidR="006479D7">
        <w:rPr>
          <w:rFonts w:ascii="Times New Roman" w:hAnsi="Times New Roman"/>
        </w:rPr>
        <w:t>precipitation</w:t>
      </w:r>
      <w:r w:rsidR="003658D8" w:rsidRPr="00E547AD">
        <w:rPr>
          <w:rFonts w:ascii="Times New Roman" w:hAnsi="Times New Roman"/>
        </w:rPr>
        <w:t xml:space="preserve"> </w:t>
      </w:r>
      <w:r w:rsidR="006479D7">
        <w:rPr>
          <w:rFonts w:ascii="Times New Roman" w:hAnsi="Times New Roman"/>
        </w:rPr>
        <w:t>index</w:t>
      </w:r>
      <w:r w:rsidR="003658D8" w:rsidRPr="00E547AD">
        <w:rPr>
          <w:rFonts w:ascii="Times New Roman" w:hAnsi="Times New Roman"/>
        </w:rPr>
        <w:t xml:space="preserve">, terrain </w:t>
      </w:r>
      <w:r w:rsidR="006479D7">
        <w:rPr>
          <w:rFonts w:ascii="Times New Roman" w:hAnsi="Times New Roman"/>
        </w:rPr>
        <w:t>index</w:t>
      </w:r>
      <w:r w:rsidR="003658D8" w:rsidRPr="00E547AD">
        <w:rPr>
          <w:rFonts w:ascii="Times New Roman" w:hAnsi="Times New Roman"/>
        </w:rPr>
        <w:t xml:space="preserve">, </w:t>
      </w:r>
      <w:r w:rsidR="006479D7">
        <w:rPr>
          <w:rFonts w:ascii="Times New Roman" w:hAnsi="Times New Roman"/>
        </w:rPr>
        <w:t>transport index</w:t>
      </w:r>
      <w:r w:rsidR="003658D8" w:rsidRPr="00E547AD">
        <w:rPr>
          <w:rFonts w:ascii="Times New Roman" w:hAnsi="Times New Roman"/>
        </w:rPr>
        <w:t xml:space="preserve">, </w:t>
      </w:r>
      <w:r w:rsidR="006479D7">
        <w:rPr>
          <w:rFonts w:ascii="Times New Roman" w:hAnsi="Times New Roman"/>
        </w:rPr>
        <w:t>leaching index</w:t>
      </w:r>
      <w:r w:rsidR="003658D8" w:rsidRPr="00E547AD">
        <w:rPr>
          <w:rFonts w:ascii="Times New Roman" w:hAnsi="Times New Roman"/>
        </w:rPr>
        <w:t xml:space="preserve">, and </w:t>
      </w:r>
      <w:r w:rsidR="006479D7">
        <w:rPr>
          <w:rFonts w:ascii="Times New Roman" w:hAnsi="Times New Roman"/>
        </w:rPr>
        <w:t>retain</w:t>
      </w:r>
      <w:r w:rsidR="003658D8" w:rsidRPr="00E547AD">
        <w:rPr>
          <w:rFonts w:ascii="Times New Roman" w:hAnsi="Times New Roman"/>
        </w:rPr>
        <w:t xml:space="preserve"> </w:t>
      </w:r>
      <w:r w:rsidR="006479D7">
        <w:rPr>
          <w:rFonts w:ascii="Times New Roman" w:hAnsi="Times New Roman"/>
        </w:rPr>
        <w:t>index</w:t>
      </w:r>
      <w:r w:rsidR="003658D8" w:rsidRPr="00E547AD">
        <w:rPr>
          <w:rFonts w:ascii="Times New Roman" w:hAnsi="Times New Roman"/>
        </w:rPr>
        <w:t xml:space="preserve">, respectively. Among them, </w:t>
      </w:r>
      <w:r w:rsidR="005E34EB">
        <w:rPr>
          <w:rFonts w:ascii="Times New Roman" w:hAnsi="Times New Roman"/>
        </w:rPr>
        <w:t>transport index</w:t>
      </w:r>
      <w:r w:rsidR="003658D8" w:rsidRPr="00E547AD">
        <w:rPr>
          <w:rFonts w:ascii="Times New Roman" w:hAnsi="Times New Roman"/>
        </w:rPr>
        <w:t xml:space="preserve">, </w:t>
      </w:r>
      <w:r w:rsidR="005E34EB">
        <w:rPr>
          <w:rFonts w:ascii="Times New Roman" w:hAnsi="Times New Roman"/>
        </w:rPr>
        <w:t>leaching index</w:t>
      </w:r>
      <w:r w:rsidR="003658D8" w:rsidRPr="00E547AD">
        <w:rPr>
          <w:rFonts w:ascii="Times New Roman" w:hAnsi="Times New Roman"/>
        </w:rPr>
        <w:t xml:space="preserve">, and </w:t>
      </w:r>
      <w:r w:rsidR="005E34EB">
        <w:rPr>
          <w:rFonts w:ascii="Times New Roman" w:hAnsi="Times New Roman"/>
        </w:rPr>
        <w:t>retain index</w:t>
      </w:r>
      <w:r w:rsidR="003658D8" w:rsidRPr="00E547AD">
        <w:rPr>
          <w:rFonts w:ascii="Times New Roman" w:hAnsi="Times New Roman"/>
        </w:rPr>
        <w:t xml:space="preserve"> have been normalized.</w:t>
      </w:r>
    </w:p>
    <w:p w14:paraId="3B368B53" w14:textId="1B86F8CE" w:rsidR="00C4419F" w:rsidRPr="00E547AD" w:rsidRDefault="00C4419F" w:rsidP="008523B3">
      <w:pPr>
        <w:pStyle w:val="TAMainText"/>
        <w:numPr>
          <w:ilvl w:val="0"/>
          <w:numId w:val="2"/>
        </w:numPr>
        <w:spacing w:line="400" w:lineRule="exact"/>
        <w:rPr>
          <w:rFonts w:ascii="Times New Roman" w:hAnsi="Times New Roman"/>
          <w:lang w:eastAsia="zh-CN"/>
        </w:rPr>
      </w:pPr>
      <w:r>
        <w:rPr>
          <w:rFonts w:ascii="Times New Roman" w:hAnsi="Times New Roman" w:hint="eastAsia"/>
          <w:lang w:eastAsia="zh-CN"/>
        </w:rPr>
        <w:t>T</w:t>
      </w:r>
      <w:r>
        <w:rPr>
          <w:rFonts w:ascii="Times New Roman" w:hAnsi="Times New Roman"/>
          <w:lang w:eastAsia="zh-CN"/>
        </w:rPr>
        <w:t xml:space="preserve">he equation of rainfall driving factor </w:t>
      </w:r>
      <w:r w:rsidRPr="00C4419F">
        <w:rPr>
          <w:rFonts w:ascii="Times New Roman" w:hAnsi="Times New Roman"/>
          <w:lang w:eastAsia="zh-CN"/>
        </w:rPr>
        <w:t>α</w:t>
      </w:r>
      <w:r>
        <w:rPr>
          <w:rFonts w:ascii="Times New Roman" w:hAnsi="Times New Roman" w:hint="eastAsia"/>
          <w:lang w:eastAsia="zh-CN"/>
        </w:rPr>
        <w:t xml:space="preserve"> </w:t>
      </w:r>
      <w:r>
        <w:rPr>
          <w:rFonts w:ascii="Times New Roman" w:hAnsi="Times New Roman"/>
          <w:lang w:eastAsia="zh-CN"/>
        </w:rPr>
        <w:t>is as follows:</w:t>
      </w:r>
    </w:p>
    <w:p w14:paraId="3979C96B" w14:textId="77777777" w:rsidR="003658D8" w:rsidRPr="00E547AD" w:rsidRDefault="003658D8" w:rsidP="003658D8">
      <w:pPr>
        <w:ind w:firstLine="480"/>
        <w:rPr>
          <w:rFonts w:ascii="Times New Roman" w:hAnsi="Times New Roman" w:cs="Times New Roman"/>
        </w:rPr>
      </w:pPr>
      <m:oMathPara>
        <m:oMath>
          <m:r>
            <m:rPr>
              <m:sty m:val="p"/>
            </m:rPr>
            <w:rPr>
              <w:rFonts w:ascii="Cambria Math" w:hAnsi="Cambria Math" w:cs="Times New Roman"/>
            </w:rPr>
            <m:t>α=</m:t>
          </m:r>
          <m:sSub>
            <m:sSubPr>
              <m:ctrlPr>
                <w:rPr>
                  <w:rFonts w:ascii="Cambria Math" w:hAnsi="Cambria Math" w:cs="Times New Roman"/>
                </w:rPr>
              </m:ctrlPr>
            </m:sSubPr>
            <m:e>
              <m:r>
                <w:rPr>
                  <w:rFonts w:ascii="Cambria Math" w:hAnsi="Cambria Math" w:cs="Times New Roman"/>
                </w:rPr>
                <m:t>α</m:t>
              </m:r>
            </m:e>
            <m:sub>
              <m:r>
                <w:rPr>
                  <w:rFonts w:ascii="Cambria Math" w:hAnsi="Cambria Math" w:cs="Times New Roman"/>
                </w:rPr>
                <m:t>t</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α</m:t>
              </m:r>
            </m:e>
            <m:sub>
              <m:r>
                <w:rPr>
                  <w:rFonts w:ascii="Cambria Math" w:hAnsi="Cambria Math" w:cs="Times New Roman"/>
                </w:rPr>
                <m:t>s</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L</m:t>
              </m:r>
            </m:num>
            <m:den>
              <m:acc>
                <m:accPr>
                  <m:chr m:val="̅"/>
                  <m:ctrlPr>
                    <w:rPr>
                      <w:rFonts w:ascii="Cambria Math" w:hAnsi="Cambria Math" w:cs="Times New Roman"/>
                      <w:i/>
                    </w:rPr>
                  </m:ctrlPr>
                </m:accPr>
                <m:e>
                  <m:r>
                    <w:rPr>
                      <w:rFonts w:ascii="Cambria Math" w:hAnsi="Cambria Math" w:cs="Times New Roman"/>
                    </w:rPr>
                    <m:t>L</m:t>
                  </m:r>
                </m:e>
              </m:acc>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m:t>
                  </m:r>
                </m:sub>
              </m:sSub>
            </m:num>
            <m:den>
              <m:acc>
                <m:accPr>
                  <m:chr m:val="̅"/>
                  <m:ctrlPr>
                    <w:rPr>
                      <w:rFonts w:ascii="Cambria Math" w:hAnsi="Cambria Math" w:cs="Times New Roman"/>
                      <w:i/>
                    </w:rPr>
                  </m:ctrlPr>
                </m:accPr>
                <m:e>
                  <m:r>
                    <w:rPr>
                      <w:rFonts w:ascii="Cambria Math" w:hAnsi="Cambria Math" w:cs="Times New Roman"/>
                    </w:rPr>
                    <m:t>R</m:t>
                  </m:r>
                </m:e>
              </m:acc>
            </m:den>
          </m:f>
          <m:r>
            <m:rPr>
              <m:sty m:val="p"/>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(r)</m:t>
                  </m:r>
                </m:sub>
              </m:sSub>
            </m:num>
            <m:den>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m:t>
                  </m:r>
                  <m:acc>
                    <m:accPr>
                      <m:chr m:val="̅"/>
                      <m:ctrlPr>
                        <w:rPr>
                          <w:rFonts w:ascii="Cambria Math" w:hAnsi="Cambria Math" w:cs="Times New Roman"/>
                          <w:i/>
                        </w:rPr>
                      </m:ctrlPr>
                    </m:accPr>
                    <m:e>
                      <m:r>
                        <w:rPr>
                          <w:rFonts w:ascii="Cambria Math" w:hAnsi="Cambria Math" w:cs="Times New Roman"/>
                        </w:rPr>
                        <m:t>r</m:t>
                      </m:r>
                    </m:e>
                  </m:acc>
                  <m:r>
                    <w:rPr>
                      <w:rFonts w:ascii="Cambria Math" w:hAnsi="Cambria Math" w:cs="Times New Roman"/>
                    </w:rPr>
                    <m:t>)</m:t>
                  </m:r>
                </m:sub>
              </m:sSub>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m:t>
                  </m:r>
                </m:sub>
              </m:sSub>
            </m:num>
            <m:den>
              <m:acc>
                <m:accPr>
                  <m:chr m:val="̅"/>
                  <m:ctrlPr>
                    <w:rPr>
                      <w:rFonts w:ascii="Cambria Math" w:hAnsi="Cambria Math" w:cs="Times New Roman"/>
                      <w:i/>
                    </w:rPr>
                  </m:ctrlPr>
                </m:accPr>
                <m:e>
                  <m:r>
                    <w:rPr>
                      <w:rFonts w:ascii="Cambria Math" w:hAnsi="Cambria Math" w:cs="Times New Roman"/>
                    </w:rPr>
                    <m:t>R</m:t>
                  </m:r>
                </m:e>
              </m:acc>
            </m:den>
          </m:f>
        </m:oMath>
      </m:oMathPara>
    </w:p>
    <w:p w14:paraId="1030E3F8" w14:textId="163DC631" w:rsidR="003658D8" w:rsidRPr="00E547AD" w:rsidRDefault="00C4419F" w:rsidP="003658D8">
      <w:pPr>
        <w:pStyle w:val="TAMainText"/>
        <w:spacing w:line="400" w:lineRule="exact"/>
        <w:ind w:firstLineChars="100" w:firstLine="240"/>
        <w:rPr>
          <w:rFonts w:ascii="Times New Roman" w:hAnsi="Times New Roman"/>
        </w:rPr>
      </w:pPr>
      <w:r>
        <w:rPr>
          <w:rFonts w:ascii="Times New Roman" w:hAnsi="Times New Roman"/>
        </w:rPr>
        <w:t>where</w:t>
      </w:r>
      <w:r w:rsidR="003658D8" w:rsidRPr="00E547AD">
        <w:rPr>
          <w:rFonts w:ascii="Times New Roman" w:hAnsi="Times New Roman"/>
        </w:rPr>
        <w:t xml:space="preserve"> α is the rainfall driving factor, determined by the dual effects of the temporal non-uniformity impact factor α</w:t>
      </w:r>
      <w:r w:rsidR="003658D8" w:rsidRPr="00C4419F">
        <w:rPr>
          <w:rFonts w:ascii="Times New Roman" w:hAnsi="Times New Roman"/>
          <w:vertAlign w:val="subscript"/>
        </w:rPr>
        <w:t>t</w:t>
      </w:r>
      <w:r w:rsidR="003658D8" w:rsidRPr="00E547AD">
        <w:rPr>
          <w:rFonts w:ascii="Times New Roman" w:hAnsi="Times New Roman"/>
        </w:rPr>
        <w:t xml:space="preserve"> and the spatial non-uniformity impact factor α</w:t>
      </w:r>
      <w:r w:rsidR="003658D8" w:rsidRPr="00C4419F">
        <w:rPr>
          <w:rFonts w:ascii="Times New Roman" w:hAnsi="Times New Roman"/>
          <w:vertAlign w:val="subscript"/>
        </w:rPr>
        <w:t>s</w:t>
      </w:r>
      <w:r w:rsidR="003658D8" w:rsidRPr="00E547AD">
        <w:rPr>
          <w:rFonts w:ascii="Times New Roman" w:hAnsi="Times New Roman"/>
        </w:rPr>
        <w:t>, where α</w:t>
      </w:r>
      <w:r w:rsidR="003658D8" w:rsidRPr="00C4419F">
        <w:rPr>
          <w:rFonts w:ascii="Times New Roman" w:hAnsi="Times New Roman"/>
          <w:vertAlign w:val="subscript"/>
        </w:rPr>
        <w:t>t</w:t>
      </w:r>
      <w:r w:rsidR="003658D8" w:rsidRPr="00E547AD">
        <w:rPr>
          <w:rFonts w:ascii="Times New Roman" w:hAnsi="Times New Roman"/>
        </w:rPr>
        <w:t xml:space="preserve"> is the driving factor of inter-annual rainfall variability and α</w:t>
      </w:r>
      <w:r w:rsidR="003658D8" w:rsidRPr="00C4419F">
        <w:rPr>
          <w:rFonts w:ascii="Times New Roman" w:hAnsi="Times New Roman"/>
          <w:vertAlign w:val="subscript"/>
        </w:rPr>
        <w:t>s</w:t>
      </w:r>
      <w:r w:rsidR="003658D8" w:rsidRPr="00E547AD">
        <w:rPr>
          <w:rFonts w:ascii="Times New Roman" w:hAnsi="Times New Roman"/>
        </w:rPr>
        <w:t xml:space="preserve"> is the driving factor of spatial distribution of rainfall. L is the </w:t>
      </w:r>
      <w:r>
        <w:rPr>
          <w:rFonts w:ascii="Times New Roman" w:hAnsi="Times New Roman"/>
        </w:rPr>
        <w:t>loads</w:t>
      </w:r>
      <w:r w:rsidR="003658D8" w:rsidRPr="00E547AD">
        <w:rPr>
          <w:rFonts w:ascii="Times New Roman" w:hAnsi="Times New Roman"/>
        </w:rPr>
        <w:t xml:space="preserve"> of agricultural </w:t>
      </w:r>
      <w:r>
        <w:rPr>
          <w:rFonts w:ascii="Times New Roman" w:hAnsi="Times New Roman"/>
        </w:rPr>
        <w:t>diffuse</w:t>
      </w:r>
      <w:r w:rsidR="003658D8" w:rsidRPr="00E547AD">
        <w:rPr>
          <w:rFonts w:ascii="Times New Roman" w:hAnsi="Times New Roman"/>
        </w:rPr>
        <w:t xml:space="preserve"> pollution entering water </w:t>
      </w:r>
      <w:r>
        <w:rPr>
          <w:rFonts w:ascii="Times New Roman" w:hAnsi="Times New Roman"/>
        </w:rPr>
        <w:t>per year</w:t>
      </w:r>
      <w:r w:rsidR="003658D8" w:rsidRPr="00E547AD">
        <w:rPr>
          <w:rFonts w:ascii="Times New Roman" w:hAnsi="Times New Roman"/>
        </w:rPr>
        <w:t xml:space="preserve">, L̅ is the average annual </w:t>
      </w:r>
      <w:r>
        <w:rPr>
          <w:rFonts w:ascii="Times New Roman" w:hAnsi="Times New Roman"/>
        </w:rPr>
        <w:t>loads</w:t>
      </w:r>
      <w:r w:rsidR="003658D8" w:rsidRPr="00E547AD">
        <w:rPr>
          <w:rFonts w:ascii="Times New Roman" w:hAnsi="Times New Roman"/>
        </w:rPr>
        <w:t xml:space="preserve"> of agricultural </w:t>
      </w:r>
      <w:r>
        <w:rPr>
          <w:rFonts w:ascii="Times New Roman" w:hAnsi="Times New Roman"/>
        </w:rPr>
        <w:t>diffuse</w:t>
      </w:r>
      <w:r w:rsidR="003658D8" w:rsidRPr="00E547AD">
        <w:rPr>
          <w:rFonts w:ascii="Times New Roman" w:hAnsi="Times New Roman"/>
        </w:rPr>
        <w:t xml:space="preserve"> pollution entering water, </w:t>
      </w:r>
      <w:proofErr w:type="spellStart"/>
      <w:r w:rsidR="003658D8" w:rsidRPr="00E547AD">
        <w:rPr>
          <w:rFonts w:ascii="Times New Roman" w:hAnsi="Times New Roman"/>
        </w:rPr>
        <w:t>R</w:t>
      </w:r>
      <w:r w:rsidR="003658D8" w:rsidRPr="00C4419F">
        <w:rPr>
          <w:rFonts w:ascii="Times New Roman" w:hAnsi="Times New Roman"/>
          <w:vertAlign w:val="subscript"/>
        </w:rPr>
        <w:t>j</w:t>
      </w:r>
      <w:proofErr w:type="spellEnd"/>
      <w:r w:rsidR="003658D8" w:rsidRPr="00E547AD">
        <w:rPr>
          <w:rFonts w:ascii="Times New Roman" w:hAnsi="Times New Roman"/>
        </w:rPr>
        <w:t xml:space="preserve"> is the average annual rainfall in sub-</w:t>
      </w:r>
      <w:r>
        <w:rPr>
          <w:rFonts w:ascii="Times New Roman" w:hAnsi="Times New Roman"/>
        </w:rPr>
        <w:t>basin</w:t>
      </w:r>
      <w:r w:rsidR="003658D8" w:rsidRPr="00E547AD">
        <w:rPr>
          <w:rFonts w:ascii="Times New Roman" w:hAnsi="Times New Roman"/>
        </w:rPr>
        <w:t xml:space="preserve"> j, R̅ is the multi-year average annual rainfall in the Yellow River </w:t>
      </w:r>
      <w:r>
        <w:rPr>
          <w:rFonts w:ascii="Times New Roman" w:hAnsi="Times New Roman"/>
        </w:rPr>
        <w:t>Watershed</w:t>
      </w:r>
      <w:r w:rsidR="003658D8" w:rsidRPr="00E547AD">
        <w:rPr>
          <w:rFonts w:ascii="Times New Roman" w:hAnsi="Times New Roman"/>
        </w:rPr>
        <w:t xml:space="preserve">, r̅ is the average annual rainfall in the entire </w:t>
      </w:r>
      <w:r>
        <w:rPr>
          <w:rFonts w:ascii="Times New Roman" w:hAnsi="Times New Roman"/>
        </w:rPr>
        <w:t>watershed</w:t>
      </w:r>
      <w:r w:rsidR="003658D8" w:rsidRPr="00E547AD">
        <w:rPr>
          <w:rFonts w:ascii="Times New Roman" w:hAnsi="Times New Roman"/>
        </w:rPr>
        <w:t xml:space="preserve">, and f(r) is the amount of agricultural </w:t>
      </w:r>
      <w:r>
        <w:rPr>
          <w:rFonts w:ascii="Times New Roman" w:hAnsi="Times New Roman"/>
        </w:rPr>
        <w:t>diffuse</w:t>
      </w:r>
      <w:r w:rsidR="003658D8" w:rsidRPr="00E547AD">
        <w:rPr>
          <w:rFonts w:ascii="Times New Roman" w:hAnsi="Times New Roman"/>
        </w:rPr>
        <w:t xml:space="preserve"> pollution entering water per year.</w:t>
      </w:r>
    </w:p>
    <w:p w14:paraId="3EA64941" w14:textId="38525BF0" w:rsidR="003658D8" w:rsidRPr="00E547AD" w:rsidRDefault="005E34EB" w:rsidP="003658D8">
      <w:pPr>
        <w:pStyle w:val="TAMainText"/>
        <w:spacing w:line="400" w:lineRule="exact"/>
        <w:ind w:firstLineChars="100" w:firstLine="240"/>
        <w:rPr>
          <w:rFonts w:ascii="Times New Roman" w:hAnsi="Times New Roman"/>
        </w:rPr>
      </w:pPr>
      <w:r>
        <w:rPr>
          <w:rFonts w:ascii="Times New Roman" w:hAnsi="Times New Roman"/>
        </w:rPr>
        <w:t xml:space="preserve">According to </w:t>
      </w:r>
      <w:r w:rsidR="00140B7E">
        <w:rPr>
          <w:rFonts w:ascii="Times New Roman" w:hAnsi="Times New Roman"/>
        </w:rPr>
        <w:t>Cai et al.</w:t>
      </w:r>
      <w:r w:rsidR="00140B7E" w:rsidRPr="00140B7E">
        <w:rPr>
          <w:rFonts w:ascii="Times New Roman" w:hAnsi="Times New Roman"/>
          <w:color w:val="0070C0"/>
        </w:rPr>
        <w:fldChar w:fldCharType="begin" w:fldLock="1"/>
      </w:r>
      <w:r w:rsidR="00140B7E">
        <w:rPr>
          <w:rFonts w:ascii="Times New Roman" w:hAnsi="Times New Roman"/>
          <w:color w:val="0070C0"/>
        </w:rPr>
        <w:instrText>ADDIN CSL_CITATION {"citationItems":[{"id":"ITEM-1","itemData":{"author":[{"dropping-particle":"","family":"Cai","given":"Ming","non-dropping-particle":"","parse-names":false,"suffix":""},{"dropping-particle":"","family":"Li","given":"Huaien","non-dropping-particle":"","parse-names":false,"suffix":""},{"dropping-particle":"","family":"Zhuang","given":"Yongtao","non-dropping-particle":"","parse-names":false,"suffix":""},{"dropping-particle":"","family":"Wang","given":"Qinghua","non-dropping-particle":"","parse-names":false,"suffix":""}],"container-title":"Journal of Hydraulic Engineering","id":"ITEM-1","issued":{"date-parts":[["2004"]]},"page":"40-45","title":"Application of modified export coefficient method in polluting load estimation of non-point source pollution","type":"article-journal","volume":"7"},"uris":["http://www.mendeley.com/documents/?uuid=b97296e7-2b8b-4937-8ed1-d9d5aaba4a46"]}],"mendeley":{"formattedCitation":"&lt;sup&gt;2&lt;/sup&gt;","plainTextFormattedCitation":"2","previouslyFormattedCitation":"&lt;sup&gt;2&lt;/sup&gt;"},"properties":{"noteIndex":0},"schema":"https://github.com/citation-style-language/schema/raw/master/csl-citation.json"}</w:instrText>
      </w:r>
      <w:r w:rsidR="00140B7E" w:rsidRPr="00140B7E">
        <w:rPr>
          <w:rFonts w:ascii="Times New Roman" w:hAnsi="Times New Roman"/>
          <w:color w:val="0070C0"/>
        </w:rPr>
        <w:fldChar w:fldCharType="separate"/>
      </w:r>
      <w:r w:rsidR="00140B7E" w:rsidRPr="00140B7E">
        <w:rPr>
          <w:rFonts w:ascii="Times New Roman" w:hAnsi="Times New Roman"/>
          <w:noProof/>
          <w:color w:val="0070C0"/>
          <w:vertAlign w:val="superscript"/>
        </w:rPr>
        <w:t>2</w:t>
      </w:r>
      <w:r w:rsidR="00140B7E" w:rsidRPr="00140B7E">
        <w:rPr>
          <w:rFonts w:ascii="Times New Roman" w:hAnsi="Times New Roman"/>
          <w:color w:val="0070C0"/>
        </w:rPr>
        <w:fldChar w:fldCharType="end"/>
      </w:r>
      <w:r w:rsidR="00140B7E">
        <w:rPr>
          <w:rFonts w:ascii="Times New Roman" w:hAnsi="Times New Roman"/>
        </w:rPr>
        <w:t>,</w:t>
      </w:r>
      <w:r w:rsidR="003658D8" w:rsidRPr="00E547AD">
        <w:rPr>
          <w:rFonts w:ascii="Times New Roman" w:hAnsi="Times New Roman"/>
        </w:rPr>
        <w:t xml:space="preserve"> the precipitation and </w:t>
      </w:r>
      <w:r w:rsidR="00C4419F">
        <w:rPr>
          <w:rFonts w:ascii="Times New Roman" w:hAnsi="Times New Roman"/>
        </w:rPr>
        <w:t>diffuse pollutants</w:t>
      </w:r>
      <w:r w:rsidR="003658D8" w:rsidRPr="00E547AD">
        <w:rPr>
          <w:rFonts w:ascii="Times New Roman" w:hAnsi="Times New Roman"/>
        </w:rPr>
        <w:t xml:space="preserve"> load data in the Yellow River </w:t>
      </w:r>
      <w:r w:rsidR="00C4419F">
        <w:rPr>
          <w:rFonts w:ascii="Times New Roman" w:hAnsi="Times New Roman"/>
        </w:rPr>
        <w:t>Watershed</w:t>
      </w:r>
      <w:r w:rsidR="003658D8" w:rsidRPr="00E547AD">
        <w:rPr>
          <w:rFonts w:ascii="Times New Roman" w:hAnsi="Times New Roman"/>
        </w:rPr>
        <w:t xml:space="preserve">, the correlation between the annual average precipitation r and the total nitrogen annual water inflow was established. The regression </w:t>
      </w:r>
      <w:r w:rsidR="00C4419F">
        <w:rPr>
          <w:rFonts w:ascii="Times New Roman" w:hAnsi="Times New Roman"/>
        </w:rPr>
        <w:t>equation</w:t>
      </w:r>
      <w:r w:rsidR="003658D8" w:rsidRPr="00E547AD">
        <w:rPr>
          <w:rFonts w:ascii="Times New Roman" w:hAnsi="Times New Roman"/>
        </w:rPr>
        <w:t xml:space="preserve"> </w:t>
      </w:r>
      <w:r w:rsidR="00C4419F">
        <w:rPr>
          <w:rFonts w:ascii="Times New Roman" w:hAnsi="Times New Roman"/>
        </w:rPr>
        <w:t>is</w:t>
      </w:r>
      <w:r w:rsidR="003658D8" w:rsidRPr="00E547AD">
        <w:rPr>
          <w:rFonts w:ascii="Times New Roman" w:hAnsi="Times New Roman"/>
        </w:rPr>
        <w:t xml:space="preserve"> as follows:</w:t>
      </w:r>
    </w:p>
    <w:p w14:paraId="0C552A3E" w14:textId="77777777" w:rsidR="003658D8" w:rsidRPr="00E547AD" w:rsidRDefault="003658D8" w:rsidP="003658D8">
      <w:pPr>
        <w:ind w:firstLine="480"/>
        <w:jc w:val="center"/>
        <w:rPr>
          <w:rFonts w:ascii="Times New Roman" w:hAnsi="Times New Roman" w:cs="Times New Roman"/>
        </w:rPr>
      </w:pPr>
      <w:r w:rsidRPr="00E547AD">
        <w:rPr>
          <w:rFonts w:ascii="Times New Roman" w:hAnsi="Times New Roman" w:cs="Times New Roman"/>
        </w:rPr>
        <w:t>L</w:t>
      </w:r>
      <w:r w:rsidRPr="00E547AD">
        <w:rPr>
          <w:rFonts w:ascii="Times New Roman" w:hAnsi="Times New Roman" w:cs="Times New Roman"/>
          <w:vertAlign w:val="subscript"/>
        </w:rPr>
        <w:t>TN</w:t>
      </w:r>
      <w:r w:rsidRPr="00E547AD">
        <w:rPr>
          <w:rFonts w:ascii="Times New Roman" w:hAnsi="Times New Roman" w:cs="Times New Roman"/>
        </w:rPr>
        <w:t xml:space="preserve"> = 5.2558 r</w:t>
      </w:r>
      <w:r w:rsidRPr="00E547AD">
        <w:rPr>
          <w:rFonts w:ascii="Times New Roman" w:hAnsi="Times New Roman" w:cs="Times New Roman"/>
          <w:vertAlign w:val="superscript"/>
        </w:rPr>
        <w:t>2</w:t>
      </w:r>
      <w:r w:rsidRPr="00E547AD">
        <w:rPr>
          <w:rFonts w:ascii="Times New Roman" w:hAnsi="Times New Roman" w:cs="Times New Roman"/>
        </w:rPr>
        <w:t xml:space="preserve"> + 26584r - 1000000 (R</w:t>
      </w:r>
      <w:r w:rsidRPr="00E547AD">
        <w:rPr>
          <w:rFonts w:ascii="Times New Roman" w:hAnsi="Times New Roman" w:cs="Times New Roman"/>
          <w:vertAlign w:val="superscript"/>
        </w:rPr>
        <w:t>2</w:t>
      </w:r>
      <w:r w:rsidRPr="00E547AD">
        <w:rPr>
          <w:rFonts w:ascii="Times New Roman" w:hAnsi="Times New Roman" w:cs="Times New Roman"/>
        </w:rPr>
        <w:t xml:space="preserve"> = 0.2531)</w:t>
      </w:r>
    </w:p>
    <w:p w14:paraId="3A424804" w14:textId="28EEF087"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r represents the annual average precipitation (mm), and L</w:t>
      </w:r>
      <w:r w:rsidRPr="00C4419F">
        <w:rPr>
          <w:rFonts w:ascii="Times New Roman" w:hAnsi="Times New Roman"/>
          <w:vertAlign w:val="subscript"/>
          <w:lang w:eastAsia="zh-CN"/>
        </w:rPr>
        <w:t>TN</w:t>
      </w:r>
      <w:r w:rsidRPr="00E547AD">
        <w:rPr>
          <w:rFonts w:ascii="Times New Roman" w:hAnsi="Times New Roman"/>
          <w:lang w:eastAsia="zh-CN"/>
        </w:rPr>
        <w:t xml:space="preserve"> represents the total nitrogen </w:t>
      </w:r>
      <w:r w:rsidR="00C4419F">
        <w:rPr>
          <w:rFonts w:ascii="Times New Roman" w:hAnsi="Times New Roman"/>
          <w:lang w:eastAsia="zh-CN"/>
        </w:rPr>
        <w:t>discharge</w:t>
      </w:r>
      <w:r w:rsidRPr="00E547AD">
        <w:rPr>
          <w:rFonts w:ascii="Times New Roman" w:hAnsi="Times New Roman"/>
          <w:lang w:eastAsia="zh-CN"/>
        </w:rPr>
        <w:t xml:space="preserve"> into the river (kg). Therefore, the formula for calculating the rainfall driving factor is obtained as:</w:t>
      </w:r>
    </w:p>
    <w:p w14:paraId="1BD1A3D6" w14:textId="77777777" w:rsidR="003658D8" w:rsidRPr="00E547AD" w:rsidRDefault="00C95E73" w:rsidP="003658D8">
      <w:pPr>
        <w:ind w:firstLine="480"/>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α</m:t>
              </m:r>
            </m:e>
            <m:sub>
              <m:r>
                <w:rPr>
                  <w:rFonts w:ascii="Cambria Math" w:hAnsi="Cambria Math" w:cs="Times New Roman"/>
                </w:rPr>
                <m:t>TN</m:t>
              </m:r>
            </m:sub>
          </m:sSub>
          <m:r>
            <w:rPr>
              <w:rFonts w:ascii="Cambria Math" w:hAnsi="Cambria Math" w:cs="Times New Roman"/>
            </w:rPr>
            <m:t>=</m:t>
          </m:r>
          <m:f>
            <m:fPr>
              <m:ctrlPr>
                <w:rPr>
                  <w:rFonts w:ascii="Cambria Math" w:hAnsi="Cambria Math" w:cs="Times New Roman"/>
                  <w:i/>
                </w:rPr>
              </m:ctrlPr>
            </m:fPr>
            <m:num>
              <m:r>
                <m:rPr>
                  <m:sty m:val="p"/>
                </m:rPr>
                <w:rPr>
                  <w:rFonts w:ascii="Cambria Math" w:hAnsi="Cambria Math" w:cs="Times New Roman"/>
                </w:rPr>
                <m:t xml:space="preserve">5.2558 </m:t>
              </m:r>
              <m:sSup>
                <m:sSupPr>
                  <m:ctrlPr>
                    <w:rPr>
                      <w:rFonts w:ascii="Cambria Math" w:hAnsi="Cambria Math" w:cs="Times New Roman"/>
                    </w:rPr>
                  </m:ctrlPr>
                </m:sSupPr>
                <m:e>
                  <m:r>
                    <m:rPr>
                      <m:sty m:val="p"/>
                    </m:rPr>
                    <w:rPr>
                      <w:rFonts w:ascii="Cambria Math" w:hAnsi="Cambria Math" w:cs="Times New Roman"/>
                    </w:rPr>
                    <m:t>r</m:t>
                  </m:r>
                </m:e>
                <m:sup>
                  <m:r>
                    <m:rPr>
                      <m:sty m:val="p"/>
                    </m:rPr>
                    <w:rPr>
                      <w:rFonts w:ascii="Cambria Math" w:hAnsi="Cambria Math" w:cs="Times New Roman"/>
                      <w:vertAlign w:val="superscript"/>
                    </w:rPr>
                    <m:t>2</m:t>
                  </m:r>
                </m:sup>
              </m:sSup>
              <m:r>
                <m:rPr>
                  <m:sty m:val="p"/>
                </m:rPr>
                <w:rPr>
                  <w:rFonts w:ascii="Cambria Math" w:hAnsi="Cambria Math" w:cs="Times New Roman"/>
                </w:rPr>
                <m:t>+ 26584 r- 1000000</m:t>
              </m:r>
            </m:num>
            <m:den>
              <m:r>
                <m:rPr>
                  <m:sty m:val="p"/>
                </m:rPr>
                <w:rPr>
                  <w:rFonts w:ascii="Cambria Math" w:hAnsi="Cambria Math" w:cs="Times New Roman"/>
                </w:rPr>
                <m:t>5.2558</m:t>
              </m:r>
              <m:sSup>
                <m:sSupPr>
                  <m:ctrlPr>
                    <w:rPr>
                      <w:rFonts w:ascii="Cambria Math" w:hAnsi="Cambria Math" w:cs="Times New Roman"/>
                    </w:rPr>
                  </m:ctrlPr>
                </m:sSupPr>
                <m:e>
                  <m:r>
                    <m:rPr>
                      <m:sty m:val="p"/>
                    </m:rPr>
                    <w:rPr>
                      <w:rFonts w:ascii="Cambria Math" w:hAnsi="Cambria Math" w:cs="Times New Roman"/>
                    </w:rPr>
                    <m:t xml:space="preserve"> </m:t>
                  </m:r>
                  <m:acc>
                    <m:accPr>
                      <m:chr m:val="̅"/>
                      <m:ctrlPr>
                        <w:rPr>
                          <w:rFonts w:ascii="Cambria Math" w:hAnsi="Cambria Math" w:cs="Times New Roman"/>
                        </w:rPr>
                      </m:ctrlPr>
                    </m:accPr>
                    <m:e>
                      <m:r>
                        <m:rPr>
                          <m:sty m:val="p"/>
                        </m:rPr>
                        <w:rPr>
                          <w:rFonts w:ascii="Cambria Math" w:hAnsi="Cambria Math" w:cs="Times New Roman"/>
                        </w:rPr>
                        <m:t>r</m:t>
                      </m:r>
                    </m:e>
                  </m:acc>
                </m:e>
                <m:sup>
                  <m:r>
                    <m:rPr>
                      <m:sty m:val="p"/>
                    </m:rPr>
                    <w:rPr>
                      <w:rFonts w:ascii="Cambria Math" w:hAnsi="Cambria Math" w:cs="Times New Roman"/>
                      <w:vertAlign w:val="superscript"/>
                    </w:rPr>
                    <m:t>2</m:t>
                  </m:r>
                </m:sup>
              </m:sSup>
              <m:r>
                <m:rPr>
                  <m:sty m:val="p"/>
                </m:rPr>
                <w:rPr>
                  <w:rFonts w:ascii="Cambria Math" w:hAnsi="Cambria Math" w:cs="Times New Roman"/>
                </w:rPr>
                <m:t xml:space="preserve"> + 26584 </m:t>
              </m:r>
              <m:acc>
                <m:accPr>
                  <m:chr m:val="̅"/>
                  <m:ctrlPr>
                    <w:rPr>
                      <w:rFonts w:ascii="Cambria Math" w:hAnsi="Cambria Math" w:cs="Times New Roman"/>
                    </w:rPr>
                  </m:ctrlPr>
                </m:accPr>
                <m:e>
                  <m:r>
                    <m:rPr>
                      <m:sty m:val="p"/>
                    </m:rPr>
                    <w:rPr>
                      <w:rFonts w:ascii="Cambria Math" w:hAnsi="Cambria Math" w:cs="Times New Roman"/>
                    </w:rPr>
                    <m:t>r</m:t>
                  </m:r>
                </m:e>
              </m:acc>
              <m:r>
                <m:rPr>
                  <m:sty m:val="p"/>
                </m:rPr>
                <w:rPr>
                  <w:rFonts w:ascii="Cambria Math" w:hAnsi="Cambria Math" w:cs="Times New Roman"/>
                </w:rPr>
                <m:t>- 1000000</m:t>
              </m:r>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m:t>
                  </m:r>
                </m:sub>
              </m:sSub>
            </m:num>
            <m:den>
              <m:acc>
                <m:accPr>
                  <m:chr m:val="̅"/>
                  <m:ctrlPr>
                    <w:rPr>
                      <w:rFonts w:ascii="Cambria Math" w:hAnsi="Cambria Math" w:cs="Times New Roman"/>
                      <w:i/>
                    </w:rPr>
                  </m:ctrlPr>
                </m:accPr>
                <m:e>
                  <m:r>
                    <w:rPr>
                      <w:rFonts w:ascii="Cambria Math" w:hAnsi="Cambria Math" w:cs="Times New Roman"/>
                    </w:rPr>
                    <m:t>R</m:t>
                  </m:r>
                </m:e>
              </m:acc>
            </m:den>
          </m:f>
        </m:oMath>
      </m:oMathPara>
    </w:p>
    <w:p w14:paraId="54870F2D" w14:textId="3AA3AAA6" w:rsidR="003658D8" w:rsidRPr="00C4419F" w:rsidRDefault="003658D8" w:rsidP="008523B3">
      <w:pPr>
        <w:pStyle w:val="TAMainText"/>
        <w:numPr>
          <w:ilvl w:val="0"/>
          <w:numId w:val="2"/>
        </w:numPr>
        <w:spacing w:line="400" w:lineRule="exact"/>
        <w:rPr>
          <w:rFonts w:ascii="Times New Roman" w:hAnsi="Times New Roman"/>
          <w:lang w:eastAsia="zh-CN"/>
        </w:rPr>
      </w:pPr>
      <w:r w:rsidRPr="008523B3">
        <w:rPr>
          <w:rFonts w:ascii="Times New Roman" w:hAnsi="Times New Roman"/>
          <w:lang w:eastAsia="zh-CN"/>
        </w:rPr>
        <w:t xml:space="preserve">The </w:t>
      </w:r>
      <w:r w:rsidR="008523B3" w:rsidRPr="00E547AD">
        <w:rPr>
          <w:rFonts w:ascii="Times New Roman" w:hAnsi="Times New Roman"/>
        </w:rPr>
        <w:t>terrain driving factor</w:t>
      </w:r>
      <w:r w:rsidRPr="008523B3">
        <w:rPr>
          <w:rFonts w:ascii="Times New Roman" w:hAnsi="Times New Roman"/>
          <w:lang w:eastAsia="zh-CN"/>
        </w:rPr>
        <w:t xml:space="preserve"> </w:t>
      </w:r>
      <w:r w:rsidRPr="00C4419F">
        <w:rPr>
          <w:rFonts w:ascii="Times New Roman" w:hAnsi="Times New Roman"/>
          <w:lang w:eastAsia="zh-CN"/>
        </w:rPr>
        <w:t>β</w:t>
      </w:r>
      <w:r w:rsidR="00C4419F" w:rsidRPr="00C4419F">
        <w:rPr>
          <w:rFonts w:ascii="Times New Roman" w:hAnsi="Times New Roman"/>
          <w:lang w:eastAsia="zh-CN"/>
        </w:rPr>
        <w:t xml:space="preserve"> </w:t>
      </w:r>
      <w:r w:rsidRPr="00C4419F">
        <w:rPr>
          <w:rFonts w:ascii="Times New Roman" w:hAnsi="Times New Roman"/>
          <w:lang w:eastAsia="zh-CN"/>
        </w:rPr>
        <w:t>is defined as:</w:t>
      </w:r>
    </w:p>
    <w:p w14:paraId="5C5E014B" w14:textId="77777777" w:rsidR="003658D8" w:rsidRPr="00E547AD" w:rsidRDefault="003658D8" w:rsidP="003658D8">
      <w:pPr>
        <w:ind w:firstLine="480"/>
        <w:rPr>
          <w:rFonts w:ascii="Times New Roman" w:hAnsi="Times New Roman" w:cs="Times New Roman"/>
        </w:rPr>
      </w:pPr>
      <m:oMathPara>
        <m:oMath>
          <m:r>
            <m:rPr>
              <m:sty m:val="p"/>
            </m:rPr>
            <w:rPr>
              <w:rFonts w:ascii="Cambria Math" w:hAnsi="Cambria Math" w:cs="Times New Roman"/>
            </w:rPr>
            <w:lastRenderedPageBreak/>
            <m:t>β=</m:t>
          </m:r>
          <m:f>
            <m:fPr>
              <m:ctrlPr>
                <w:rPr>
                  <w:rFonts w:ascii="Cambria Math" w:hAnsi="Cambria Math" w:cs="Times New Roman"/>
                </w:rPr>
              </m:ctrlPr>
            </m:fPr>
            <m:num>
              <m:r>
                <w:rPr>
                  <w:rFonts w:ascii="Cambria Math" w:hAnsi="Cambria Math" w:cs="Times New Roman"/>
                </w:rPr>
                <m:t>L(</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j</m:t>
                  </m:r>
                </m:sub>
              </m:sSub>
              <m:r>
                <w:rPr>
                  <w:rFonts w:ascii="Cambria Math" w:hAnsi="Cambria Math" w:cs="Times New Roman"/>
                </w:rPr>
                <m:t>)</m:t>
              </m:r>
            </m:num>
            <m:den>
              <m:r>
                <w:rPr>
                  <w:rFonts w:ascii="Cambria Math" w:hAnsi="Cambria Math" w:cs="Times New Roman"/>
                </w:rPr>
                <m:t>L(θ)</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c</m:t>
              </m:r>
              <m:sSubSup>
                <m:sSubSupPr>
                  <m:ctrlPr>
                    <w:rPr>
                      <w:rFonts w:ascii="Cambria Math" w:hAnsi="Cambria Math" w:cs="Times New Roman"/>
                      <w:i/>
                    </w:rPr>
                  </m:ctrlPr>
                </m:sSubSupPr>
                <m:e>
                  <m:r>
                    <w:rPr>
                      <w:rFonts w:ascii="Cambria Math" w:hAnsi="Cambria Math" w:cs="Times New Roman"/>
                    </w:rPr>
                    <m:t>θ</m:t>
                  </m:r>
                </m:e>
                <m:sub>
                  <m:r>
                    <w:rPr>
                      <w:rFonts w:ascii="Cambria Math" w:hAnsi="Cambria Math" w:cs="Times New Roman"/>
                    </w:rPr>
                    <m:t>j</m:t>
                  </m:r>
                </m:sub>
                <m:sup>
                  <m:r>
                    <w:rPr>
                      <w:rFonts w:ascii="Cambria Math" w:hAnsi="Cambria Math" w:cs="Times New Roman"/>
                    </w:rPr>
                    <m:t>d</m:t>
                  </m:r>
                </m:sup>
              </m:sSubSup>
            </m:num>
            <m:den>
              <m:r>
                <w:rPr>
                  <w:rFonts w:ascii="Cambria Math" w:hAnsi="Cambria Math" w:cs="Times New Roman"/>
                </w:rPr>
                <m:t>c</m:t>
              </m:r>
              <m:sSubSup>
                <m:sSubSupPr>
                  <m:ctrlPr>
                    <w:rPr>
                      <w:rFonts w:ascii="Cambria Math" w:hAnsi="Cambria Math" w:cs="Times New Roman"/>
                      <w:i/>
                    </w:rPr>
                  </m:ctrlPr>
                </m:sSubSupPr>
                <m:e>
                  <m:acc>
                    <m:accPr>
                      <m:chr m:val="̅"/>
                      <m:ctrlPr>
                        <w:rPr>
                          <w:rFonts w:ascii="Cambria Math" w:hAnsi="Cambria Math" w:cs="Times New Roman"/>
                          <w:i/>
                        </w:rPr>
                      </m:ctrlPr>
                    </m:accPr>
                    <m:e>
                      <m:r>
                        <w:rPr>
                          <w:rFonts w:ascii="Cambria Math" w:hAnsi="Cambria Math" w:cs="Times New Roman"/>
                        </w:rPr>
                        <m:t>θ</m:t>
                      </m:r>
                    </m:e>
                  </m:acc>
                </m:e>
                <m:sub>
                  <m:r>
                    <w:rPr>
                      <w:rFonts w:ascii="Cambria Math" w:hAnsi="Cambria Math" w:cs="Times New Roman"/>
                    </w:rPr>
                    <m:t>j</m:t>
                  </m:r>
                </m:sub>
                <m:sup>
                  <m:r>
                    <w:rPr>
                      <w:rFonts w:ascii="Cambria Math" w:hAnsi="Cambria Math" w:cs="Times New Roman"/>
                    </w:rPr>
                    <m:t>d</m:t>
                  </m:r>
                </m:sup>
              </m:sSubSup>
            </m:den>
          </m:f>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θ</m:t>
                  </m:r>
                </m:e>
                <m:sub>
                  <m:r>
                    <w:rPr>
                      <w:rFonts w:ascii="Cambria Math" w:hAnsi="Cambria Math" w:cs="Times New Roman"/>
                    </w:rPr>
                    <m:t>j</m:t>
                  </m:r>
                </m:sub>
                <m:sup>
                  <m:r>
                    <w:rPr>
                      <w:rFonts w:ascii="Cambria Math" w:hAnsi="Cambria Math" w:cs="Times New Roman"/>
                    </w:rPr>
                    <m:t>d</m:t>
                  </m:r>
                </m:sup>
              </m:sSubSup>
            </m:num>
            <m:den>
              <m:sSup>
                <m:sSupPr>
                  <m:ctrlPr>
                    <w:rPr>
                      <w:rFonts w:ascii="Cambria Math" w:hAnsi="Cambria Math" w:cs="Times New Roman"/>
                      <w:i/>
                    </w:rPr>
                  </m:ctrlPr>
                </m:sSupPr>
                <m:e>
                  <m:acc>
                    <m:accPr>
                      <m:chr m:val="̅"/>
                      <m:ctrlPr>
                        <w:rPr>
                          <w:rFonts w:ascii="Cambria Math" w:hAnsi="Cambria Math" w:cs="Times New Roman"/>
                          <w:i/>
                        </w:rPr>
                      </m:ctrlPr>
                    </m:accPr>
                    <m:e>
                      <m:r>
                        <w:rPr>
                          <w:rFonts w:ascii="Cambria Math" w:hAnsi="Cambria Math" w:cs="Times New Roman"/>
                        </w:rPr>
                        <m:t>θ</m:t>
                      </m:r>
                    </m:e>
                  </m:acc>
                </m:e>
                <m:sup>
                  <m:r>
                    <w:rPr>
                      <w:rFonts w:ascii="Cambria Math" w:hAnsi="Cambria Math" w:cs="Times New Roman"/>
                    </w:rPr>
                    <m:t>d</m:t>
                  </m:r>
                </m:sup>
              </m:sSup>
            </m:den>
          </m:f>
        </m:oMath>
      </m:oMathPara>
    </w:p>
    <w:p w14:paraId="1D64932F" w14:textId="5AD199D1"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 xml:space="preserve">where </w:t>
      </w:r>
      <w:proofErr w:type="spellStart"/>
      <w:r w:rsidRPr="00E547AD">
        <w:rPr>
          <w:rFonts w:ascii="Times New Roman" w:hAnsi="Times New Roman"/>
          <w:lang w:eastAsia="zh-CN"/>
        </w:rPr>
        <w:t>θ</w:t>
      </w:r>
      <w:r w:rsidRPr="00C4419F">
        <w:rPr>
          <w:rFonts w:ascii="Times New Roman" w:hAnsi="Times New Roman"/>
          <w:vertAlign w:val="subscript"/>
          <w:lang w:eastAsia="zh-CN"/>
        </w:rPr>
        <w:t>j</w:t>
      </w:r>
      <w:proofErr w:type="spellEnd"/>
      <w:r w:rsidRPr="00E547AD">
        <w:rPr>
          <w:rFonts w:ascii="Times New Roman" w:hAnsi="Times New Roman"/>
          <w:lang w:eastAsia="zh-CN"/>
        </w:rPr>
        <w:t xml:space="preserve"> is the slope of the spatial unit in the </w:t>
      </w:r>
      <w:r w:rsidR="00C4419F">
        <w:rPr>
          <w:rFonts w:ascii="Times New Roman" w:hAnsi="Times New Roman"/>
          <w:lang w:eastAsia="zh-CN"/>
        </w:rPr>
        <w:t>watershed</w:t>
      </w:r>
      <w:r w:rsidRPr="00E547AD">
        <w:rPr>
          <w:rFonts w:ascii="Times New Roman" w:hAnsi="Times New Roman"/>
          <w:lang w:eastAsia="zh-CN"/>
        </w:rPr>
        <w:t xml:space="preserve">, L is the annual input of </w:t>
      </w:r>
      <w:r w:rsidR="00C4419F">
        <w:rPr>
          <w:rFonts w:ascii="Times New Roman" w:hAnsi="Times New Roman"/>
          <w:lang w:eastAsia="zh-CN"/>
        </w:rPr>
        <w:t>diffuse</w:t>
      </w:r>
      <w:r w:rsidRPr="00E547AD">
        <w:rPr>
          <w:rFonts w:ascii="Times New Roman" w:hAnsi="Times New Roman"/>
          <w:lang w:eastAsia="zh-CN"/>
        </w:rPr>
        <w:t xml:space="preserve"> pollutants, </w:t>
      </w:r>
      <m:oMath>
        <m:acc>
          <m:accPr>
            <m:chr m:val="̅"/>
            <m:ctrlPr>
              <w:rPr>
                <w:rFonts w:ascii="Cambria Math" w:hAnsi="Cambria Math"/>
                <w:i/>
              </w:rPr>
            </m:ctrlPr>
          </m:accPr>
          <m:e>
            <m:r>
              <w:rPr>
                <w:rFonts w:ascii="Cambria Math" w:hAnsi="Cambria Math"/>
                <w:lang w:eastAsia="zh-CN"/>
              </w:rPr>
              <m:t>θ</m:t>
            </m:r>
          </m:e>
        </m:acc>
      </m:oMath>
      <w:r w:rsidRPr="00E547AD">
        <w:rPr>
          <w:rFonts w:ascii="Times New Roman" w:hAnsi="Times New Roman"/>
          <w:lang w:eastAsia="zh-CN"/>
        </w:rPr>
        <w:t xml:space="preserve"> is the average slope of the sub-basin, and c and d are constants.</w:t>
      </w:r>
    </w:p>
    <w:p w14:paraId="7F62302B" w14:textId="62488BAB" w:rsidR="008523B3" w:rsidRDefault="006479D7" w:rsidP="008523B3">
      <w:pPr>
        <w:pStyle w:val="TAMainText"/>
        <w:numPr>
          <w:ilvl w:val="0"/>
          <w:numId w:val="2"/>
        </w:numPr>
        <w:spacing w:line="400" w:lineRule="exact"/>
        <w:rPr>
          <w:rFonts w:ascii="Times New Roman" w:hAnsi="Times New Roman"/>
          <w:lang w:eastAsia="zh-CN"/>
        </w:rPr>
      </w:pPr>
      <w:r>
        <w:rPr>
          <w:rFonts w:ascii="Times New Roman" w:hAnsi="Times New Roman"/>
          <w:lang w:eastAsia="zh-CN"/>
        </w:rPr>
        <w:t>Transport Index (TI)</w:t>
      </w:r>
      <w:r w:rsidR="008523B3">
        <w:rPr>
          <w:rFonts w:ascii="Times New Roman" w:hAnsi="Times New Roman"/>
          <w:lang w:eastAsia="zh-CN"/>
        </w:rPr>
        <w:t xml:space="preserve">. </w:t>
      </w:r>
    </w:p>
    <w:p w14:paraId="61F798C5" w14:textId="42CE4CB9" w:rsidR="003658D8" w:rsidRPr="00E547AD" w:rsidRDefault="003658D8" w:rsidP="008523B3">
      <w:pPr>
        <w:pStyle w:val="TAMainText"/>
        <w:spacing w:line="400" w:lineRule="exact"/>
        <w:rPr>
          <w:rFonts w:ascii="Times New Roman" w:hAnsi="Times New Roman"/>
          <w:lang w:eastAsia="zh-CN"/>
        </w:rPr>
      </w:pPr>
      <w:r w:rsidRPr="00E547AD">
        <w:rPr>
          <w:rFonts w:ascii="Times New Roman" w:hAnsi="Times New Roman"/>
          <w:lang w:eastAsia="zh-CN"/>
        </w:rPr>
        <w:t>The relationship between rainfall and runoff can be expressed as:</w:t>
      </w:r>
    </w:p>
    <w:p w14:paraId="72ACB42D" w14:textId="77777777" w:rsidR="003658D8" w:rsidRPr="00E547AD" w:rsidRDefault="00C95E73" w:rsidP="003658D8">
      <w:pPr>
        <w:ind w:firstLine="480"/>
        <w:rPr>
          <w:rFonts w:ascii="Times New Roman" w:hAnsi="Times New Roman" w:cs="Times New Roman"/>
        </w:rPr>
      </w:pPr>
      <m:oMathPara>
        <m:oMath>
          <m:f>
            <m:fPr>
              <m:ctrlPr>
                <w:rPr>
                  <w:rFonts w:ascii="Cambria Math" w:hAnsi="Cambria Math" w:cs="Times New Roman"/>
                </w:rPr>
              </m:ctrlPr>
            </m:fPr>
            <m:num>
              <m:r>
                <w:rPr>
                  <w:rFonts w:ascii="Cambria Math" w:hAnsi="Cambria Math" w:cs="Times New Roman"/>
                </w:rPr>
                <m:t>F</m:t>
              </m:r>
            </m:num>
            <m:den>
              <m:r>
                <w:rPr>
                  <w:rFonts w:ascii="Cambria Math" w:hAnsi="Cambria Math" w:cs="Times New Roman"/>
                </w:rPr>
                <m:t>S</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Q</m:t>
              </m:r>
            </m:num>
            <m:den>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α</m:t>
                  </m:r>
                </m:sub>
              </m:sSub>
              <m:r>
                <w:rPr>
                  <w:rFonts w:ascii="Cambria Math" w:hAnsi="Cambria Math" w:cs="Times New Roman"/>
                </w:rPr>
                <m:t>)</m:t>
              </m:r>
            </m:den>
          </m:f>
        </m:oMath>
      </m:oMathPara>
    </w:p>
    <w:p w14:paraId="668910CA" w14:textId="27123538" w:rsidR="003658D8" w:rsidRPr="00E547AD" w:rsidRDefault="008523B3" w:rsidP="003658D8">
      <w:pPr>
        <w:pStyle w:val="TAMainText"/>
        <w:spacing w:line="400" w:lineRule="exact"/>
        <w:ind w:firstLineChars="100" w:firstLine="240"/>
        <w:rPr>
          <w:rFonts w:ascii="Times New Roman" w:hAnsi="Times New Roman"/>
          <w:lang w:eastAsia="zh-CN"/>
        </w:rPr>
      </w:pPr>
      <w:r>
        <w:rPr>
          <w:rFonts w:ascii="Times New Roman" w:hAnsi="Times New Roman"/>
          <w:lang w:eastAsia="zh-CN"/>
        </w:rPr>
        <w:t xml:space="preserve">where </w:t>
      </w:r>
      <w:r w:rsidR="003658D8" w:rsidRPr="00E547AD">
        <w:rPr>
          <w:rFonts w:ascii="Times New Roman" w:hAnsi="Times New Roman"/>
          <w:lang w:eastAsia="zh-CN"/>
        </w:rPr>
        <w:t>F is the initial abstraction (mm) at the start of runoff, S is the maximum potential retention after which all rainfall becomes runoff (mm), Q is the actual amount of runoff generated (mm) from a single rainfall event, P is the total rainfall (mm), and I</w:t>
      </w:r>
      <w:r w:rsidR="003658D8" w:rsidRPr="00140B7E">
        <w:rPr>
          <w:rFonts w:ascii="Times New Roman" w:hAnsi="Times New Roman"/>
          <w:vertAlign w:val="subscript"/>
          <w:lang w:eastAsia="zh-CN"/>
        </w:rPr>
        <w:t>α</w:t>
      </w:r>
      <w:r w:rsidR="003658D8" w:rsidRPr="00E547AD">
        <w:rPr>
          <w:rFonts w:ascii="Times New Roman" w:hAnsi="Times New Roman"/>
          <w:lang w:eastAsia="zh-CN"/>
        </w:rPr>
        <w:t xml:space="preserve"> is the initial abstraction (mm) before runoff begins.</w:t>
      </w:r>
    </w:p>
    <w:p w14:paraId="33560BB2" w14:textId="77777777" w:rsidR="003658D8" w:rsidRPr="00E547AD" w:rsidRDefault="003658D8" w:rsidP="003658D8">
      <w:pPr>
        <w:ind w:firstLine="480"/>
        <w:rPr>
          <w:rFonts w:ascii="Times New Roman" w:hAnsi="Times New Roman" w:cs="Times New Roman"/>
        </w:rPr>
      </w:pPr>
      <m:oMathPara>
        <m:oMathParaPr>
          <m:jc m:val="center"/>
        </m:oMathParaPr>
        <m:oMath>
          <m:r>
            <m:rPr>
              <m:sty m:val="p"/>
            </m:rPr>
            <w:rPr>
              <w:rFonts w:ascii="Cambria Math" w:hAnsi="Cambria Math" w:cs="Times New Roman"/>
            </w:rPr>
            <m:t>Q=</m:t>
          </m:r>
          <m:d>
            <m:dPr>
              <m:begChr m:val="{"/>
              <m:endChr m:val=""/>
              <m:ctrlPr>
                <w:rPr>
                  <w:rFonts w:ascii="Cambria Math" w:hAnsi="Cambria Math" w:cs="Times New Roman"/>
                </w:rPr>
              </m:ctrlPr>
            </m:dPr>
            <m:e>
              <m:eqArr>
                <m:eqArrPr>
                  <m:ctrlPr>
                    <w:rPr>
                      <w:rFonts w:ascii="Cambria Math" w:hAnsi="Cambria Math" w:cs="Times New Roman"/>
                    </w:rPr>
                  </m:ctrlPr>
                </m:eqArrPr>
                <m:e>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α</m:t>
                              </m:r>
                            </m:sub>
                          </m:sSub>
                          <m:r>
                            <w:rPr>
                              <w:rFonts w:ascii="Cambria Math" w:hAnsi="Cambria Math" w:cs="Times New Roman"/>
                            </w:rPr>
                            <m:t>)</m:t>
                          </m:r>
                        </m:num>
                        <m:den>
                          <m:d>
                            <m:dPr>
                              <m:ctrlPr>
                                <w:rPr>
                                  <w:rFonts w:ascii="Cambria Math" w:hAnsi="Cambria Math" w:cs="Times New Roman"/>
                                  <w:i/>
                                </w:rPr>
                              </m:ctrlPr>
                            </m:dPr>
                            <m:e>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α</m:t>
                                  </m:r>
                                </m:sub>
                              </m:sSub>
                            </m:e>
                          </m:d>
                          <m:r>
                            <w:rPr>
                              <w:rFonts w:ascii="Cambria Math" w:hAnsi="Cambria Math" w:cs="Times New Roman"/>
                            </w:rPr>
                            <m:t>+S</m:t>
                          </m:r>
                        </m:den>
                      </m:f>
                    </m:e>
                    <m:sup>
                      <m:r>
                        <w:rPr>
                          <w:rFonts w:ascii="Cambria Math" w:hAnsi="Cambria Math" w:cs="Times New Roman"/>
                        </w:rPr>
                        <m:t>2</m:t>
                      </m:r>
                    </m:sup>
                  </m:sSup>
                  <m:r>
                    <w:rPr>
                      <w:rFonts w:ascii="Cambria Math" w:hAnsi="Cambria Math" w:cs="Times New Roman"/>
                    </w:rPr>
                    <m:t>,                   P&gt;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α</m:t>
                      </m:r>
                    </m:sub>
                  </m:sSub>
                </m:e>
                <m:e>
                  <m:r>
                    <w:rPr>
                      <w:rFonts w:ascii="Cambria Math" w:hAnsi="Cambria Math" w:cs="Times New Roman"/>
                    </w:rPr>
                    <m:t xml:space="preserve">                              0,                  P&lt;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α</m:t>
                      </m:r>
                    </m:sub>
                  </m:sSub>
                  <m:r>
                    <w:rPr>
                      <w:rFonts w:ascii="Cambria Math" w:hAnsi="Cambria Math" w:cs="Times New Roman"/>
                    </w:rPr>
                    <m:t xml:space="preserve">      </m:t>
                  </m:r>
                </m:e>
              </m:eqArr>
            </m:e>
          </m:d>
        </m:oMath>
      </m:oMathPara>
    </w:p>
    <w:p w14:paraId="070B7E3D" w14:textId="4BBA5654"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where P is a variable</w:t>
      </w:r>
      <w:r w:rsidR="008523B3">
        <w:rPr>
          <w:rFonts w:ascii="Times New Roman" w:hAnsi="Times New Roman"/>
          <w:lang w:eastAsia="zh-CN"/>
        </w:rPr>
        <w:t xml:space="preserve"> </w:t>
      </w:r>
      <w:r w:rsidRPr="00E547AD">
        <w:rPr>
          <w:rFonts w:ascii="Times New Roman" w:hAnsi="Times New Roman"/>
          <w:lang w:eastAsia="zh-CN"/>
        </w:rPr>
        <w:t xml:space="preserve">obtained from </w:t>
      </w:r>
      <w:r w:rsidR="005001B3">
        <w:rPr>
          <w:rFonts w:ascii="Times New Roman" w:hAnsi="Times New Roman"/>
          <w:lang w:eastAsia="zh-CN"/>
        </w:rPr>
        <w:t xml:space="preserve">the </w:t>
      </w:r>
      <w:r w:rsidRPr="00E547AD">
        <w:rPr>
          <w:rFonts w:ascii="Times New Roman" w:hAnsi="Times New Roman"/>
          <w:lang w:eastAsia="zh-CN"/>
        </w:rPr>
        <w:t>field monitoring. S is the retention parameter, which is related to the underlying surface factors. It presents spatial differences with different soils, land use, management measures, and slopes, and temporal differences with changes in soil moisture content. To calculate S, the Curve Number (CN) parameter is introduced</w:t>
      </w:r>
      <w:r w:rsidR="00140B7E" w:rsidRPr="00140B7E">
        <w:rPr>
          <w:rFonts w:ascii="Times New Roman" w:hAnsi="Times New Roman"/>
          <w:color w:val="0070C0"/>
          <w:lang w:eastAsia="zh-CN"/>
        </w:rPr>
        <w:fldChar w:fldCharType="begin" w:fldLock="1"/>
      </w:r>
      <w:r w:rsidR="00694227">
        <w:rPr>
          <w:rFonts w:ascii="Times New Roman" w:hAnsi="Times New Roman"/>
          <w:color w:val="0070C0"/>
          <w:lang w:eastAsia="zh-CN"/>
        </w:rPr>
        <w:instrText>ADDIN CSL_CITATION {"citationItems":[{"id":"ITEM-1","itemData":{"ISBN":"7655881197","author":[{"dropping-particle":"","family":"Quansah","given":"J E","non-dropping-particle":"","parse-names":false,"suffix":""},{"dropping-particle":"","family":"Engel","given":"B A","non-dropping-particle":"","parse-names":false,"suffix":""},{"dropping-particle":"","family":"Chaubey","given":"I","non-dropping-particle":"","parse-names":false,"suffix":""}],"container-title":"American Society of Agricultural and Biological Engineers","id":"ITEM-1","issue":"4","issued":{"date-parts":[["2008"]]},"page":"1311-1321","title":"Tillage practicses usage in early warning prediction of atrazine pollution","type":"article-journal","volume":"51"},"uris":["http://www.mendeley.com/documents/?uuid=1e5bf8fc-7327-4db9-be4b-9d66555d0263"]}],"mendeley":{"formattedCitation":"&lt;sup&gt;3&lt;/sup&gt;","plainTextFormattedCitation":"3","previouslyFormattedCitation":"&lt;sup&gt;3&lt;/sup&gt;"},"properties":{"noteIndex":0},"schema":"https://github.com/citation-style-language/schema/raw/master/csl-citation.json"}</w:instrText>
      </w:r>
      <w:r w:rsidR="00140B7E" w:rsidRPr="00140B7E">
        <w:rPr>
          <w:rFonts w:ascii="Times New Roman" w:hAnsi="Times New Roman"/>
          <w:color w:val="0070C0"/>
          <w:lang w:eastAsia="zh-CN"/>
        </w:rPr>
        <w:fldChar w:fldCharType="separate"/>
      </w:r>
      <w:r w:rsidR="00140B7E" w:rsidRPr="00140B7E">
        <w:rPr>
          <w:rFonts w:ascii="Times New Roman" w:hAnsi="Times New Roman"/>
          <w:noProof/>
          <w:color w:val="0070C0"/>
          <w:vertAlign w:val="superscript"/>
          <w:lang w:eastAsia="zh-CN"/>
        </w:rPr>
        <w:t>3</w:t>
      </w:r>
      <w:r w:rsidR="00140B7E" w:rsidRPr="00140B7E">
        <w:rPr>
          <w:rFonts w:ascii="Times New Roman" w:hAnsi="Times New Roman"/>
          <w:color w:val="0070C0"/>
          <w:lang w:eastAsia="zh-CN"/>
        </w:rPr>
        <w:fldChar w:fldCharType="end"/>
      </w:r>
      <w:r w:rsidRPr="00E547AD">
        <w:rPr>
          <w:rFonts w:ascii="Times New Roman" w:hAnsi="Times New Roman"/>
          <w:lang w:eastAsia="zh-CN"/>
        </w:rPr>
        <w:t>, and the relationship between S and CN is given by:</w:t>
      </w:r>
    </w:p>
    <w:p w14:paraId="5EF6A414" w14:textId="77777777" w:rsidR="003658D8" w:rsidRPr="00E547AD" w:rsidRDefault="003658D8" w:rsidP="003658D8">
      <w:pPr>
        <w:ind w:firstLine="480"/>
        <w:jc w:val="center"/>
        <w:rPr>
          <w:rFonts w:ascii="Times New Roman" w:hAnsi="Times New Roman" w:cs="Times New Roman"/>
        </w:rPr>
      </w:pPr>
      <m:oMath>
        <m:r>
          <m:rPr>
            <m:sty m:val="p"/>
          </m:rPr>
          <w:rPr>
            <w:rFonts w:ascii="Cambria Math" w:hAnsi="Cambria Math" w:cs="Times New Roman"/>
          </w:rPr>
          <m:t>S=</m:t>
        </m:r>
        <m:f>
          <m:fPr>
            <m:ctrlPr>
              <w:rPr>
                <w:rFonts w:ascii="Cambria Math" w:hAnsi="Cambria Math" w:cs="Times New Roman"/>
              </w:rPr>
            </m:ctrlPr>
          </m:fPr>
          <m:num>
            <m:r>
              <w:rPr>
                <w:rFonts w:ascii="Cambria Math" w:hAnsi="Cambria Math" w:cs="Times New Roman"/>
              </w:rPr>
              <m:t>25400</m:t>
            </m:r>
          </m:num>
          <m:den>
            <m:r>
              <w:rPr>
                <w:rFonts w:ascii="Cambria Math" w:hAnsi="Cambria Math" w:cs="Times New Roman"/>
              </w:rPr>
              <m:t>CN</m:t>
            </m:r>
          </m:den>
        </m:f>
        <m:r>
          <w:rPr>
            <w:rFonts w:ascii="Cambria Math" w:eastAsia="微软雅黑" w:hAnsi="Cambria Math" w:cs="Times New Roman"/>
          </w:rPr>
          <m:t>-</m:t>
        </m:r>
        <m:r>
          <w:rPr>
            <w:rFonts w:ascii="Cambria Math" w:hAnsi="Cambria Math" w:cs="Times New Roman"/>
          </w:rPr>
          <m:t>254</m:t>
        </m:r>
      </m:oMath>
      <w:r w:rsidRPr="00E547AD">
        <w:rPr>
          <w:rFonts w:ascii="Times New Roman" w:hAnsi="Times New Roman" w:cs="Times New Roman"/>
        </w:rPr>
        <w:t>,</w:t>
      </w:r>
    </w:p>
    <w:p w14:paraId="37017CC4" w14:textId="6D94E050"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 xml:space="preserve">where CN is a dimensionless parameter that reflects the characteristics of the underlying surface of the watershed, with a numerical range of 1-100. A higher value indicates a poorer water storage capacity of the underlying surface. The initial abstraction of rainfall, </w:t>
      </w:r>
      <w:proofErr w:type="spellStart"/>
      <w:r w:rsidRPr="00E547AD">
        <w:rPr>
          <w:rFonts w:ascii="Times New Roman" w:hAnsi="Times New Roman"/>
          <w:lang w:eastAsia="zh-CN"/>
        </w:rPr>
        <w:t>I</w:t>
      </w:r>
      <w:r w:rsidRPr="005001B3">
        <w:rPr>
          <w:rFonts w:ascii="Times New Roman" w:hAnsi="Times New Roman"/>
          <w:vertAlign w:val="subscript"/>
          <w:lang w:eastAsia="zh-CN"/>
        </w:rPr>
        <w:t>a</w:t>
      </w:r>
      <w:proofErr w:type="spellEnd"/>
      <w:r w:rsidRPr="00E547AD">
        <w:rPr>
          <w:rFonts w:ascii="Times New Roman" w:hAnsi="Times New Roman"/>
          <w:lang w:eastAsia="zh-CN"/>
        </w:rPr>
        <w:t>, is typically approximated as 0.2S</w:t>
      </w:r>
      <w:r w:rsidR="005001B3">
        <w:rPr>
          <w:rFonts w:ascii="Times New Roman" w:hAnsi="Times New Roman"/>
          <w:lang w:eastAsia="zh-CN"/>
        </w:rPr>
        <w:t xml:space="preserve"> based on the empirical equation</w:t>
      </w:r>
      <w:r w:rsidR="00140B7E" w:rsidRPr="00140B7E">
        <w:rPr>
          <w:rFonts w:ascii="Times New Roman" w:hAnsi="Times New Roman"/>
          <w:color w:val="0070C0"/>
          <w:lang w:eastAsia="zh-CN"/>
        </w:rPr>
        <w:fldChar w:fldCharType="begin" w:fldLock="1"/>
      </w:r>
      <w:r w:rsidR="00694227">
        <w:rPr>
          <w:rFonts w:ascii="Times New Roman" w:hAnsi="Times New Roman"/>
          <w:color w:val="0070C0"/>
          <w:lang w:eastAsia="zh-CN"/>
        </w:rPr>
        <w:instrText>ADDIN CSL_CITATION {"citationItems":[{"id":"ITEM-1","itemData":{"DOI":"10.1038/s41598-020-59659-z","ISSN":"20452322","PMID":"32075996","abstract":"To consummate watershed data and better quantify the impact of climate changes and human activities on runoff, we examined the changes and response mechanisms of runoff in the Min–Tuo River Basin, China. In the examination, the Soil and Water Assessment Tool (SWAT) model was used to simulate possible evapotranspiration, actual evapotranspiration, and runoff in 1980, 1990, 1995, 2000, 2005, 2010, and 2015 under different land-use conditions. SWAT weather generator was used to supplement the missing meteorological data. This study presents a quantitative analysis of the climatic and anthropogenic factors contributing to the runoff alteration in the Min–Tuo River Basin using the Budyko methods. The results suggested that the reduced precipitation was the main cause of runoff reduction. The contributions of precipitation, possible evapotranspiration, and underlying surface alterationsof runoff were 56.18%, 37.08%, and 6.74%, respectively. Sensitivity analysis indicated that the runoff alteration was most sensitive to changes of landscape parameters. The aridity index and all the elasticities showed a spatial variations in the Min–Tuo River Basin. The influence of the three factors on runoff reduction varied with seasons. During the high-flow period, changes of the precipitation and possible evapotranspiration and underlying surface had the greatest effect on runoff reduction, while changes of underlying surfaces had the least effect.","author":[{"dropping-particle":"","family":"Hu","given":"Jian","non-dropping-particle":"","parse-names":false,"suffix":""},{"dropping-particle":"","family":"Ma","given":"Jie","non-dropping-particle":"","parse-names":false,"suffix":""},{"dropping-particle":"","family":"Nie","given":"Chao","non-dropping-particle":"","parse-names":false,"suffix":""},{"dropping-particle":"","family":"Xue","given":"Lianqing","non-dropping-particle":"","parse-names":false,"suffix":""},{"dropping-particle":"","family":"Zhang","given":"Yang","non-dropping-particle":"","parse-names":false,"suffix":""},{"dropping-particle":"","family":"Ni","given":"Fuquan","non-dropping-particle":"","parse-names":false,"suffix":""},{"dropping-particle":"","family":"Deng","given":"Yu","non-dropping-particle":"","parse-names":false,"suffix":""},{"dropping-particle":"","family":"Liu","given":"Jinshan","non-dropping-particle":"","parse-names":false,"suffix":""},{"dropping-particle":"","family":"Zhou","given":"Dengke","non-dropping-particle":"","parse-names":false,"suffix":""},{"dropping-particle":"","family":"Li","given":"Linhuan","non-dropping-particle":"","parse-names":false,"suffix":""},{"dropping-particle":"","family":"Wang","given":"Zhigang","non-dropping-particle":"","parse-names":false,"suffix":""}],"container-title":"Scientific Reports","id":"ITEM-1","issue":"1","issued":{"date-parts":[["2020"]]},"page":"1-16","publisher":"Springer US","title":"Attribution Analysis of Runoff Change in Min-Tuo River Basin based on SWAT model simulations, China","type":"article-journal","volume":"10"},"uris":["http://www.mendeley.com/documents/?uuid=6b0a4ae3-da4f-41f9-b48f-6a1f96a9f17b"]}],"mendeley":{"formattedCitation":"&lt;sup&gt;4&lt;/sup&gt;","plainTextFormattedCitation":"4","previouslyFormattedCitation":"&lt;sup&gt;4&lt;/sup&gt;"},"properties":{"noteIndex":0},"schema":"https://github.com/citation-style-language/schema/raw/master/csl-citation.json"}</w:instrText>
      </w:r>
      <w:r w:rsidR="00140B7E" w:rsidRPr="00140B7E">
        <w:rPr>
          <w:rFonts w:ascii="Times New Roman" w:hAnsi="Times New Roman"/>
          <w:color w:val="0070C0"/>
          <w:lang w:eastAsia="zh-CN"/>
        </w:rPr>
        <w:fldChar w:fldCharType="separate"/>
      </w:r>
      <w:r w:rsidR="00140B7E" w:rsidRPr="00140B7E">
        <w:rPr>
          <w:rFonts w:ascii="Times New Roman" w:hAnsi="Times New Roman"/>
          <w:noProof/>
          <w:color w:val="0070C0"/>
          <w:vertAlign w:val="superscript"/>
          <w:lang w:eastAsia="zh-CN"/>
        </w:rPr>
        <w:t>4</w:t>
      </w:r>
      <w:r w:rsidR="00140B7E" w:rsidRPr="00140B7E">
        <w:rPr>
          <w:rFonts w:ascii="Times New Roman" w:hAnsi="Times New Roman"/>
          <w:color w:val="0070C0"/>
          <w:lang w:eastAsia="zh-CN"/>
        </w:rPr>
        <w:fldChar w:fldCharType="end"/>
      </w:r>
      <w:r w:rsidRPr="00E547AD">
        <w:rPr>
          <w:rFonts w:ascii="Times New Roman" w:hAnsi="Times New Roman"/>
          <w:lang w:eastAsia="zh-CN"/>
        </w:rPr>
        <w:t>, so the equation becomes:</w:t>
      </w:r>
    </w:p>
    <w:p w14:paraId="4F1C3B73" w14:textId="77777777" w:rsidR="003658D8" w:rsidRPr="00E547AD" w:rsidRDefault="003658D8" w:rsidP="003658D8">
      <w:pPr>
        <w:pStyle w:val="TAMainText"/>
        <w:spacing w:line="240" w:lineRule="auto"/>
        <w:ind w:firstLine="0"/>
        <w:rPr>
          <w:rFonts w:ascii="Times New Roman" w:hAnsi="Times New Roman"/>
          <w:lang w:eastAsia="zh-CN"/>
        </w:rPr>
      </w:pPr>
      <m:oMathPara>
        <m:oMath>
          <m:r>
            <m:rPr>
              <m:sty m:val="p"/>
            </m:rPr>
            <w:rPr>
              <w:rFonts w:ascii="Cambria Math" w:hAnsi="Cambria Math"/>
            </w:rPr>
            <m:t>Q=</m:t>
          </m:r>
          <m:d>
            <m:dPr>
              <m:begChr m:val="{"/>
              <m:endChr m:val=""/>
              <m:ctrlPr>
                <w:rPr>
                  <w:rFonts w:ascii="Cambria Math" w:hAnsi="Cambria Math"/>
                </w:rPr>
              </m:ctrlPr>
            </m:dPr>
            <m:e>
              <m:eqArr>
                <m:eqArrPr>
                  <m:ctrlPr>
                    <w:rPr>
                      <w:rFonts w:ascii="Cambria Math" w:hAnsi="Cambria Math"/>
                    </w:rPr>
                  </m:ctrlPr>
                </m:eqArrPr>
                <m:e>
                  <m:sSup>
                    <m:sSupPr>
                      <m:ctrlPr>
                        <w:rPr>
                          <w:rFonts w:ascii="Cambria Math" w:hAnsi="Cambria Math"/>
                          <w:i/>
                        </w:rPr>
                      </m:ctrlPr>
                    </m:sSup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day</m:t>
                              </m:r>
                            </m:sub>
                          </m:sSub>
                          <m:r>
                            <w:rPr>
                              <w:rFonts w:ascii="Cambria Math" w:hAnsi="Cambria Math"/>
                            </w:rPr>
                            <m:t>-0.2S)</m:t>
                          </m:r>
                        </m:num>
                        <m:den>
                          <m:sSub>
                            <m:sSubPr>
                              <m:ctrlPr>
                                <w:rPr>
                                  <w:rFonts w:ascii="Cambria Math" w:hAnsi="Cambria Math"/>
                                  <w:i/>
                                </w:rPr>
                              </m:ctrlPr>
                            </m:sSubPr>
                            <m:e>
                              <m:r>
                                <w:rPr>
                                  <w:rFonts w:ascii="Cambria Math" w:hAnsi="Cambria Math"/>
                                </w:rPr>
                                <m:t>R</m:t>
                              </m:r>
                            </m:e>
                            <m:sub>
                              <m:r>
                                <w:rPr>
                                  <w:rFonts w:ascii="Cambria Math" w:hAnsi="Cambria Math"/>
                                </w:rPr>
                                <m:t>day</m:t>
                              </m:r>
                            </m:sub>
                          </m:sSub>
                          <m:r>
                            <w:rPr>
                              <w:rFonts w:ascii="Cambria Math" w:hAnsi="Cambria Math"/>
                            </w:rPr>
                            <m:t>+0.8S</m:t>
                          </m:r>
                        </m:den>
                      </m:f>
                    </m:e>
                    <m:sup>
                      <m:r>
                        <w:rPr>
                          <w:rFonts w:ascii="Cambria Math" w:hAnsi="Cambria Math"/>
                        </w:rPr>
                        <m:t>2</m:t>
                      </m:r>
                    </m:sup>
                  </m:sSup>
                  <m:r>
                    <w:rPr>
                      <w:rFonts w:ascii="Cambria Math" w:hAnsi="Cambria Math"/>
                    </w:rPr>
                    <m:t>,                   P&gt;</m:t>
                  </m:r>
                  <m:sSub>
                    <m:sSubPr>
                      <m:ctrlPr>
                        <w:rPr>
                          <w:rFonts w:ascii="Cambria Math" w:hAnsi="Cambria Math"/>
                          <w:i/>
                        </w:rPr>
                      </m:ctrlPr>
                    </m:sSubPr>
                    <m:e>
                      <m:r>
                        <w:rPr>
                          <w:rFonts w:ascii="Cambria Math" w:hAnsi="Cambria Math"/>
                        </w:rPr>
                        <m:t>I</m:t>
                      </m:r>
                    </m:e>
                    <m:sub>
                      <m:r>
                        <w:rPr>
                          <w:rFonts w:ascii="Cambria Math" w:hAnsi="Cambria Math"/>
                        </w:rPr>
                        <m:t>α</m:t>
                      </m:r>
                    </m:sub>
                  </m:sSub>
                </m:e>
                <m:e>
                  <m:r>
                    <w:rPr>
                      <w:rFonts w:ascii="Cambria Math" w:hAnsi="Cambria Math"/>
                    </w:rPr>
                    <m:t xml:space="preserve">                              0,                  P&lt;</m:t>
                  </m:r>
                  <m:sSub>
                    <m:sSubPr>
                      <m:ctrlPr>
                        <w:rPr>
                          <w:rFonts w:ascii="Cambria Math" w:hAnsi="Cambria Math"/>
                          <w:i/>
                        </w:rPr>
                      </m:ctrlPr>
                    </m:sSubPr>
                    <m:e>
                      <m:r>
                        <w:rPr>
                          <w:rFonts w:ascii="Cambria Math" w:hAnsi="Cambria Math"/>
                        </w:rPr>
                        <m:t>I</m:t>
                      </m:r>
                    </m:e>
                    <m:sub>
                      <m:r>
                        <w:rPr>
                          <w:rFonts w:ascii="Cambria Math" w:hAnsi="Cambria Math"/>
                        </w:rPr>
                        <m:t>α</m:t>
                      </m:r>
                    </m:sub>
                  </m:sSub>
                  <m:r>
                    <w:rPr>
                      <w:rFonts w:ascii="Cambria Math" w:hAnsi="Cambria Math"/>
                    </w:rPr>
                    <m:t xml:space="preserve">      </m:t>
                  </m:r>
                </m:e>
              </m:eqArr>
            </m:e>
          </m:d>
        </m:oMath>
      </m:oMathPara>
    </w:p>
    <w:p w14:paraId="0921993A" w14:textId="2F412529"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The sub-basins were delineated using ArcGIS 10.2 software based on a 90 m resolution digital elevation model (DEM), resulting in a total of 5</w:t>
      </w:r>
      <w:r w:rsidR="00140B7E">
        <w:rPr>
          <w:rFonts w:ascii="Times New Roman" w:hAnsi="Times New Roman"/>
          <w:lang w:eastAsia="zh-CN"/>
        </w:rPr>
        <w:t>2</w:t>
      </w:r>
      <w:r w:rsidRPr="00E547AD">
        <w:rPr>
          <w:rFonts w:ascii="Times New Roman" w:hAnsi="Times New Roman"/>
          <w:lang w:eastAsia="zh-CN"/>
        </w:rPr>
        <w:t xml:space="preserve"> sub-basins in the Yellow River </w:t>
      </w:r>
      <w:r w:rsidR="001102FE">
        <w:rPr>
          <w:rFonts w:ascii="Times New Roman" w:hAnsi="Times New Roman"/>
          <w:lang w:eastAsia="zh-CN"/>
        </w:rPr>
        <w:t>Watershed</w:t>
      </w:r>
      <w:r w:rsidRPr="00E547AD">
        <w:rPr>
          <w:rFonts w:ascii="Times New Roman" w:hAnsi="Times New Roman"/>
          <w:lang w:eastAsia="zh-CN"/>
        </w:rPr>
        <w:t>.</w:t>
      </w:r>
    </w:p>
    <w:p w14:paraId="3D9412DD" w14:textId="77777777" w:rsidR="003658D8" w:rsidRPr="00E547AD" w:rsidRDefault="00C95E73" w:rsidP="003658D8">
      <w:pPr>
        <w:ind w:firstLine="480"/>
        <w:jc w:val="center"/>
        <w:rPr>
          <w:rFonts w:ascii="Times New Roman" w:hAnsi="Times New Roman" w:cs="Times New Roman"/>
        </w:rPr>
      </w:pPr>
      <m:oMath>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3</m:t>
            </m:r>
          </m:sub>
        </m:sSub>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2</m:t>
            </m:r>
          </m:sub>
        </m:sSub>
        <m:r>
          <m:rPr>
            <m:sty m:val="p"/>
          </m:rPr>
          <w:rPr>
            <w:rFonts w:ascii="Cambria Math" w:hAnsi="Cambria Math" w:cs="Times New Roman"/>
          </w:rPr>
          <m:t>×exp⁡[0.00673×</m:t>
        </m:r>
        <m:d>
          <m:dPr>
            <m:ctrlPr>
              <w:rPr>
                <w:rFonts w:ascii="Cambria Math" w:hAnsi="Cambria Math" w:cs="Times New Roman"/>
              </w:rPr>
            </m:ctrlPr>
          </m:dPr>
          <m:e>
            <m:r>
              <m:rPr>
                <m:sty m:val="p"/>
              </m:rPr>
              <w:rPr>
                <w:rFonts w:ascii="Cambria Math" w:hAnsi="Cambria Math" w:cs="Times New Roman"/>
              </w:rPr>
              <m:t>100-</m:t>
            </m:r>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2</m:t>
                </m:r>
              </m:sub>
            </m:sSub>
          </m:e>
        </m:d>
        <m:r>
          <m:rPr>
            <m:sty m:val="p"/>
          </m:rPr>
          <w:rPr>
            <w:rFonts w:ascii="Cambria Math" w:hAnsi="Cambria Math" w:cs="Times New Roman"/>
          </w:rPr>
          <m:t>]</m:t>
        </m:r>
      </m:oMath>
      <w:r w:rsidR="003658D8" w:rsidRPr="00E547AD">
        <w:rPr>
          <w:rFonts w:ascii="Times New Roman" w:hAnsi="Times New Roman" w:cs="Times New Roman"/>
        </w:rPr>
        <w:t>,</w:t>
      </w:r>
    </w:p>
    <w:p w14:paraId="74A46A72" w14:textId="77777777" w:rsidR="003658D8" w:rsidRPr="00E547AD" w:rsidRDefault="00C95E73" w:rsidP="003658D8">
      <w:pPr>
        <w:ind w:firstLine="480"/>
        <w:jc w:val="center"/>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2S</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3</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2</m:t>
                  </m:r>
                </m:sub>
              </m:sSub>
            </m:num>
            <m:den>
              <m:r>
                <w:rPr>
                  <w:rFonts w:ascii="Cambria Math" w:hAnsi="Cambria Math" w:cs="Times New Roman"/>
                </w:rPr>
                <m:t>3</m:t>
              </m:r>
            </m:den>
          </m:f>
          <m:d>
            <m:dPr>
              <m:begChr m:val="["/>
              <m:endChr m:val="]"/>
              <m:ctrlPr>
                <w:rPr>
                  <w:rFonts w:ascii="Cambria Math" w:hAnsi="Cambria Math" w:cs="Times New Roman"/>
                  <w:i/>
                </w:rPr>
              </m:ctrlPr>
            </m:dPr>
            <m:e>
              <m:r>
                <w:rPr>
                  <w:rFonts w:ascii="Cambria Math" w:hAnsi="Cambria Math" w:cs="Times New Roman"/>
                </w:rPr>
                <m:t>1-2</m:t>
              </m:r>
              <m:func>
                <m:funcPr>
                  <m:ctrlPr>
                    <w:rPr>
                      <w:rFonts w:ascii="Cambria Math" w:hAnsi="Cambria Math" w:cs="Times New Roman"/>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-13.86slp</m:t>
                      </m:r>
                    </m:e>
                  </m:d>
                </m:e>
              </m:func>
            </m:e>
          </m:d>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CN</m:t>
              </m:r>
            </m:e>
            <m:sub>
              <m:r>
                <m:rPr>
                  <m:sty m:val="p"/>
                </m:rPr>
                <w:rPr>
                  <w:rFonts w:ascii="Cambria Math" w:hAnsi="Cambria Math" w:cs="Times New Roman"/>
                </w:rPr>
                <m:t>2</m:t>
              </m:r>
            </m:sub>
          </m:sSub>
        </m:oMath>
      </m:oMathPara>
    </w:p>
    <w:p w14:paraId="33C0370B" w14:textId="4B7DAD75" w:rsidR="00C30D3C" w:rsidRDefault="00C30D3C" w:rsidP="001102FE">
      <w:pPr>
        <w:pStyle w:val="TAMainText"/>
        <w:spacing w:line="400" w:lineRule="exact"/>
        <w:ind w:firstLine="240"/>
        <w:rPr>
          <w:rFonts w:ascii="Times New Roman" w:hAnsi="Times New Roman"/>
          <w:lang w:eastAsia="zh-CN"/>
        </w:rPr>
      </w:pPr>
      <w:r>
        <w:rPr>
          <w:rFonts w:ascii="Times New Roman" w:hAnsi="Times New Roman" w:hint="eastAsia"/>
          <w:lang w:eastAsia="zh-CN"/>
        </w:rPr>
        <w:lastRenderedPageBreak/>
        <w:t>w</w:t>
      </w:r>
      <w:r>
        <w:rPr>
          <w:rFonts w:ascii="Times New Roman" w:hAnsi="Times New Roman"/>
          <w:lang w:eastAsia="zh-CN"/>
        </w:rPr>
        <w:t xml:space="preserve">here </w:t>
      </w:r>
      <w:proofErr w:type="spellStart"/>
      <w:r w:rsidRPr="00C30D3C">
        <w:rPr>
          <w:rFonts w:ascii="Times New Roman" w:hAnsi="Times New Roman"/>
          <w:i/>
          <w:lang w:eastAsia="zh-CN"/>
        </w:rPr>
        <w:t>slp</w:t>
      </w:r>
      <w:proofErr w:type="spellEnd"/>
      <w:r>
        <w:rPr>
          <w:rFonts w:ascii="Times New Roman" w:hAnsi="Times New Roman"/>
          <w:lang w:eastAsia="zh-CN"/>
        </w:rPr>
        <w:t xml:space="preserve"> is the average slope of each sub-basin.</w:t>
      </w:r>
    </w:p>
    <w:p w14:paraId="66D41106" w14:textId="52187268" w:rsidR="00B76BF1" w:rsidRDefault="001102FE" w:rsidP="001102FE">
      <w:pPr>
        <w:pStyle w:val="TAMainText"/>
        <w:spacing w:line="400" w:lineRule="exact"/>
        <w:ind w:firstLine="240"/>
        <w:rPr>
          <w:rFonts w:ascii="Times New Roman" w:hAnsi="Times New Roman"/>
          <w:lang w:eastAsia="zh-CN"/>
        </w:rPr>
      </w:pPr>
      <w:r w:rsidRPr="001102FE">
        <w:rPr>
          <w:rFonts w:ascii="Times New Roman" w:hAnsi="Times New Roman"/>
          <w:lang w:eastAsia="zh-CN"/>
        </w:rPr>
        <w:t>(4</w:t>
      </w:r>
      <w:r>
        <w:rPr>
          <w:rFonts w:ascii="Times New Roman" w:hAnsi="Times New Roman"/>
          <w:lang w:eastAsia="zh-CN"/>
        </w:rPr>
        <w:t xml:space="preserve">) </w:t>
      </w:r>
      <w:r w:rsidR="006479D7">
        <w:rPr>
          <w:rFonts w:ascii="Times New Roman" w:hAnsi="Times New Roman"/>
          <w:lang w:eastAsia="zh-CN"/>
        </w:rPr>
        <w:t xml:space="preserve">The leaching </w:t>
      </w:r>
      <w:proofErr w:type="gramStart"/>
      <w:r w:rsidR="006479D7">
        <w:rPr>
          <w:rFonts w:ascii="Times New Roman" w:hAnsi="Times New Roman"/>
          <w:lang w:eastAsia="zh-CN"/>
        </w:rPr>
        <w:t>index</w:t>
      </w:r>
      <w:proofErr w:type="gramEnd"/>
    </w:p>
    <w:p w14:paraId="62948029" w14:textId="2AB1139E" w:rsidR="003658D8" w:rsidRPr="00E547AD" w:rsidRDefault="003658D8" w:rsidP="001102FE">
      <w:pPr>
        <w:pStyle w:val="TAMainText"/>
        <w:spacing w:line="400" w:lineRule="exact"/>
        <w:ind w:firstLine="240"/>
        <w:rPr>
          <w:rFonts w:ascii="Times New Roman" w:hAnsi="Times New Roman"/>
          <w:lang w:eastAsia="zh-CN"/>
        </w:rPr>
      </w:pPr>
      <w:r w:rsidRPr="00E547AD">
        <w:rPr>
          <w:rFonts w:ascii="Times New Roman" w:hAnsi="Times New Roman"/>
          <w:lang w:eastAsia="zh-CN"/>
        </w:rPr>
        <w:t xml:space="preserve">The actual infiltration capacity of soil water in the watershed is determined by the </w:t>
      </w:r>
      <w:r w:rsidR="001102FE">
        <w:rPr>
          <w:rFonts w:ascii="Times New Roman" w:hAnsi="Times New Roman"/>
          <w:lang w:eastAsia="zh-CN"/>
        </w:rPr>
        <w:t>r</w:t>
      </w:r>
      <w:r w:rsidRPr="00E547AD">
        <w:rPr>
          <w:rFonts w:ascii="Times New Roman" w:hAnsi="Times New Roman"/>
          <w:lang w:eastAsia="zh-CN"/>
        </w:rPr>
        <w:t xml:space="preserve">ainfall </w:t>
      </w:r>
      <w:r w:rsidR="001102FE">
        <w:rPr>
          <w:rFonts w:ascii="Times New Roman" w:hAnsi="Times New Roman"/>
          <w:lang w:eastAsia="zh-CN"/>
        </w:rPr>
        <w:t>s</w:t>
      </w:r>
      <w:r w:rsidRPr="00E547AD">
        <w:rPr>
          <w:rFonts w:ascii="Times New Roman" w:hAnsi="Times New Roman"/>
          <w:lang w:eastAsia="zh-CN"/>
        </w:rPr>
        <w:t xml:space="preserve">patial Distribution Index (PI) and </w:t>
      </w:r>
      <w:r w:rsidR="001102FE">
        <w:rPr>
          <w:rFonts w:ascii="Times New Roman" w:hAnsi="Times New Roman"/>
          <w:lang w:eastAsia="zh-CN"/>
        </w:rPr>
        <w:t>s</w:t>
      </w:r>
      <w:r w:rsidRPr="00E547AD">
        <w:rPr>
          <w:rFonts w:ascii="Times New Roman" w:hAnsi="Times New Roman"/>
          <w:lang w:eastAsia="zh-CN"/>
        </w:rPr>
        <w:t xml:space="preserve">easonal </w:t>
      </w:r>
      <w:r w:rsidR="001102FE">
        <w:rPr>
          <w:rFonts w:ascii="Times New Roman" w:hAnsi="Times New Roman"/>
          <w:lang w:eastAsia="zh-CN"/>
        </w:rPr>
        <w:t>d</w:t>
      </w:r>
      <w:r w:rsidRPr="00E547AD">
        <w:rPr>
          <w:rFonts w:ascii="Times New Roman" w:hAnsi="Times New Roman"/>
          <w:lang w:eastAsia="zh-CN"/>
        </w:rPr>
        <w:t xml:space="preserve">istribution </w:t>
      </w:r>
      <w:r w:rsidR="001102FE">
        <w:rPr>
          <w:rFonts w:ascii="Times New Roman" w:hAnsi="Times New Roman"/>
          <w:lang w:eastAsia="zh-CN"/>
        </w:rPr>
        <w:t>i</w:t>
      </w:r>
      <w:r w:rsidRPr="00E547AD">
        <w:rPr>
          <w:rFonts w:ascii="Times New Roman" w:hAnsi="Times New Roman"/>
          <w:lang w:eastAsia="zh-CN"/>
        </w:rPr>
        <w:t>ndex (SI), where the PI index characterizes the maximum theoretical rainfall that can be used for infiltration in the sub-watershed (mm), and the SI index characterizes the impact of seasonal variation in rainfall on soil moisture infiltration (dimensionless)</w:t>
      </w:r>
      <w:r w:rsidR="00694227" w:rsidRPr="00694227">
        <w:rPr>
          <w:rFonts w:ascii="Times New Roman" w:hAnsi="Times New Roman"/>
          <w:color w:val="0070C0"/>
          <w:lang w:eastAsia="zh-CN"/>
        </w:rPr>
        <w:fldChar w:fldCharType="begin" w:fldLock="1"/>
      </w:r>
      <w:r w:rsidR="00694227">
        <w:rPr>
          <w:rFonts w:ascii="Times New Roman" w:hAnsi="Times New Roman"/>
          <w:color w:val="0070C0"/>
          <w:lang w:eastAsia="zh-CN"/>
        </w:rPr>
        <w:instrText>ADDIN CSL_CITATION {"citationItems":[{"id":"ITEM-1","itemData":{"DOI":"10.1021/es991115+","ISSN":"0013936X","abstract":"The objective of this study was to conduct a multibasin reconnaissance survey to determine the relative importance of chemical properties, land-use, and hydrology to agricultural chemical contamination of streams in northern Missouri. In 1994 and 1995, samples were collected from 140 sites on 95 different streams and rivers throughout northern Missouri. Samples were collected under preplant and postplant conditions and analyzed for common herbicides and dissolved nutrients. Atrazine, the most frequently detected herbicide was detected in all postplant samples and 99% and 90% of the preplant samples in 1994 and 1995, respectively. The study area has significant variations in soils, hydrology, and land-use (row-cropping intensity). The hydrology is largely determined by the soils, as reflected by soil hydrologic groups. Nitrate and herbicide concentrations showed opposite trends across the study region. Streams draining watersheds with runoff-prone soils had the highest herbicide concentrations, while streams draining watersheds with more groundwater recharge had low herbicide concentrations but the highest NO3-N concentrations. Current data are sufficient to develop a conceptual framework for assessing watershed vulnerability based on three key factors. The primary factor is the chemistry of the compound, which determines the potential hydrologic transport pathways for that chemical to be lost from the soil. Nitrate can potentially be leached or lost in runoff. Moderately sorbed compounds, such as atrazine, are more likely to be lost in runoff or degraded within the soil than leached. The hydrology of a region is the secondary factor, as it determines the relative importance of the leaching and runoff transport pathways. The third factor then is the land-use, which includes the percentage of a watershed that is cropped, the locations within the watershed that are cropped, and the chemicals applied. Management practices to improve water quality must be designed in accordance with the dominant problems and transport pathways of a watershed.","author":[{"dropping-particle":"","family":"Blanchard","given":"P. E.","non-dropping-particle":"","parse-names":false,"suffix":""},{"dropping-particle":"","family":"Lerch","given":"R. N.","non-dropping-particle":"","parse-names":false,"suffix":""}],"container-title":"Environmental Science and Technology","id":"ITEM-1","issue":"16","issued":{"date-parts":[["2000"]]},"page":"3315-3322","title":"Watershed vulnerability to losses of agricultural chemicals: Interactions of chemistry, hydrology, and land-use","type":"article-journal","volume":"34"},"uris":["http://www.mendeley.com/documents/?uuid=224a6ee2-4217-4a86-b546-0c4cd399f63a"]}],"mendeley":{"formattedCitation":"&lt;sup&gt;5&lt;/sup&gt;","plainTextFormattedCitation":"5","previouslyFormattedCitation":"&lt;sup&gt;5&lt;/sup&gt;"},"properties":{"noteIndex":0},"schema":"https://github.com/citation-style-language/schema/raw/master/csl-citation.json"}</w:instrText>
      </w:r>
      <w:r w:rsidR="00694227" w:rsidRPr="00694227">
        <w:rPr>
          <w:rFonts w:ascii="Times New Roman" w:hAnsi="Times New Roman"/>
          <w:color w:val="0070C0"/>
          <w:lang w:eastAsia="zh-CN"/>
        </w:rPr>
        <w:fldChar w:fldCharType="separate"/>
      </w:r>
      <w:r w:rsidR="00694227" w:rsidRPr="00694227">
        <w:rPr>
          <w:rFonts w:ascii="Times New Roman" w:hAnsi="Times New Roman"/>
          <w:noProof/>
          <w:color w:val="0070C0"/>
          <w:vertAlign w:val="superscript"/>
          <w:lang w:eastAsia="zh-CN"/>
        </w:rPr>
        <w:t>5</w:t>
      </w:r>
      <w:r w:rsidR="00694227" w:rsidRPr="00694227">
        <w:rPr>
          <w:rFonts w:ascii="Times New Roman" w:hAnsi="Times New Roman"/>
          <w:color w:val="0070C0"/>
          <w:lang w:eastAsia="zh-CN"/>
        </w:rPr>
        <w:fldChar w:fldCharType="end"/>
      </w:r>
      <w:r w:rsidRPr="00E547AD">
        <w:rPr>
          <w:rFonts w:ascii="Times New Roman" w:hAnsi="Times New Roman"/>
          <w:lang w:eastAsia="zh-CN"/>
        </w:rPr>
        <w:t>. The calculation formula is as follows:</w:t>
      </w:r>
    </w:p>
    <w:p w14:paraId="7605A2B2" w14:textId="77777777" w:rsidR="003658D8" w:rsidRPr="00E547AD" w:rsidRDefault="003658D8" w:rsidP="003658D8">
      <w:pPr>
        <w:ind w:firstLineChars="250" w:firstLine="525"/>
        <w:rPr>
          <w:rFonts w:ascii="Times New Roman" w:hAnsi="Times New Roman" w:cs="Times New Roman"/>
        </w:rPr>
      </w:pPr>
      <m:oMathPara>
        <m:oMathParaPr>
          <m:jc m:val="left"/>
        </m:oMathParaPr>
        <m:oMath>
          <m:r>
            <m:rPr>
              <m:sty m:val="p"/>
            </m:rPr>
            <w:rPr>
              <w:rFonts w:ascii="Cambria Math" w:hAnsi="Cambria Math" w:cs="Times New Roman"/>
            </w:rPr>
            <m:t xml:space="preserve">                                    </m:t>
          </m:r>
          <w:bookmarkStart w:id="2" w:name="_Hlk130027617"/>
          <m:r>
            <m:rPr>
              <m:sty m:val="p"/>
            </m:rPr>
            <w:rPr>
              <w:rFonts w:ascii="Cambria Math" w:hAnsi="Cambria Math" w:cs="Times New Roman"/>
            </w:rPr>
            <m:t>LI=PI·SI</m:t>
          </m:r>
        </m:oMath>
      </m:oMathPara>
    </w:p>
    <w:p w14:paraId="513F85E4" w14:textId="77777777" w:rsidR="003658D8" w:rsidRPr="00E547AD" w:rsidRDefault="003658D8" w:rsidP="003658D8">
      <w:pPr>
        <w:ind w:firstLineChars="400" w:firstLine="840"/>
        <w:rPr>
          <w:rFonts w:ascii="Times New Roman" w:hAnsi="Times New Roman" w:cs="Times New Roman"/>
        </w:rPr>
      </w:pPr>
      <m:oMathPara>
        <m:oMathParaPr>
          <m:jc m:val="left"/>
        </m:oMathParaPr>
        <m:oMath>
          <m:r>
            <m:rPr>
              <m:sty m:val="p"/>
            </m:rPr>
            <w:rPr>
              <w:rFonts w:ascii="Cambria Math" w:hAnsi="Cambria Math" w:cs="Times New Roman"/>
            </w:rPr>
            <m:t xml:space="preserve">                                         =</m:t>
          </m:r>
          <m:f>
            <m:fPr>
              <m:ctrlPr>
                <w:rPr>
                  <w:rFonts w:ascii="Cambria Math" w:hAnsi="Cambria Math" w:cs="Times New Roman"/>
                </w:rPr>
              </m:ctrlPr>
            </m:fPr>
            <m:num>
              <m:r>
                <w:rPr>
                  <w:rFonts w:ascii="Cambria Math" w:hAnsi="Cambria Math" w:cs="Times New Roman"/>
                </w:rPr>
                <m:t>prec-0.4(</m:t>
              </m:r>
              <m:f>
                <m:fPr>
                  <m:ctrlPr>
                    <w:rPr>
                      <w:rFonts w:ascii="Cambria Math" w:hAnsi="Cambria Math" w:cs="Times New Roman"/>
                    </w:rPr>
                  </m:ctrlPr>
                </m:fPr>
                <m:num>
                  <m:r>
                    <w:rPr>
                      <w:rFonts w:ascii="Cambria Math" w:hAnsi="Cambria Math" w:cs="Times New Roman"/>
                    </w:rPr>
                    <m:t>25400</m:t>
                  </m:r>
                </m:num>
                <m:den>
                  <m:r>
                    <w:rPr>
                      <w:rFonts w:ascii="Cambria Math" w:hAnsi="Cambria Math" w:cs="Times New Roman"/>
                    </w:rPr>
                    <m:t>CN</m:t>
                  </m:r>
                </m:den>
              </m:f>
              <m:r>
                <w:rPr>
                  <w:rFonts w:ascii="Cambria Math" w:eastAsia="微软雅黑" w:hAnsi="Cambria Math" w:cs="Times New Roman"/>
                </w:rPr>
                <m:t>-</m:t>
              </m:r>
              <m:r>
                <w:rPr>
                  <w:rFonts w:ascii="Cambria Math" w:hAnsi="Cambria Math" w:cs="Times New Roman"/>
                </w:rPr>
                <m:t>254)</m:t>
              </m:r>
            </m:num>
            <m:den>
              <m:r>
                <w:rPr>
                  <w:rFonts w:ascii="Cambria Math" w:hAnsi="Cambria Math" w:cs="Times New Roman"/>
                </w:rPr>
                <m:t>prec+0.6(</m:t>
              </m:r>
              <m:f>
                <m:fPr>
                  <m:ctrlPr>
                    <w:rPr>
                      <w:rFonts w:ascii="Cambria Math" w:hAnsi="Cambria Math" w:cs="Times New Roman"/>
                    </w:rPr>
                  </m:ctrlPr>
                </m:fPr>
                <m:num>
                  <m:r>
                    <w:rPr>
                      <w:rFonts w:ascii="Cambria Math" w:hAnsi="Cambria Math" w:cs="Times New Roman"/>
                    </w:rPr>
                    <m:t>25400</m:t>
                  </m:r>
                </m:num>
                <m:den>
                  <m:r>
                    <w:rPr>
                      <w:rFonts w:ascii="Cambria Math" w:hAnsi="Cambria Math" w:cs="Times New Roman"/>
                    </w:rPr>
                    <m:t>CN</m:t>
                  </m:r>
                </m:den>
              </m:f>
              <m:r>
                <w:rPr>
                  <w:rFonts w:ascii="Cambria Math" w:eastAsia="微软雅黑" w:hAnsi="Cambria Math" w:cs="Times New Roman"/>
                </w:rPr>
                <m:t>-</m:t>
              </m:r>
              <m:r>
                <w:rPr>
                  <w:rFonts w:ascii="Cambria Math" w:hAnsi="Cambria Math" w:cs="Times New Roman"/>
                </w:rPr>
                <m:t>254)</m:t>
              </m:r>
            </m:den>
          </m:f>
          <m:r>
            <w:rPr>
              <w:rFonts w:ascii="Cambria Math" w:hAnsi="Cambria Math" w:cs="Times New Roman"/>
            </w:rPr>
            <m:t>×</m:t>
          </m:r>
          <m:rad>
            <m:radPr>
              <m:ctrlPr>
                <w:rPr>
                  <w:rFonts w:ascii="Cambria Math" w:hAnsi="Cambria Math" w:cs="Times New Roman"/>
                  <w:i/>
                </w:rPr>
              </m:ctrlPr>
            </m:radPr>
            <m:deg>
              <m:r>
                <w:rPr>
                  <w:rFonts w:ascii="Cambria Math" w:hAnsi="Cambria Math" w:cs="Times New Roman"/>
                </w:rPr>
                <m:t>3</m:t>
              </m:r>
            </m:deg>
            <m:e>
              <m:r>
                <w:rPr>
                  <w:rFonts w:ascii="Cambria Math" w:hAnsi="Cambria Math" w:cs="Times New Roman"/>
                </w:rPr>
                <m:t>2×</m:t>
              </m:r>
              <m:f>
                <m:fPr>
                  <m:ctrlPr>
                    <w:rPr>
                      <w:rFonts w:ascii="Cambria Math" w:hAnsi="Cambria Math" w:cs="Times New Roman"/>
                      <w:i/>
                    </w:rPr>
                  </m:ctrlPr>
                </m:fPr>
                <m:num>
                  <m:r>
                    <w:rPr>
                      <w:rFonts w:ascii="Cambria Math" w:hAnsi="Cambria Math" w:cs="Times New Roman"/>
                    </w:rPr>
                    <m:t>prec(ls)</m:t>
                  </m:r>
                </m:num>
                <m:den>
                  <m:r>
                    <w:rPr>
                      <w:rFonts w:ascii="Cambria Math" w:hAnsi="Cambria Math" w:cs="Times New Roman"/>
                    </w:rPr>
                    <m:t>prec</m:t>
                  </m:r>
                </m:den>
              </m:f>
            </m:e>
          </m:rad>
        </m:oMath>
      </m:oMathPara>
    </w:p>
    <w:bookmarkEnd w:id="2"/>
    <w:p w14:paraId="0D006628" w14:textId="71474136"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 xml:space="preserve">where </w:t>
      </w:r>
      <w:proofErr w:type="spellStart"/>
      <w:r w:rsidRPr="00FE6B47">
        <w:rPr>
          <w:rFonts w:ascii="Times New Roman" w:hAnsi="Times New Roman"/>
          <w:i/>
          <w:lang w:eastAsia="zh-CN"/>
        </w:rPr>
        <w:t>prec</w:t>
      </w:r>
      <w:proofErr w:type="spellEnd"/>
      <w:r w:rsidRPr="00E547AD">
        <w:rPr>
          <w:rFonts w:ascii="Times New Roman" w:hAnsi="Times New Roman"/>
          <w:lang w:eastAsia="zh-CN"/>
        </w:rPr>
        <w:t xml:space="preserve"> and </w:t>
      </w:r>
      <w:proofErr w:type="spellStart"/>
      <w:r w:rsidRPr="00FE6B47">
        <w:rPr>
          <w:rFonts w:ascii="Times New Roman" w:hAnsi="Times New Roman"/>
          <w:i/>
          <w:lang w:eastAsia="zh-CN"/>
        </w:rPr>
        <w:t>prec</w:t>
      </w:r>
      <w:proofErr w:type="spellEnd"/>
      <w:r w:rsidRPr="00FE6B47">
        <w:rPr>
          <w:rFonts w:ascii="Times New Roman" w:hAnsi="Times New Roman"/>
          <w:i/>
          <w:lang w:eastAsia="zh-CN"/>
        </w:rPr>
        <w:t xml:space="preserve"> (ls)</w:t>
      </w:r>
      <w:r w:rsidRPr="00E547AD">
        <w:rPr>
          <w:rFonts w:ascii="Times New Roman" w:hAnsi="Times New Roman"/>
          <w:lang w:eastAsia="zh-CN"/>
        </w:rPr>
        <w:t xml:space="preserve"> represent the annual rainfall (mm) and the total rainfall (mm) during the non-flood season (November to May of the following year), respectively</w:t>
      </w:r>
    </w:p>
    <w:p w14:paraId="635BB657" w14:textId="09423880" w:rsidR="003658D8" w:rsidRPr="00E547AD" w:rsidRDefault="001102FE" w:rsidP="001102FE">
      <w:pPr>
        <w:pStyle w:val="TAMainText"/>
        <w:spacing w:line="400" w:lineRule="exact"/>
        <w:rPr>
          <w:rFonts w:ascii="Times New Roman" w:hAnsi="Times New Roman"/>
          <w:lang w:eastAsia="zh-CN"/>
        </w:rPr>
      </w:pPr>
      <w:r>
        <w:rPr>
          <w:rFonts w:ascii="Times New Roman" w:hAnsi="Times New Roman"/>
          <w:lang w:eastAsia="zh-CN"/>
        </w:rPr>
        <w:t xml:space="preserve">(5) </w:t>
      </w:r>
      <w:r w:rsidR="003658D8" w:rsidRPr="00E547AD">
        <w:rPr>
          <w:rFonts w:ascii="Times New Roman" w:hAnsi="Times New Roman"/>
          <w:lang w:eastAsia="zh-CN"/>
        </w:rPr>
        <w:t xml:space="preserve">The </w:t>
      </w:r>
      <w:proofErr w:type="spellStart"/>
      <w:r w:rsidR="006479D7">
        <w:rPr>
          <w:rFonts w:ascii="Times New Roman" w:hAnsi="Times New Roman"/>
          <w:lang w:eastAsia="zh-CN"/>
        </w:rPr>
        <w:t>retain</w:t>
      </w:r>
      <w:proofErr w:type="spellEnd"/>
      <w:r w:rsidR="003658D8" w:rsidRPr="00E547AD">
        <w:rPr>
          <w:rFonts w:ascii="Times New Roman" w:hAnsi="Times New Roman"/>
          <w:lang w:eastAsia="zh-CN"/>
        </w:rPr>
        <w:t xml:space="preserve"> </w:t>
      </w:r>
      <w:r w:rsidR="006479D7">
        <w:rPr>
          <w:rFonts w:ascii="Times New Roman" w:hAnsi="Times New Roman"/>
          <w:lang w:eastAsia="zh-CN"/>
        </w:rPr>
        <w:t>index</w:t>
      </w:r>
      <w:r w:rsidR="003658D8" w:rsidRPr="00E547AD">
        <w:rPr>
          <w:rFonts w:ascii="Times New Roman" w:hAnsi="Times New Roman"/>
          <w:lang w:eastAsia="zh-CN"/>
        </w:rPr>
        <w:t xml:space="preserve"> (RI) is constructed to represent the likelihood of pollutants being intercepted by vegetation buffer strips during the migration process to water bodies</w:t>
      </w:r>
      <w:r w:rsidR="00694227" w:rsidRPr="00694227">
        <w:rPr>
          <w:rFonts w:ascii="Times New Roman" w:hAnsi="Times New Roman"/>
          <w:color w:val="0070C0"/>
          <w:lang w:eastAsia="zh-CN"/>
        </w:rPr>
        <w:fldChar w:fldCharType="begin" w:fldLock="1"/>
      </w:r>
      <w:r w:rsidR="00694227" w:rsidRPr="00694227">
        <w:rPr>
          <w:rFonts w:ascii="Times New Roman" w:hAnsi="Times New Roman"/>
          <w:color w:val="0070C0"/>
          <w:lang w:eastAsia="zh-CN"/>
        </w:rPr>
        <w:instrText>ADDIN CSL_CITATION {"citationItems":[{"id":"ITEM-1","itemData":{"DOI":"10.13209/j.0479-8023.2021.049","ISSN":"04798023","abstract":"The Dianchi watershed Basin was selected as a typical watershed. Considering the differences of regional natural geography, hydrometeorology and human activities, using 1 km×1 km grid data, the detailed simulation calculation of the pollutants entering the water source of agricultural sources is carried out. The rainfall driving factors, terrain driving factors, surface runoff factor, underground storage/groundwater runoff factor and interception factor are obtained. The average comprehensive water inflow coefficients of TN and TP from agricultural sources in Dianchi Basin in 2016 are 0.447 and 0.342 respectively, and the actual water inflow loads of TN and TP from agricultural sources in 2016 are 577.39 t and 167.62 t respectively. The results show that the discharge of agricultural source pollutants and the load of influent water have significant spatial variation in Dianchi Lake Basin. 81.0% of nitrogen and 74.2% of phosphorus were concentrated in Caohai land area and the north coast of the open sea. The largest emission was in the upper reaches of Panlong River, with nitrogen and phosphorus accounting for 21.9% and 20.2% respectively. It is also found that livestock and poultry breeding account for more than 90% of the total TN and TP emissions of from agricultural sources, which should be the focus of agricultural source pollution control.","author":[{"dropping-particle":"","family":"Hu","given":"Qing","non-dropping-particle":"","parse-names":false,"suffix":""},{"dropping-particle":"","family":"Guo","given":"Huaicheng","non-dropping-particle":"","parse-names":false,"suffix":""},{"dropping-particle":"","family":"Wang","given":"Yuqi","non-dropping-particle":"","parse-names":false,"suffix":""},{"dropping-particle":"","family":"Zhang","given":"Yang","non-dropping-particle":"","parse-names":false,"suffix":""},{"dropping-particle":"","family":"Li","given":"Zheng","non-dropping-particle":"","parse-names":false,"suffix":""},{"dropping-particle":"","family":"Fu","given":"Zhenghui","non-dropping-particle":"","parse-names":false,"suffix":""},{"dropping-particle":"","family":"Lu","given":"Wentao","non-dropping-particle":"","parse-names":false,"suffix":""}],"container-title":"Beijing Daxue Xuebao (Ziran Kexue Ban)/Acta Scientiarum Naturalium Universitatis Pekinensis","id":"ITEM-1","issue":"4","issued":{"date-parts":[["2021"]]},"page":"739-748","title":"Estimation of Agricultural Non-point Source Pollution Loads Based on Improved Export Coefficient Model","type":"article-journal","volume":"57"},"uris":["http://www.mendeley.com/documents/?uuid=0ad28644-a0b7-456d-9d99-feacfdf5bbed"]}],"mendeley":{"formattedCitation":"&lt;sup&gt;1&lt;/sup&gt;","plainTextFormattedCitation":"1"},"properties":{"noteIndex":0},"schema":"https://github.com/citation-style-language/schema/raw/master/csl-citation.json"}</w:instrText>
      </w:r>
      <w:r w:rsidR="00694227" w:rsidRPr="00694227">
        <w:rPr>
          <w:rFonts w:ascii="Times New Roman" w:hAnsi="Times New Roman"/>
          <w:color w:val="0070C0"/>
          <w:lang w:eastAsia="zh-CN"/>
        </w:rPr>
        <w:fldChar w:fldCharType="separate"/>
      </w:r>
      <w:r w:rsidR="00694227" w:rsidRPr="00694227">
        <w:rPr>
          <w:rFonts w:ascii="Times New Roman" w:hAnsi="Times New Roman"/>
          <w:noProof/>
          <w:color w:val="0070C0"/>
          <w:vertAlign w:val="superscript"/>
          <w:lang w:eastAsia="zh-CN"/>
        </w:rPr>
        <w:t>1</w:t>
      </w:r>
      <w:r w:rsidR="00694227" w:rsidRPr="00694227">
        <w:rPr>
          <w:rFonts w:ascii="Times New Roman" w:hAnsi="Times New Roman"/>
          <w:color w:val="0070C0"/>
          <w:lang w:eastAsia="zh-CN"/>
        </w:rPr>
        <w:fldChar w:fldCharType="end"/>
      </w:r>
      <w:r w:rsidR="003658D8" w:rsidRPr="00E547AD">
        <w:rPr>
          <w:rFonts w:ascii="Times New Roman" w:hAnsi="Times New Roman"/>
          <w:lang w:eastAsia="zh-CN"/>
        </w:rPr>
        <w:t>. The calculation formula is as follows:</w:t>
      </w:r>
    </w:p>
    <w:p w14:paraId="506F0F15" w14:textId="77777777" w:rsidR="003658D8" w:rsidRPr="00E547AD" w:rsidRDefault="003658D8" w:rsidP="003658D8">
      <w:pPr>
        <w:ind w:firstLine="480"/>
        <w:jc w:val="center"/>
        <w:rPr>
          <w:rFonts w:ascii="Times New Roman" w:hAnsi="Times New Roman" w:cs="Times New Roman"/>
        </w:rPr>
      </w:pPr>
      <m:oMathPara>
        <m:oMath>
          <m:r>
            <m:rPr>
              <m:sty m:val="p"/>
            </m:rPr>
            <w:rPr>
              <w:rFonts w:ascii="Cambria Math" w:hAnsi="Cambria Math" w:cs="Times New Roman"/>
            </w:rPr>
            <m:t>RI=ln</m:t>
          </m:r>
          <m:d>
            <m:dPr>
              <m:ctrlPr>
                <w:rPr>
                  <w:rFonts w:ascii="Cambria Math" w:hAnsi="Cambria Math" w:cs="Times New Roman"/>
                </w:rPr>
              </m:ctrlPr>
            </m:dPr>
            <m:e>
              <m:f>
                <m:fPr>
                  <m:ctrlPr>
                    <w:rPr>
                      <w:rFonts w:ascii="Cambria Math" w:hAnsi="Cambria Math" w:cs="Times New Roman"/>
                    </w:rPr>
                  </m:ctrlPr>
                </m:fPr>
                <m:num>
                  <m:nary>
                    <m:naryPr>
                      <m:chr m:val="∑"/>
                      <m:limLoc m:val="undOvr"/>
                      <m:ctrlPr>
                        <w:rPr>
                          <w:rFonts w:ascii="Cambria Math" w:hAnsi="Cambria Math" w:cs="Times New Roman"/>
                          <w:i/>
                        </w:rPr>
                      </m:ctrlPr>
                    </m:naryPr>
                    <m:sub>
                      <m:r>
                        <w:rPr>
                          <w:rFonts w:ascii="Cambria Math" w:hAnsi="Cambria Math" w:cs="Times New Roman"/>
                        </w:rPr>
                        <m:t>DA=1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T</m:t>
                          </m:r>
                        </m:e>
                        <m:sub>
                          <m:sSub>
                            <m:sSubPr>
                              <m:ctrlPr>
                                <w:rPr>
                                  <w:rFonts w:ascii="Cambria Math" w:hAnsi="Cambria Math" w:cs="Times New Roman"/>
                                  <w:i/>
                                </w:rPr>
                              </m:ctrlPr>
                            </m:sSubPr>
                            <m:e>
                              <m:r>
                                <w:rPr>
                                  <w:rFonts w:ascii="Cambria Math" w:hAnsi="Cambria Math" w:cs="Times New Roman"/>
                                </w:rPr>
                                <m:t>DA</m:t>
                              </m:r>
                            </m:e>
                            <m:sub>
                              <m:r>
                                <w:rPr>
                                  <w:rFonts w:ascii="Cambria Math" w:hAnsi="Cambria Math" w:cs="Times New Roman"/>
                                </w:rPr>
                                <m:t>i</m:t>
                              </m:r>
                            </m:sub>
                          </m:sSub>
                        </m:sub>
                      </m:sSub>
                    </m:e>
                  </m:nary>
                </m:num>
                <m:den>
                  <m:func>
                    <m:funcPr>
                      <m:ctrlPr>
                        <w:rPr>
                          <w:rFonts w:ascii="Cambria Math" w:hAnsi="Cambria Math" w:cs="Times New Roman"/>
                          <w:i/>
                        </w:rPr>
                      </m:ctrlPr>
                    </m:funcPr>
                    <m:fName>
                      <m:r>
                        <m:rPr>
                          <m:sty m:val="p"/>
                        </m:rPr>
                        <w:rPr>
                          <w:rFonts w:ascii="Cambria Math" w:hAnsi="Cambria Math" w:cs="Times New Roman"/>
                        </w:rPr>
                        <m:t>tan</m:t>
                      </m:r>
                    </m:fName>
                    <m:e>
                      <m:sSub>
                        <m:sSubPr>
                          <m:ctrlPr>
                            <w:rPr>
                              <w:rFonts w:ascii="Cambria Math" w:hAnsi="Cambria Math" w:cs="Times New Roman"/>
                              <w:i/>
                            </w:rPr>
                          </m:ctrlPr>
                        </m:sSubPr>
                        <m:e>
                          <m:r>
                            <w:rPr>
                              <w:rFonts w:ascii="Cambria Math" w:hAnsi="Cambria Math" w:cs="Times New Roman"/>
                            </w:rPr>
                            <m:t>B</m:t>
                          </m:r>
                        </m:e>
                        <m:sub>
                          <m:sSub>
                            <m:sSubPr>
                              <m:ctrlPr>
                                <w:rPr>
                                  <w:rFonts w:ascii="Cambria Math" w:hAnsi="Cambria Math" w:cs="Times New Roman"/>
                                  <w:i/>
                                </w:rPr>
                              </m:ctrlPr>
                            </m:sSubPr>
                            <m:e>
                              <m:r>
                                <w:rPr>
                                  <w:rFonts w:ascii="Cambria Math" w:hAnsi="Cambria Math" w:cs="Times New Roman"/>
                                </w:rPr>
                                <m:t>DA</m:t>
                              </m:r>
                            </m:e>
                            <m:sub>
                              <m:r>
                                <w:rPr>
                                  <w:rFonts w:ascii="Cambria Math" w:hAnsi="Cambria Math" w:cs="Times New Roman"/>
                                </w:rPr>
                                <m:t>i</m:t>
                              </m:r>
                            </m:sub>
                          </m:sSub>
                        </m:sub>
                      </m:sSub>
                    </m:e>
                  </m:func>
                </m:den>
              </m:f>
            </m:e>
          </m:d>
        </m:oMath>
      </m:oMathPara>
    </w:p>
    <w:p w14:paraId="4FA26C8C" w14:textId="2B7E5CC7" w:rsidR="003658D8" w:rsidRPr="00E547AD" w:rsidRDefault="003658D8" w:rsidP="003658D8">
      <w:pPr>
        <w:pStyle w:val="TAMainText"/>
        <w:spacing w:line="400" w:lineRule="exact"/>
        <w:ind w:firstLineChars="100" w:firstLine="240"/>
        <w:rPr>
          <w:rFonts w:ascii="Times New Roman" w:hAnsi="Times New Roman"/>
          <w:lang w:eastAsia="zh-CN"/>
        </w:rPr>
      </w:pPr>
      <w:r w:rsidRPr="00E547AD">
        <w:rPr>
          <w:rFonts w:ascii="Times New Roman" w:hAnsi="Times New Roman"/>
          <w:lang w:eastAsia="zh-CN"/>
        </w:rPr>
        <w:t>where DA represents the vegetation type, ∑</w:t>
      </w:r>
      <w:proofErr w:type="spellStart"/>
      <w:r w:rsidRPr="00E547AD">
        <w:rPr>
          <w:rFonts w:ascii="Times New Roman" w:hAnsi="Times New Roman"/>
          <w:lang w:eastAsia="zh-CN"/>
        </w:rPr>
        <w:t>T</w:t>
      </w:r>
      <w:r w:rsidRPr="005C33F1">
        <w:rPr>
          <w:rFonts w:ascii="Times New Roman" w:hAnsi="Times New Roman"/>
          <w:vertAlign w:val="subscript"/>
          <w:lang w:eastAsia="zh-CN"/>
        </w:rPr>
        <w:t>DA</w:t>
      </w:r>
      <w:r w:rsidRPr="00E547AD">
        <w:rPr>
          <w:rFonts w:ascii="Times New Roman" w:hAnsi="Times New Roman"/>
          <w:lang w:eastAsia="zh-CN"/>
        </w:rPr>
        <w:t>_</w:t>
      </w:r>
      <w:r w:rsidRPr="00E547AD">
        <w:rPr>
          <w:rFonts w:ascii="Times New Roman" w:hAnsi="Times New Roman"/>
          <w:vertAlign w:val="subscript"/>
          <w:lang w:eastAsia="zh-CN"/>
        </w:rPr>
        <w:t>i</w:t>
      </w:r>
      <w:proofErr w:type="spellEnd"/>
      <w:r w:rsidRPr="00E547AD">
        <w:rPr>
          <w:rFonts w:ascii="Times New Roman" w:hAnsi="Times New Roman"/>
          <w:lang w:eastAsia="zh-CN"/>
        </w:rPr>
        <w:t xml:space="preserve"> is the accumulated interception efficiency of forests and grasslands, and </w:t>
      </w:r>
      <w:proofErr w:type="spellStart"/>
      <w:r w:rsidRPr="00E547AD">
        <w:rPr>
          <w:rFonts w:ascii="Times New Roman" w:hAnsi="Times New Roman"/>
          <w:lang w:eastAsia="zh-CN"/>
        </w:rPr>
        <w:t>B</w:t>
      </w:r>
      <w:r w:rsidRPr="005C33F1">
        <w:rPr>
          <w:rFonts w:ascii="Times New Roman" w:hAnsi="Times New Roman"/>
          <w:vertAlign w:val="subscript"/>
          <w:lang w:eastAsia="zh-CN"/>
        </w:rPr>
        <w:t>DA</w:t>
      </w:r>
      <w:r w:rsidRPr="00E547AD">
        <w:rPr>
          <w:rFonts w:ascii="Times New Roman" w:hAnsi="Times New Roman"/>
          <w:lang w:eastAsia="zh-CN"/>
        </w:rPr>
        <w:t>_</w:t>
      </w:r>
      <w:r w:rsidRPr="00E547AD">
        <w:rPr>
          <w:rFonts w:ascii="Times New Roman" w:hAnsi="Times New Roman"/>
          <w:vertAlign w:val="subscript"/>
          <w:lang w:eastAsia="zh-CN"/>
        </w:rPr>
        <w:t>i</w:t>
      </w:r>
      <w:proofErr w:type="spellEnd"/>
      <w:r w:rsidRPr="00E547AD">
        <w:rPr>
          <w:rFonts w:ascii="Times New Roman" w:hAnsi="Times New Roman"/>
          <w:lang w:eastAsia="zh-CN"/>
        </w:rPr>
        <w:t xml:space="preserve"> is the average slope.</w:t>
      </w:r>
    </w:p>
    <w:p w14:paraId="781FDA9E" w14:textId="1ED569DD" w:rsidR="003658D8" w:rsidRDefault="00140B7E" w:rsidP="001C6F27">
      <w:pPr>
        <w:spacing w:line="480" w:lineRule="auto"/>
        <w:jc w:val="left"/>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R</w:t>
      </w:r>
      <w:r>
        <w:rPr>
          <w:rFonts w:ascii="Times New Roman" w:eastAsia="宋体" w:hAnsi="Times New Roman" w:cs="Times New Roman"/>
          <w:b/>
          <w:bCs/>
          <w:sz w:val="24"/>
          <w:szCs w:val="24"/>
        </w:rPr>
        <w:t>eference</w:t>
      </w:r>
    </w:p>
    <w:p w14:paraId="7EA525DA" w14:textId="4FDCE842" w:rsidR="00694227" w:rsidRPr="00694227" w:rsidRDefault="00140B7E" w:rsidP="00694227">
      <w:pPr>
        <w:autoSpaceDE w:val="0"/>
        <w:autoSpaceDN w:val="0"/>
        <w:adjustRightInd w:val="0"/>
        <w:ind w:left="241" w:hangingChars="100" w:hanging="241"/>
        <w:rPr>
          <w:rFonts w:ascii="Times New Roman" w:hAnsi="Times New Roman" w:cs="Times New Roman"/>
          <w:noProof/>
          <w:kern w:val="0"/>
          <w:sz w:val="24"/>
          <w:szCs w:val="24"/>
        </w:rPr>
      </w:pPr>
      <w:r>
        <w:rPr>
          <w:rFonts w:ascii="Times New Roman" w:eastAsia="宋体" w:hAnsi="Times New Roman" w:cs="Times New Roman"/>
          <w:b/>
          <w:bCs/>
          <w:sz w:val="24"/>
          <w:szCs w:val="24"/>
        </w:rPr>
        <w:fldChar w:fldCharType="begin" w:fldLock="1"/>
      </w:r>
      <w:r>
        <w:rPr>
          <w:rFonts w:ascii="Times New Roman" w:eastAsia="宋体" w:hAnsi="Times New Roman" w:cs="Times New Roman"/>
          <w:b/>
          <w:bCs/>
          <w:sz w:val="24"/>
          <w:szCs w:val="24"/>
        </w:rPr>
        <w:instrText xml:space="preserve">ADDIN Mendeley Bibliography CSL_BIBLIOGRAPHY </w:instrText>
      </w:r>
      <w:r>
        <w:rPr>
          <w:rFonts w:ascii="Times New Roman" w:eastAsia="宋体" w:hAnsi="Times New Roman" w:cs="Times New Roman"/>
          <w:b/>
          <w:bCs/>
          <w:sz w:val="24"/>
          <w:szCs w:val="24"/>
        </w:rPr>
        <w:fldChar w:fldCharType="separate"/>
      </w:r>
      <w:r w:rsidR="00694227" w:rsidRPr="00694227">
        <w:rPr>
          <w:rFonts w:ascii="Times New Roman" w:hAnsi="Times New Roman" w:cs="Times New Roman"/>
          <w:noProof/>
          <w:kern w:val="0"/>
          <w:sz w:val="24"/>
          <w:szCs w:val="24"/>
        </w:rPr>
        <w:t xml:space="preserve">(1) Hu, Q.; Guo, H.; Wang, Y.; Zhang, Y.; Li, Z.; Fu, Z.; Lu, W. Estimation of Agricultural Non-Point Source Pollution Loads Based on Improved Export Coefficient Model. </w:t>
      </w:r>
      <w:r w:rsidR="00694227" w:rsidRPr="00694227">
        <w:rPr>
          <w:rFonts w:ascii="Times New Roman" w:hAnsi="Times New Roman" w:cs="Times New Roman"/>
          <w:i/>
          <w:iCs/>
          <w:noProof/>
          <w:kern w:val="0"/>
          <w:sz w:val="24"/>
          <w:szCs w:val="24"/>
        </w:rPr>
        <w:t>Beijing Daxue Xuebao (Ziran Kexue Ban)/Acta Sci. Nat. Univ. Pekin.</w:t>
      </w:r>
      <w:r w:rsidR="00694227" w:rsidRPr="00694227">
        <w:rPr>
          <w:rFonts w:ascii="Times New Roman" w:hAnsi="Times New Roman" w:cs="Times New Roman"/>
          <w:noProof/>
          <w:kern w:val="0"/>
          <w:sz w:val="24"/>
          <w:szCs w:val="24"/>
        </w:rPr>
        <w:t xml:space="preserve"> </w:t>
      </w:r>
      <w:r w:rsidR="00694227" w:rsidRPr="00694227">
        <w:rPr>
          <w:rFonts w:ascii="Times New Roman" w:hAnsi="Times New Roman" w:cs="Times New Roman"/>
          <w:b/>
          <w:bCs/>
          <w:noProof/>
          <w:kern w:val="0"/>
          <w:sz w:val="24"/>
          <w:szCs w:val="24"/>
        </w:rPr>
        <w:t>2021</w:t>
      </w:r>
      <w:r w:rsidR="00694227" w:rsidRPr="00694227">
        <w:rPr>
          <w:rFonts w:ascii="Times New Roman" w:hAnsi="Times New Roman" w:cs="Times New Roman"/>
          <w:noProof/>
          <w:kern w:val="0"/>
          <w:sz w:val="24"/>
          <w:szCs w:val="24"/>
        </w:rPr>
        <w:t xml:space="preserve">, </w:t>
      </w:r>
      <w:r w:rsidR="00694227" w:rsidRPr="00694227">
        <w:rPr>
          <w:rFonts w:ascii="Times New Roman" w:hAnsi="Times New Roman" w:cs="Times New Roman"/>
          <w:i/>
          <w:iCs/>
          <w:noProof/>
          <w:kern w:val="0"/>
          <w:sz w:val="24"/>
          <w:szCs w:val="24"/>
        </w:rPr>
        <w:t>57</w:t>
      </w:r>
      <w:r w:rsidR="00694227" w:rsidRPr="00694227">
        <w:rPr>
          <w:rFonts w:ascii="Times New Roman" w:hAnsi="Times New Roman" w:cs="Times New Roman"/>
          <w:noProof/>
          <w:kern w:val="0"/>
          <w:sz w:val="24"/>
          <w:szCs w:val="24"/>
        </w:rPr>
        <w:t xml:space="preserve"> (4), 739–748. https://doi.org/10.13209/j.0479-8023.2021.049.</w:t>
      </w:r>
    </w:p>
    <w:p w14:paraId="20AA0D90" w14:textId="68C7060A" w:rsidR="00694227" w:rsidRPr="00694227" w:rsidRDefault="00694227" w:rsidP="00694227">
      <w:pPr>
        <w:autoSpaceDE w:val="0"/>
        <w:autoSpaceDN w:val="0"/>
        <w:adjustRightInd w:val="0"/>
        <w:ind w:left="240" w:hangingChars="100" w:hanging="240"/>
        <w:rPr>
          <w:rFonts w:ascii="Times New Roman" w:hAnsi="Times New Roman" w:cs="Times New Roman"/>
          <w:noProof/>
          <w:kern w:val="0"/>
          <w:sz w:val="24"/>
          <w:szCs w:val="24"/>
        </w:rPr>
      </w:pPr>
      <w:r w:rsidRPr="00694227">
        <w:rPr>
          <w:rFonts w:ascii="Times New Roman" w:hAnsi="Times New Roman" w:cs="Times New Roman"/>
          <w:noProof/>
          <w:kern w:val="0"/>
          <w:sz w:val="24"/>
          <w:szCs w:val="24"/>
        </w:rPr>
        <w:t xml:space="preserve">(2) Cai, M.; Li, H.; Zhuang, Y.; Wang, Q. Application of Modified Export Coefficient Method in Polluting Load Estimation of Non-Point Source Pollution. </w:t>
      </w:r>
      <w:r w:rsidRPr="00694227">
        <w:rPr>
          <w:rFonts w:ascii="Times New Roman" w:hAnsi="Times New Roman" w:cs="Times New Roman"/>
          <w:i/>
          <w:iCs/>
          <w:noProof/>
          <w:kern w:val="0"/>
          <w:sz w:val="24"/>
          <w:szCs w:val="24"/>
        </w:rPr>
        <w:t>J. Hydraul. Eng.</w:t>
      </w:r>
      <w:r w:rsidRPr="00694227">
        <w:rPr>
          <w:rFonts w:ascii="Times New Roman" w:hAnsi="Times New Roman" w:cs="Times New Roman"/>
          <w:noProof/>
          <w:kern w:val="0"/>
          <w:sz w:val="24"/>
          <w:szCs w:val="24"/>
        </w:rPr>
        <w:t xml:space="preserve"> </w:t>
      </w:r>
      <w:r w:rsidRPr="00694227">
        <w:rPr>
          <w:rFonts w:ascii="Times New Roman" w:hAnsi="Times New Roman" w:cs="Times New Roman"/>
          <w:b/>
          <w:bCs/>
          <w:noProof/>
          <w:kern w:val="0"/>
          <w:sz w:val="24"/>
          <w:szCs w:val="24"/>
        </w:rPr>
        <w:t>2004</w:t>
      </w:r>
      <w:r w:rsidRPr="00694227">
        <w:rPr>
          <w:rFonts w:ascii="Times New Roman" w:hAnsi="Times New Roman" w:cs="Times New Roman"/>
          <w:noProof/>
          <w:kern w:val="0"/>
          <w:sz w:val="24"/>
          <w:szCs w:val="24"/>
        </w:rPr>
        <w:t xml:space="preserve">, </w:t>
      </w:r>
      <w:r w:rsidRPr="00694227">
        <w:rPr>
          <w:rFonts w:ascii="Times New Roman" w:hAnsi="Times New Roman" w:cs="Times New Roman"/>
          <w:i/>
          <w:iCs/>
          <w:noProof/>
          <w:kern w:val="0"/>
          <w:sz w:val="24"/>
          <w:szCs w:val="24"/>
        </w:rPr>
        <w:t>7</w:t>
      </w:r>
      <w:r w:rsidRPr="00694227">
        <w:rPr>
          <w:rFonts w:ascii="Times New Roman" w:hAnsi="Times New Roman" w:cs="Times New Roman"/>
          <w:noProof/>
          <w:kern w:val="0"/>
          <w:sz w:val="24"/>
          <w:szCs w:val="24"/>
        </w:rPr>
        <w:t>, 40–45.</w:t>
      </w:r>
    </w:p>
    <w:p w14:paraId="36D72069" w14:textId="363F9436" w:rsidR="00694227" w:rsidRPr="00694227" w:rsidRDefault="00694227" w:rsidP="00694227">
      <w:pPr>
        <w:autoSpaceDE w:val="0"/>
        <w:autoSpaceDN w:val="0"/>
        <w:adjustRightInd w:val="0"/>
        <w:ind w:left="240" w:hangingChars="100" w:hanging="240"/>
        <w:rPr>
          <w:rFonts w:ascii="Times New Roman" w:hAnsi="Times New Roman" w:cs="Times New Roman"/>
          <w:noProof/>
          <w:kern w:val="0"/>
          <w:sz w:val="24"/>
          <w:szCs w:val="24"/>
        </w:rPr>
      </w:pPr>
      <w:r w:rsidRPr="00694227">
        <w:rPr>
          <w:rFonts w:ascii="Times New Roman" w:hAnsi="Times New Roman" w:cs="Times New Roman"/>
          <w:noProof/>
          <w:kern w:val="0"/>
          <w:sz w:val="24"/>
          <w:szCs w:val="24"/>
        </w:rPr>
        <w:t xml:space="preserve">(3) Quansah, J. E.; Engel, B. A.; Chaubey, I. Tillage Practicses Usage in Early Warning Prediction of Atrazine Pollution. </w:t>
      </w:r>
      <w:r w:rsidRPr="00694227">
        <w:rPr>
          <w:rFonts w:ascii="Times New Roman" w:hAnsi="Times New Roman" w:cs="Times New Roman"/>
          <w:i/>
          <w:iCs/>
          <w:noProof/>
          <w:kern w:val="0"/>
          <w:sz w:val="24"/>
          <w:szCs w:val="24"/>
        </w:rPr>
        <w:t>Am. Soc. Agric. Biol. Eng.</w:t>
      </w:r>
      <w:r w:rsidRPr="00694227">
        <w:rPr>
          <w:rFonts w:ascii="Times New Roman" w:hAnsi="Times New Roman" w:cs="Times New Roman"/>
          <w:noProof/>
          <w:kern w:val="0"/>
          <w:sz w:val="24"/>
          <w:szCs w:val="24"/>
        </w:rPr>
        <w:t xml:space="preserve"> </w:t>
      </w:r>
      <w:r w:rsidRPr="00694227">
        <w:rPr>
          <w:rFonts w:ascii="Times New Roman" w:hAnsi="Times New Roman" w:cs="Times New Roman"/>
          <w:b/>
          <w:bCs/>
          <w:noProof/>
          <w:kern w:val="0"/>
          <w:sz w:val="24"/>
          <w:szCs w:val="24"/>
        </w:rPr>
        <w:t>2008</w:t>
      </w:r>
      <w:r w:rsidRPr="00694227">
        <w:rPr>
          <w:rFonts w:ascii="Times New Roman" w:hAnsi="Times New Roman" w:cs="Times New Roman"/>
          <w:noProof/>
          <w:kern w:val="0"/>
          <w:sz w:val="24"/>
          <w:szCs w:val="24"/>
        </w:rPr>
        <w:t xml:space="preserve">, </w:t>
      </w:r>
      <w:r w:rsidRPr="00694227">
        <w:rPr>
          <w:rFonts w:ascii="Times New Roman" w:hAnsi="Times New Roman" w:cs="Times New Roman"/>
          <w:i/>
          <w:iCs/>
          <w:noProof/>
          <w:kern w:val="0"/>
          <w:sz w:val="24"/>
          <w:szCs w:val="24"/>
        </w:rPr>
        <w:t>51</w:t>
      </w:r>
      <w:r w:rsidRPr="00694227">
        <w:rPr>
          <w:rFonts w:ascii="Times New Roman" w:hAnsi="Times New Roman" w:cs="Times New Roman"/>
          <w:noProof/>
          <w:kern w:val="0"/>
          <w:sz w:val="24"/>
          <w:szCs w:val="24"/>
        </w:rPr>
        <w:t xml:space="preserve"> (4), 1311–1321.</w:t>
      </w:r>
    </w:p>
    <w:p w14:paraId="7603207A" w14:textId="4025A8A5" w:rsidR="00694227" w:rsidRPr="00694227" w:rsidRDefault="00694227" w:rsidP="00694227">
      <w:pPr>
        <w:autoSpaceDE w:val="0"/>
        <w:autoSpaceDN w:val="0"/>
        <w:adjustRightInd w:val="0"/>
        <w:ind w:left="240" w:hangingChars="100" w:hanging="240"/>
        <w:rPr>
          <w:rFonts w:ascii="Times New Roman" w:hAnsi="Times New Roman" w:cs="Times New Roman"/>
          <w:noProof/>
          <w:kern w:val="0"/>
          <w:sz w:val="24"/>
          <w:szCs w:val="24"/>
        </w:rPr>
      </w:pPr>
      <w:r w:rsidRPr="00694227">
        <w:rPr>
          <w:rFonts w:ascii="Times New Roman" w:hAnsi="Times New Roman" w:cs="Times New Roman"/>
          <w:noProof/>
          <w:kern w:val="0"/>
          <w:sz w:val="24"/>
          <w:szCs w:val="24"/>
        </w:rPr>
        <w:t xml:space="preserve">(4) Hu, J.; Ma, J.; Nie, C.; Xue, L.; Zhang, Y.; Ni, F.; Deng, Y.; Liu, J.; Zhou, D.; Li, L.; Wang, Z. Attribution Analysis of Runoff Change in Min-Tuo River Basin Based on SWAT Model Simulations, China. </w:t>
      </w:r>
      <w:r w:rsidRPr="00694227">
        <w:rPr>
          <w:rFonts w:ascii="Times New Roman" w:hAnsi="Times New Roman" w:cs="Times New Roman"/>
          <w:i/>
          <w:iCs/>
          <w:noProof/>
          <w:kern w:val="0"/>
          <w:sz w:val="24"/>
          <w:szCs w:val="24"/>
        </w:rPr>
        <w:t>Sci. Rep.</w:t>
      </w:r>
      <w:r w:rsidRPr="00694227">
        <w:rPr>
          <w:rFonts w:ascii="Times New Roman" w:hAnsi="Times New Roman" w:cs="Times New Roman"/>
          <w:noProof/>
          <w:kern w:val="0"/>
          <w:sz w:val="24"/>
          <w:szCs w:val="24"/>
        </w:rPr>
        <w:t xml:space="preserve"> </w:t>
      </w:r>
      <w:r w:rsidRPr="00694227">
        <w:rPr>
          <w:rFonts w:ascii="Times New Roman" w:hAnsi="Times New Roman" w:cs="Times New Roman"/>
          <w:b/>
          <w:bCs/>
          <w:noProof/>
          <w:kern w:val="0"/>
          <w:sz w:val="24"/>
          <w:szCs w:val="24"/>
        </w:rPr>
        <w:t>2020</w:t>
      </w:r>
      <w:r w:rsidRPr="00694227">
        <w:rPr>
          <w:rFonts w:ascii="Times New Roman" w:hAnsi="Times New Roman" w:cs="Times New Roman"/>
          <w:noProof/>
          <w:kern w:val="0"/>
          <w:sz w:val="24"/>
          <w:szCs w:val="24"/>
        </w:rPr>
        <w:t xml:space="preserve">, </w:t>
      </w:r>
      <w:r w:rsidRPr="00694227">
        <w:rPr>
          <w:rFonts w:ascii="Times New Roman" w:hAnsi="Times New Roman" w:cs="Times New Roman"/>
          <w:i/>
          <w:iCs/>
          <w:noProof/>
          <w:kern w:val="0"/>
          <w:sz w:val="24"/>
          <w:szCs w:val="24"/>
        </w:rPr>
        <w:t>10</w:t>
      </w:r>
      <w:r w:rsidRPr="00694227">
        <w:rPr>
          <w:rFonts w:ascii="Times New Roman" w:hAnsi="Times New Roman" w:cs="Times New Roman"/>
          <w:noProof/>
          <w:kern w:val="0"/>
          <w:sz w:val="24"/>
          <w:szCs w:val="24"/>
        </w:rPr>
        <w:t xml:space="preserve"> (1), 1–16. https://doi.org/10.1038/s41598-020-59659-z.</w:t>
      </w:r>
    </w:p>
    <w:p w14:paraId="7101DB55" w14:textId="7FC39149" w:rsidR="00694227" w:rsidRPr="00694227" w:rsidRDefault="00694227" w:rsidP="00694227">
      <w:pPr>
        <w:autoSpaceDE w:val="0"/>
        <w:autoSpaceDN w:val="0"/>
        <w:adjustRightInd w:val="0"/>
        <w:ind w:left="240" w:hangingChars="100" w:hanging="240"/>
        <w:rPr>
          <w:rFonts w:ascii="Times New Roman" w:hAnsi="Times New Roman" w:cs="Times New Roman"/>
          <w:noProof/>
          <w:kern w:val="0"/>
          <w:sz w:val="24"/>
          <w:szCs w:val="24"/>
        </w:rPr>
      </w:pPr>
      <w:r w:rsidRPr="00694227">
        <w:rPr>
          <w:rFonts w:ascii="Times New Roman" w:hAnsi="Times New Roman" w:cs="Times New Roman"/>
          <w:noProof/>
          <w:kern w:val="0"/>
          <w:sz w:val="24"/>
          <w:szCs w:val="24"/>
        </w:rPr>
        <w:t xml:space="preserve">(5) Blanchard, P. E.; Lerch, R. N. Watershed Vulnerability to Losses of Agricultural Chemicals: Interactions of Chemistry, Hydrology, and Land-Use. </w:t>
      </w:r>
      <w:r w:rsidRPr="00694227">
        <w:rPr>
          <w:rFonts w:ascii="Times New Roman" w:hAnsi="Times New Roman" w:cs="Times New Roman"/>
          <w:i/>
          <w:iCs/>
          <w:noProof/>
          <w:kern w:val="0"/>
          <w:sz w:val="24"/>
          <w:szCs w:val="24"/>
        </w:rPr>
        <w:t>Environ. Sci. Technol.</w:t>
      </w:r>
      <w:r w:rsidRPr="00694227">
        <w:rPr>
          <w:rFonts w:ascii="Times New Roman" w:hAnsi="Times New Roman" w:cs="Times New Roman"/>
          <w:noProof/>
          <w:kern w:val="0"/>
          <w:sz w:val="24"/>
          <w:szCs w:val="24"/>
        </w:rPr>
        <w:t xml:space="preserve"> </w:t>
      </w:r>
      <w:r w:rsidRPr="00694227">
        <w:rPr>
          <w:rFonts w:ascii="Times New Roman" w:hAnsi="Times New Roman" w:cs="Times New Roman"/>
          <w:b/>
          <w:bCs/>
          <w:noProof/>
          <w:kern w:val="0"/>
          <w:sz w:val="24"/>
          <w:szCs w:val="24"/>
        </w:rPr>
        <w:t>2000</w:t>
      </w:r>
      <w:r w:rsidRPr="00694227">
        <w:rPr>
          <w:rFonts w:ascii="Times New Roman" w:hAnsi="Times New Roman" w:cs="Times New Roman"/>
          <w:noProof/>
          <w:kern w:val="0"/>
          <w:sz w:val="24"/>
          <w:szCs w:val="24"/>
        </w:rPr>
        <w:t xml:space="preserve">, </w:t>
      </w:r>
      <w:r w:rsidRPr="00694227">
        <w:rPr>
          <w:rFonts w:ascii="Times New Roman" w:hAnsi="Times New Roman" w:cs="Times New Roman"/>
          <w:i/>
          <w:iCs/>
          <w:noProof/>
          <w:kern w:val="0"/>
          <w:sz w:val="24"/>
          <w:szCs w:val="24"/>
        </w:rPr>
        <w:t>34</w:t>
      </w:r>
      <w:r w:rsidRPr="00694227">
        <w:rPr>
          <w:rFonts w:ascii="Times New Roman" w:hAnsi="Times New Roman" w:cs="Times New Roman"/>
          <w:noProof/>
          <w:kern w:val="0"/>
          <w:sz w:val="24"/>
          <w:szCs w:val="24"/>
        </w:rPr>
        <w:t xml:space="preserve"> (16), 3315–3322. https://doi.org/10.1021/es991115+.</w:t>
      </w:r>
    </w:p>
    <w:p w14:paraId="364A38B2" w14:textId="66F493F4" w:rsidR="00694227" w:rsidRPr="00694227" w:rsidRDefault="00694227" w:rsidP="00694227">
      <w:pPr>
        <w:autoSpaceDE w:val="0"/>
        <w:autoSpaceDN w:val="0"/>
        <w:adjustRightInd w:val="0"/>
        <w:spacing w:line="480" w:lineRule="auto"/>
        <w:ind w:left="640" w:hanging="640"/>
        <w:jc w:val="left"/>
        <w:rPr>
          <w:rFonts w:ascii="Times New Roman" w:hAnsi="Times New Roman" w:cs="Times New Roman"/>
          <w:noProof/>
          <w:sz w:val="24"/>
        </w:rPr>
      </w:pPr>
    </w:p>
    <w:p w14:paraId="0530E168" w14:textId="2321E8B2" w:rsidR="005B1254" w:rsidRPr="00E547AD" w:rsidRDefault="00140B7E" w:rsidP="00694227">
      <w:pPr>
        <w:spacing w:line="48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lastRenderedPageBreak/>
        <w:fldChar w:fldCharType="end"/>
      </w:r>
      <w:r w:rsidR="005B1254" w:rsidRPr="00E547AD">
        <w:rPr>
          <w:rFonts w:ascii="Times New Roman" w:eastAsia="宋体" w:hAnsi="Times New Roman" w:cs="Times New Roman"/>
          <w:b/>
          <w:bCs/>
          <w:sz w:val="24"/>
          <w:szCs w:val="24"/>
        </w:rPr>
        <w:t>Table S</w:t>
      </w:r>
      <w:r w:rsidR="004360DE" w:rsidRPr="00E547AD">
        <w:rPr>
          <w:rFonts w:ascii="Times New Roman" w:eastAsia="宋体" w:hAnsi="Times New Roman" w:cs="Times New Roman"/>
          <w:b/>
          <w:bCs/>
          <w:sz w:val="24"/>
          <w:szCs w:val="24"/>
        </w:rPr>
        <w:t>1</w:t>
      </w:r>
      <w:r w:rsidR="005B1254" w:rsidRPr="00E547AD">
        <w:rPr>
          <w:rFonts w:ascii="Times New Roman" w:eastAsia="宋体" w:hAnsi="Times New Roman" w:cs="Times New Roman"/>
          <w:bCs/>
          <w:sz w:val="24"/>
          <w:szCs w:val="24"/>
        </w:rPr>
        <w:t>. The geographical coordinates of the sampling sites</w:t>
      </w:r>
    </w:p>
    <w:tbl>
      <w:tblPr>
        <w:tblStyle w:val="4-50"/>
        <w:tblW w:w="5000" w:type="pct"/>
        <w:tblLook w:val="04A0" w:firstRow="1" w:lastRow="0" w:firstColumn="1" w:lastColumn="0" w:noHBand="0" w:noVBand="1"/>
      </w:tblPr>
      <w:tblGrid>
        <w:gridCol w:w="2059"/>
        <w:gridCol w:w="2255"/>
        <w:gridCol w:w="1983"/>
        <w:gridCol w:w="1999"/>
      </w:tblGrid>
      <w:tr w:rsidR="005B1254" w:rsidRPr="00E547AD" w14:paraId="460071BC" w14:textId="77777777" w:rsidTr="00AC1E60">
        <w:trPr>
          <w:cnfStyle w:val="100000000000" w:firstRow="1" w:lastRow="0" w:firstColumn="0" w:lastColumn="0" w:oddVBand="0" w:evenVBand="0" w:oddHBand="0" w:evenHBand="0" w:firstRowFirstColumn="0" w:firstRowLastColumn="0" w:lastRowFirstColumn="0" w:lastRowLastColumn="0"/>
          <w:trHeight w:hRule="exact" w:val="398"/>
        </w:trPr>
        <w:tc>
          <w:tcPr>
            <w:cnfStyle w:val="001000000000" w:firstRow="0" w:lastRow="0" w:firstColumn="1" w:lastColumn="0" w:oddVBand="0" w:evenVBand="0" w:oddHBand="0" w:evenHBand="0" w:firstRowFirstColumn="0" w:firstRowLastColumn="0" w:lastRowFirstColumn="0" w:lastRowLastColumn="0"/>
            <w:tcW w:w="1241" w:type="pct"/>
            <w:noWrap/>
            <w:vAlign w:val="center"/>
            <w:hideMark/>
          </w:tcPr>
          <w:p w14:paraId="3F43F7DF" w14:textId="77777777" w:rsidR="005B1254" w:rsidRPr="00E547AD" w:rsidRDefault="005B1254" w:rsidP="00AC1E60">
            <w:pPr>
              <w:widowControl/>
              <w:jc w:val="center"/>
              <w:rPr>
                <w:rFonts w:eastAsia="等线"/>
                <w:sz w:val="24"/>
                <w:szCs w:val="24"/>
              </w:rPr>
            </w:pPr>
            <w:r w:rsidRPr="00E547AD">
              <w:rPr>
                <w:rFonts w:eastAsia="等线"/>
                <w:sz w:val="24"/>
                <w:szCs w:val="24"/>
              </w:rPr>
              <w:t>Site</w:t>
            </w:r>
          </w:p>
        </w:tc>
        <w:tc>
          <w:tcPr>
            <w:tcW w:w="1359" w:type="pct"/>
            <w:noWrap/>
            <w:vAlign w:val="center"/>
            <w:hideMark/>
          </w:tcPr>
          <w:p w14:paraId="2D88FC7B" w14:textId="77777777" w:rsidR="005B1254" w:rsidRPr="00E547AD" w:rsidRDefault="005B1254" w:rsidP="00AC1E60">
            <w:pPr>
              <w:widowControl/>
              <w:jc w:val="center"/>
              <w:cnfStyle w:val="100000000000" w:firstRow="1" w:lastRow="0" w:firstColumn="0" w:lastColumn="0" w:oddVBand="0" w:evenVBand="0" w:oddHBand="0" w:evenHBand="0" w:firstRowFirstColumn="0" w:firstRowLastColumn="0" w:lastRowFirstColumn="0" w:lastRowLastColumn="0"/>
              <w:rPr>
                <w:rFonts w:eastAsia="等线"/>
                <w:sz w:val="24"/>
                <w:szCs w:val="24"/>
              </w:rPr>
            </w:pPr>
            <w:r w:rsidRPr="00E547AD">
              <w:rPr>
                <w:rFonts w:eastAsia="等线"/>
                <w:sz w:val="24"/>
                <w:szCs w:val="24"/>
              </w:rPr>
              <w:t>Lon</w:t>
            </w:r>
          </w:p>
        </w:tc>
        <w:tc>
          <w:tcPr>
            <w:tcW w:w="1195" w:type="pct"/>
            <w:noWrap/>
            <w:vAlign w:val="center"/>
            <w:hideMark/>
          </w:tcPr>
          <w:p w14:paraId="7B4AC5AF" w14:textId="77777777" w:rsidR="005B1254" w:rsidRPr="00E547AD" w:rsidRDefault="005B1254" w:rsidP="00AC1E60">
            <w:pPr>
              <w:widowControl/>
              <w:jc w:val="center"/>
              <w:cnfStyle w:val="100000000000" w:firstRow="1" w:lastRow="0" w:firstColumn="0" w:lastColumn="0" w:oddVBand="0" w:evenVBand="0" w:oddHBand="0" w:evenHBand="0" w:firstRowFirstColumn="0" w:firstRowLastColumn="0" w:lastRowFirstColumn="0" w:lastRowLastColumn="0"/>
              <w:rPr>
                <w:rFonts w:eastAsia="等线"/>
                <w:sz w:val="24"/>
                <w:szCs w:val="24"/>
              </w:rPr>
            </w:pPr>
            <w:r w:rsidRPr="00E547AD">
              <w:rPr>
                <w:rFonts w:eastAsia="等线"/>
                <w:sz w:val="24"/>
                <w:szCs w:val="24"/>
              </w:rPr>
              <w:t>Lat</w:t>
            </w:r>
          </w:p>
        </w:tc>
        <w:tc>
          <w:tcPr>
            <w:tcW w:w="1205" w:type="pct"/>
            <w:noWrap/>
            <w:vAlign w:val="center"/>
            <w:hideMark/>
          </w:tcPr>
          <w:p w14:paraId="7E8EC3F4" w14:textId="77777777" w:rsidR="005B1254" w:rsidRPr="00E547AD" w:rsidRDefault="005B1254" w:rsidP="00AC1E60">
            <w:pPr>
              <w:widowControl/>
              <w:jc w:val="center"/>
              <w:cnfStyle w:val="100000000000" w:firstRow="1" w:lastRow="0" w:firstColumn="0" w:lastColumn="0" w:oddVBand="0" w:evenVBand="0" w:oddHBand="0" w:evenHBand="0" w:firstRowFirstColumn="0" w:firstRowLastColumn="0" w:lastRowFirstColumn="0" w:lastRowLastColumn="0"/>
              <w:rPr>
                <w:rFonts w:eastAsia="等线"/>
                <w:sz w:val="24"/>
                <w:szCs w:val="24"/>
              </w:rPr>
            </w:pPr>
            <w:r w:rsidRPr="00E547AD">
              <w:rPr>
                <w:rFonts w:eastAsia="等线"/>
                <w:sz w:val="24"/>
                <w:szCs w:val="24"/>
              </w:rPr>
              <w:t>Type</w:t>
            </w:r>
          </w:p>
        </w:tc>
      </w:tr>
      <w:tr w:rsidR="005B1254" w:rsidRPr="00E547AD" w14:paraId="402A0EFE"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hideMark/>
          </w:tcPr>
          <w:p w14:paraId="1A180A26"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LJX</w:t>
            </w:r>
          </w:p>
        </w:tc>
        <w:tc>
          <w:tcPr>
            <w:tcW w:w="1359" w:type="pct"/>
            <w:noWrap/>
            <w:vAlign w:val="bottom"/>
          </w:tcPr>
          <w:p w14:paraId="274A06E8"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103.0846</w:t>
            </w:r>
          </w:p>
        </w:tc>
        <w:tc>
          <w:tcPr>
            <w:tcW w:w="1195" w:type="pct"/>
            <w:noWrap/>
            <w:vAlign w:val="bottom"/>
          </w:tcPr>
          <w:p w14:paraId="5DF7C779"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35.76318</w:t>
            </w:r>
          </w:p>
        </w:tc>
        <w:tc>
          <w:tcPr>
            <w:tcW w:w="1205" w:type="pct"/>
            <w:noWrap/>
          </w:tcPr>
          <w:p w14:paraId="05AC5AF5"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5FF59BB7"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288E03A3"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SPT</w:t>
            </w:r>
          </w:p>
        </w:tc>
        <w:tc>
          <w:tcPr>
            <w:tcW w:w="1359" w:type="pct"/>
            <w:noWrap/>
            <w:vAlign w:val="bottom"/>
          </w:tcPr>
          <w:p w14:paraId="6B2E4420"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105.2307</w:t>
            </w:r>
          </w:p>
        </w:tc>
        <w:tc>
          <w:tcPr>
            <w:tcW w:w="1195" w:type="pct"/>
            <w:noWrap/>
            <w:vAlign w:val="bottom"/>
          </w:tcPr>
          <w:p w14:paraId="68F87D81"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37.48605</w:t>
            </w:r>
          </w:p>
        </w:tc>
        <w:tc>
          <w:tcPr>
            <w:tcW w:w="1205" w:type="pct"/>
            <w:noWrap/>
          </w:tcPr>
          <w:p w14:paraId="1FF39DB3"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6CDF2554"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6C63A474"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YC</w:t>
            </w:r>
          </w:p>
        </w:tc>
        <w:tc>
          <w:tcPr>
            <w:tcW w:w="1359" w:type="pct"/>
            <w:noWrap/>
            <w:vAlign w:val="bottom"/>
          </w:tcPr>
          <w:p w14:paraId="45A8E256"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106.4118</w:t>
            </w:r>
          </w:p>
        </w:tc>
        <w:tc>
          <w:tcPr>
            <w:tcW w:w="1195" w:type="pct"/>
            <w:noWrap/>
            <w:vAlign w:val="bottom"/>
          </w:tcPr>
          <w:p w14:paraId="7AFFE22B"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38.35767</w:t>
            </w:r>
          </w:p>
        </w:tc>
        <w:tc>
          <w:tcPr>
            <w:tcW w:w="1205" w:type="pct"/>
            <w:noWrap/>
          </w:tcPr>
          <w:p w14:paraId="45947F29"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48416BF7"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47A7F4C3"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BYGL</w:t>
            </w:r>
          </w:p>
        </w:tc>
        <w:tc>
          <w:tcPr>
            <w:tcW w:w="1359" w:type="pct"/>
            <w:noWrap/>
            <w:vAlign w:val="bottom"/>
          </w:tcPr>
          <w:p w14:paraId="1165B063"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107.032</w:t>
            </w:r>
          </w:p>
        </w:tc>
        <w:tc>
          <w:tcPr>
            <w:tcW w:w="1195" w:type="pct"/>
            <w:noWrap/>
            <w:vAlign w:val="bottom"/>
          </w:tcPr>
          <w:p w14:paraId="052C8DC0"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40.31105</w:t>
            </w:r>
          </w:p>
        </w:tc>
        <w:tc>
          <w:tcPr>
            <w:tcW w:w="1205" w:type="pct"/>
            <w:noWrap/>
          </w:tcPr>
          <w:p w14:paraId="1946B2AE"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472810D6"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10D7C9C3"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SHHK</w:t>
            </w:r>
          </w:p>
        </w:tc>
        <w:tc>
          <w:tcPr>
            <w:tcW w:w="1359" w:type="pct"/>
            <w:noWrap/>
            <w:vAlign w:val="bottom"/>
          </w:tcPr>
          <w:p w14:paraId="4163E7F3"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108.7755</w:t>
            </w:r>
          </w:p>
        </w:tc>
        <w:tc>
          <w:tcPr>
            <w:tcW w:w="1195" w:type="pct"/>
            <w:noWrap/>
            <w:vAlign w:val="bottom"/>
          </w:tcPr>
          <w:p w14:paraId="30C63244"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40.61455</w:t>
            </w:r>
          </w:p>
        </w:tc>
        <w:tc>
          <w:tcPr>
            <w:tcW w:w="1205" w:type="pct"/>
            <w:noWrap/>
          </w:tcPr>
          <w:p w14:paraId="3E831E24"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304EABA3"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671ABFB3"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HFC</w:t>
            </w:r>
          </w:p>
        </w:tc>
        <w:tc>
          <w:tcPr>
            <w:tcW w:w="1359" w:type="pct"/>
            <w:noWrap/>
            <w:vAlign w:val="bottom"/>
          </w:tcPr>
          <w:p w14:paraId="08392DB1"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111.1956</w:t>
            </w:r>
          </w:p>
        </w:tc>
        <w:tc>
          <w:tcPr>
            <w:tcW w:w="1195" w:type="pct"/>
            <w:noWrap/>
            <w:vAlign w:val="bottom"/>
          </w:tcPr>
          <w:p w14:paraId="149A95DA"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39.22355</w:t>
            </w:r>
          </w:p>
        </w:tc>
        <w:tc>
          <w:tcPr>
            <w:tcW w:w="1205" w:type="pct"/>
            <w:noWrap/>
          </w:tcPr>
          <w:p w14:paraId="097388AB"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05EC5295"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551B69CD"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WB</w:t>
            </w:r>
          </w:p>
        </w:tc>
        <w:tc>
          <w:tcPr>
            <w:tcW w:w="1359" w:type="pct"/>
            <w:noWrap/>
            <w:vAlign w:val="bottom"/>
          </w:tcPr>
          <w:p w14:paraId="17B6B24B"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110.7258</w:t>
            </w:r>
          </w:p>
        </w:tc>
        <w:tc>
          <w:tcPr>
            <w:tcW w:w="1195" w:type="pct"/>
            <w:noWrap/>
            <w:vAlign w:val="bottom"/>
          </w:tcPr>
          <w:p w14:paraId="56E2B266"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37.44767</w:t>
            </w:r>
          </w:p>
        </w:tc>
        <w:tc>
          <w:tcPr>
            <w:tcW w:w="1205" w:type="pct"/>
            <w:noWrap/>
          </w:tcPr>
          <w:p w14:paraId="51E2D403"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0D252907"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5628C949"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LM</w:t>
            </w:r>
          </w:p>
        </w:tc>
        <w:tc>
          <w:tcPr>
            <w:tcW w:w="1359" w:type="pct"/>
            <w:noWrap/>
            <w:vAlign w:val="bottom"/>
          </w:tcPr>
          <w:p w14:paraId="75BEE755"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110.5884</w:t>
            </w:r>
          </w:p>
        </w:tc>
        <w:tc>
          <w:tcPr>
            <w:tcW w:w="1195" w:type="pct"/>
            <w:noWrap/>
            <w:vAlign w:val="bottom"/>
          </w:tcPr>
          <w:p w14:paraId="37BDA4B6"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35.67768</w:t>
            </w:r>
          </w:p>
        </w:tc>
        <w:tc>
          <w:tcPr>
            <w:tcW w:w="1205" w:type="pct"/>
            <w:noWrap/>
          </w:tcPr>
          <w:p w14:paraId="0164A546"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22646F14"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65A3A6AB"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TG</w:t>
            </w:r>
          </w:p>
        </w:tc>
        <w:tc>
          <w:tcPr>
            <w:tcW w:w="1359" w:type="pct"/>
            <w:noWrap/>
            <w:vAlign w:val="bottom"/>
          </w:tcPr>
          <w:p w14:paraId="523DCB25"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110.2833</w:t>
            </w:r>
          </w:p>
        </w:tc>
        <w:tc>
          <w:tcPr>
            <w:tcW w:w="1195" w:type="pct"/>
            <w:noWrap/>
            <w:vAlign w:val="bottom"/>
          </w:tcPr>
          <w:p w14:paraId="27A72482"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34.64658</w:t>
            </w:r>
          </w:p>
        </w:tc>
        <w:tc>
          <w:tcPr>
            <w:tcW w:w="1205" w:type="pct"/>
            <w:noWrap/>
          </w:tcPr>
          <w:p w14:paraId="52304F70"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Main stream</w:t>
            </w:r>
          </w:p>
        </w:tc>
      </w:tr>
      <w:tr w:rsidR="005B1254" w:rsidRPr="00E547AD" w14:paraId="3F79DE61"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0206219E"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HSR</w:t>
            </w:r>
          </w:p>
        </w:tc>
        <w:tc>
          <w:tcPr>
            <w:tcW w:w="1359" w:type="pct"/>
            <w:noWrap/>
            <w:vAlign w:val="bottom"/>
          </w:tcPr>
          <w:p w14:paraId="40446B96"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103.348</w:t>
            </w:r>
          </w:p>
        </w:tc>
        <w:tc>
          <w:tcPr>
            <w:tcW w:w="1195" w:type="pct"/>
            <w:noWrap/>
            <w:vAlign w:val="bottom"/>
          </w:tcPr>
          <w:p w14:paraId="1BE03463"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36.12306</w:t>
            </w:r>
          </w:p>
        </w:tc>
        <w:tc>
          <w:tcPr>
            <w:tcW w:w="1205" w:type="pct"/>
            <w:noWrap/>
          </w:tcPr>
          <w:p w14:paraId="03466ABF"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Tributary</w:t>
            </w:r>
          </w:p>
        </w:tc>
      </w:tr>
      <w:tr w:rsidR="005B1254" w:rsidRPr="00E547AD" w14:paraId="43F370B6"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41550389"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TR</w:t>
            </w:r>
          </w:p>
        </w:tc>
        <w:tc>
          <w:tcPr>
            <w:tcW w:w="1359" w:type="pct"/>
            <w:noWrap/>
            <w:vAlign w:val="bottom"/>
          </w:tcPr>
          <w:p w14:paraId="75757682"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103.5328</w:t>
            </w:r>
          </w:p>
        </w:tc>
        <w:tc>
          <w:tcPr>
            <w:tcW w:w="1195" w:type="pct"/>
            <w:noWrap/>
            <w:vAlign w:val="bottom"/>
          </w:tcPr>
          <w:p w14:paraId="36504DF7"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35.82066</w:t>
            </w:r>
          </w:p>
        </w:tc>
        <w:tc>
          <w:tcPr>
            <w:tcW w:w="1205" w:type="pct"/>
            <w:noWrap/>
          </w:tcPr>
          <w:p w14:paraId="41CBD692"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Tributary</w:t>
            </w:r>
          </w:p>
        </w:tc>
      </w:tr>
      <w:tr w:rsidR="005B1254" w:rsidRPr="00E547AD" w14:paraId="08EB9C82" w14:textId="77777777" w:rsidTr="00AC1E60">
        <w:trPr>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6D37CF81"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FR</w:t>
            </w:r>
          </w:p>
        </w:tc>
        <w:tc>
          <w:tcPr>
            <w:tcW w:w="1359" w:type="pct"/>
            <w:noWrap/>
            <w:vAlign w:val="bottom"/>
          </w:tcPr>
          <w:p w14:paraId="11207C74"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110.4714</w:t>
            </w:r>
          </w:p>
        </w:tc>
        <w:tc>
          <w:tcPr>
            <w:tcW w:w="1195" w:type="pct"/>
            <w:noWrap/>
            <w:vAlign w:val="bottom"/>
          </w:tcPr>
          <w:p w14:paraId="265339E5"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2"/>
              </w:rPr>
              <w:t>35.34409</w:t>
            </w:r>
          </w:p>
        </w:tc>
        <w:tc>
          <w:tcPr>
            <w:tcW w:w="1205" w:type="pct"/>
            <w:noWrap/>
          </w:tcPr>
          <w:p w14:paraId="61E0D22B" w14:textId="77777777" w:rsidR="005B1254" w:rsidRPr="00E547AD" w:rsidRDefault="005B1254" w:rsidP="00AC1E60">
            <w:pPr>
              <w:widowControl/>
              <w:jc w:val="center"/>
              <w:cnfStyle w:val="000000000000" w:firstRow="0" w:lastRow="0" w:firstColumn="0" w:lastColumn="0" w:oddVBand="0" w:evenVBand="0" w:oddHBand="0" w:evenHBand="0" w:firstRowFirstColumn="0" w:firstRowLastColumn="0" w:lastRowFirstColumn="0" w:lastRowLastColumn="0"/>
              <w:rPr>
                <w:rFonts w:eastAsia="等线"/>
                <w:color w:val="000000"/>
                <w:sz w:val="24"/>
                <w:szCs w:val="24"/>
              </w:rPr>
            </w:pPr>
            <w:r w:rsidRPr="00E547AD">
              <w:rPr>
                <w:rFonts w:eastAsia="等线"/>
                <w:color w:val="000000"/>
                <w:sz w:val="24"/>
                <w:szCs w:val="24"/>
              </w:rPr>
              <w:t>Tributary</w:t>
            </w:r>
          </w:p>
        </w:tc>
      </w:tr>
      <w:tr w:rsidR="005B1254" w:rsidRPr="00E547AD" w14:paraId="42F88C87" w14:textId="77777777" w:rsidTr="00AC1E60">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1241" w:type="pct"/>
            <w:noWrap/>
          </w:tcPr>
          <w:p w14:paraId="51DFD562" w14:textId="77777777" w:rsidR="005B1254" w:rsidRPr="00E547AD" w:rsidRDefault="005B1254" w:rsidP="00AC1E60">
            <w:pPr>
              <w:widowControl/>
              <w:jc w:val="center"/>
              <w:rPr>
                <w:rFonts w:eastAsia="等线"/>
                <w:color w:val="000000"/>
                <w:sz w:val="24"/>
                <w:szCs w:val="24"/>
              </w:rPr>
            </w:pPr>
            <w:r w:rsidRPr="00E547AD">
              <w:rPr>
                <w:rFonts w:eastAsia="等线"/>
                <w:color w:val="000000"/>
                <w:sz w:val="24"/>
                <w:szCs w:val="24"/>
              </w:rPr>
              <w:t>WR</w:t>
            </w:r>
          </w:p>
        </w:tc>
        <w:tc>
          <w:tcPr>
            <w:tcW w:w="1359" w:type="pct"/>
            <w:noWrap/>
            <w:vAlign w:val="bottom"/>
          </w:tcPr>
          <w:p w14:paraId="1309E63F"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110.1192</w:t>
            </w:r>
          </w:p>
        </w:tc>
        <w:tc>
          <w:tcPr>
            <w:tcW w:w="1195" w:type="pct"/>
            <w:noWrap/>
            <w:vAlign w:val="bottom"/>
          </w:tcPr>
          <w:p w14:paraId="7DD2C9F6"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2"/>
              </w:rPr>
              <w:t>34.66187</w:t>
            </w:r>
          </w:p>
        </w:tc>
        <w:tc>
          <w:tcPr>
            <w:tcW w:w="1205" w:type="pct"/>
            <w:noWrap/>
          </w:tcPr>
          <w:p w14:paraId="1A9AE2B9" w14:textId="77777777" w:rsidR="005B1254" w:rsidRPr="00E547AD" w:rsidRDefault="005B1254" w:rsidP="00AC1E60">
            <w:pPr>
              <w:widowControl/>
              <w:jc w:val="center"/>
              <w:cnfStyle w:val="000000100000" w:firstRow="0" w:lastRow="0" w:firstColumn="0" w:lastColumn="0" w:oddVBand="0" w:evenVBand="0" w:oddHBand="1" w:evenHBand="0" w:firstRowFirstColumn="0" w:firstRowLastColumn="0" w:lastRowFirstColumn="0" w:lastRowLastColumn="0"/>
              <w:rPr>
                <w:rFonts w:eastAsia="等线"/>
                <w:color w:val="000000"/>
                <w:sz w:val="24"/>
                <w:szCs w:val="24"/>
              </w:rPr>
            </w:pPr>
            <w:r w:rsidRPr="00E547AD">
              <w:rPr>
                <w:rFonts w:eastAsia="等线"/>
                <w:color w:val="000000"/>
                <w:sz w:val="24"/>
                <w:szCs w:val="24"/>
              </w:rPr>
              <w:t>Tributary</w:t>
            </w:r>
          </w:p>
        </w:tc>
      </w:tr>
    </w:tbl>
    <w:p w14:paraId="20BAFB30" w14:textId="5433EF28" w:rsidR="005B1254" w:rsidRPr="00E547AD" w:rsidRDefault="005B1254" w:rsidP="00AC1E60">
      <w:pPr>
        <w:spacing w:line="0" w:lineRule="atLeast"/>
        <w:jc w:val="left"/>
        <w:rPr>
          <w:rFonts w:ascii="Times New Roman" w:eastAsia="宋体" w:hAnsi="Times New Roman" w:cs="Times New Roman"/>
          <w:b/>
          <w:bCs/>
          <w:sz w:val="24"/>
          <w:szCs w:val="24"/>
        </w:rPr>
      </w:pPr>
    </w:p>
    <w:p w14:paraId="76724B3E" w14:textId="0B79C2BD" w:rsidR="001C6F27" w:rsidRPr="00E547AD" w:rsidRDefault="001C6F27" w:rsidP="008E78E0">
      <w:pPr>
        <w:spacing w:line="400" w:lineRule="atLeast"/>
        <w:outlineLvl w:val="1"/>
        <w:rPr>
          <w:rFonts w:ascii="Times New Roman" w:hAnsi="Times New Roman" w:cs="Times New Roman"/>
          <w:b/>
          <w:sz w:val="24"/>
          <w:szCs w:val="24"/>
        </w:rPr>
      </w:pPr>
      <w:r w:rsidRPr="00E547AD">
        <w:rPr>
          <w:rFonts w:ascii="Times New Roman" w:eastAsia="宋体" w:hAnsi="Times New Roman" w:cs="Times New Roman"/>
          <w:b/>
          <w:bCs/>
          <w:sz w:val="24"/>
          <w:szCs w:val="24"/>
        </w:rPr>
        <w:t>Table S</w:t>
      </w:r>
      <w:r w:rsidR="004360DE" w:rsidRPr="00E547AD">
        <w:rPr>
          <w:rFonts w:ascii="Times New Roman" w:eastAsia="宋体" w:hAnsi="Times New Roman" w:cs="Times New Roman"/>
          <w:b/>
          <w:bCs/>
          <w:sz w:val="24"/>
          <w:szCs w:val="24"/>
        </w:rPr>
        <w:t>2</w:t>
      </w:r>
      <w:r w:rsidRPr="00E547AD">
        <w:rPr>
          <w:rFonts w:ascii="Times New Roman" w:eastAsia="宋体" w:hAnsi="Times New Roman" w:cs="Times New Roman"/>
          <w:b/>
          <w:bCs/>
          <w:sz w:val="24"/>
          <w:szCs w:val="24"/>
        </w:rPr>
        <w:t xml:space="preserve"> </w:t>
      </w:r>
      <w:r w:rsidRPr="00E547AD">
        <w:rPr>
          <w:rFonts w:ascii="Times New Roman" w:hAnsi="Times New Roman" w:cs="Times New Roman"/>
          <w:sz w:val="24"/>
          <w:szCs w:val="24"/>
        </w:rPr>
        <w:t xml:space="preserve">Optimized UPLC - MS/MS parameters </w:t>
      </w:r>
      <w:r w:rsidR="00CD2934" w:rsidRPr="00E547AD">
        <w:rPr>
          <w:rFonts w:ascii="Times New Roman" w:hAnsi="Times New Roman" w:cs="Times New Roman"/>
          <w:sz w:val="24"/>
          <w:szCs w:val="24"/>
        </w:rPr>
        <w:t>of atrazine and its</w:t>
      </w:r>
      <w:r w:rsidRPr="00E547AD">
        <w:rPr>
          <w:rFonts w:ascii="Times New Roman" w:hAnsi="Times New Roman" w:cs="Times New Roman"/>
          <w:sz w:val="24"/>
          <w:szCs w:val="24"/>
        </w:rPr>
        <w:t xml:space="preserve">, surrogates, and internal standards. </w:t>
      </w:r>
    </w:p>
    <w:tbl>
      <w:tblPr>
        <w:tblStyle w:val="4-5"/>
        <w:tblW w:w="7933" w:type="dxa"/>
        <w:tblLayout w:type="fixed"/>
        <w:tblLook w:val="04A0" w:firstRow="1" w:lastRow="0" w:firstColumn="1" w:lastColumn="0" w:noHBand="0" w:noVBand="1"/>
      </w:tblPr>
      <w:tblGrid>
        <w:gridCol w:w="2405"/>
        <w:gridCol w:w="2552"/>
        <w:gridCol w:w="1417"/>
        <w:gridCol w:w="1559"/>
      </w:tblGrid>
      <w:tr w:rsidR="001C6F27" w:rsidRPr="00E547AD" w14:paraId="2E1C566F" w14:textId="77777777" w:rsidTr="00CD2934">
        <w:trPr>
          <w:cnfStyle w:val="100000000000" w:firstRow="1" w:lastRow="0" w:firstColumn="0" w:lastColumn="0" w:oddVBand="0" w:evenVBand="0" w:oddHBand="0"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2405" w:type="dxa"/>
            <w:vAlign w:val="center"/>
          </w:tcPr>
          <w:p w14:paraId="19BD74C0" w14:textId="77777777" w:rsidR="001C6F27" w:rsidRPr="00E547AD" w:rsidRDefault="001C6F27" w:rsidP="00CD2934">
            <w:pPr>
              <w:spacing w:line="0" w:lineRule="atLeast"/>
              <w:rPr>
                <w:rFonts w:eastAsia="宋体"/>
                <w:b w:val="0"/>
                <w:bCs w:val="0"/>
                <w:sz w:val="24"/>
                <w:szCs w:val="24"/>
              </w:rPr>
            </w:pPr>
            <w:r w:rsidRPr="00E547AD">
              <w:rPr>
                <w:rFonts w:eastAsia="宋体"/>
                <w:sz w:val="24"/>
                <w:szCs w:val="24"/>
              </w:rPr>
              <w:t>Chemical</w:t>
            </w:r>
          </w:p>
        </w:tc>
        <w:tc>
          <w:tcPr>
            <w:tcW w:w="2552" w:type="dxa"/>
            <w:vAlign w:val="center"/>
          </w:tcPr>
          <w:p w14:paraId="14349A88" w14:textId="77777777" w:rsidR="001C6F27" w:rsidRPr="00E547AD" w:rsidRDefault="001C6F27" w:rsidP="00CD2934">
            <w:pPr>
              <w:spacing w:line="0" w:lineRule="atLeas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MRM (Q1/Q3, Da)</w:t>
            </w:r>
          </w:p>
        </w:tc>
        <w:tc>
          <w:tcPr>
            <w:tcW w:w="1417" w:type="dxa"/>
            <w:vAlign w:val="center"/>
          </w:tcPr>
          <w:p w14:paraId="41191066" w14:textId="77777777" w:rsidR="001C6F27" w:rsidRPr="00E547AD" w:rsidRDefault="001C6F27" w:rsidP="00CD2934">
            <w:pPr>
              <w:spacing w:line="0" w:lineRule="atLeas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DP (V)</w:t>
            </w:r>
          </w:p>
        </w:tc>
        <w:tc>
          <w:tcPr>
            <w:tcW w:w="1559" w:type="dxa"/>
            <w:vAlign w:val="center"/>
          </w:tcPr>
          <w:p w14:paraId="7996ED59" w14:textId="77777777" w:rsidR="001C6F27" w:rsidRPr="00E547AD" w:rsidRDefault="001C6F27" w:rsidP="00CD2934">
            <w:pPr>
              <w:spacing w:line="0" w:lineRule="atLeas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CE (eV)</w:t>
            </w:r>
          </w:p>
        </w:tc>
      </w:tr>
      <w:tr w:rsidR="001C6F27" w:rsidRPr="00E547AD" w14:paraId="49E4452E" w14:textId="77777777" w:rsidTr="001C6F27">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405" w:type="dxa"/>
          </w:tcPr>
          <w:p w14:paraId="102CB7C5" w14:textId="124ABBD3" w:rsidR="001C6F27" w:rsidRPr="00E547AD" w:rsidRDefault="001C6F27" w:rsidP="001C6F27">
            <w:pPr>
              <w:spacing w:line="0" w:lineRule="atLeast"/>
              <w:jc w:val="left"/>
              <w:rPr>
                <w:rFonts w:eastAsia="宋体"/>
                <w:sz w:val="24"/>
                <w:szCs w:val="24"/>
              </w:rPr>
            </w:pPr>
            <w:r w:rsidRPr="00E547AD">
              <w:rPr>
                <w:rFonts w:eastAsia="宋体"/>
                <w:sz w:val="24"/>
                <w:szCs w:val="24"/>
              </w:rPr>
              <w:t>A</w:t>
            </w:r>
            <w:r w:rsidR="00CD2934" w:rsidRPr="00E547AD">
              <w:rPr>
                <w:rFonts w:eastAsia="宋体"/>
                <w:sz w:val="24"/>
                <w:szCs w:val="24"/>
              </w:rPr>
              <w:t>t</w:t>
            </w:r>
            <w:r w:rsidRPr="00E547AD">
              <w:rPr>
                <w:rFonts w:eastAsia="宋体"/>
                <w:sz w:val="24"/>
                <w:szCs w:val="24"/>
              </w:rPr>
              <w:t>razine</w:t>
            </w:r>
          </w:p>
        </w:tc>
        <w:tc>
          <w:tcPr>
            <w:tcW w:w="2552" w:type="dxa"/>
          </w:tcPr>
          <w:p w14:paraId="1E92B312"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216/103.9</w:t>
            </w:r>
          </w:p>
        </w:tc>
        <w:tc>
          <w:tcPr>
            <w:tcW w:w="1417" w:type="dxa"/>
          </w:tcPr>
          <w:p w14:paraId="7CEC7D59"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90</w:t>
            </w:r>
          </w:p>
        </w:tc>
        <w:tc>
          <w:tcPr>
            <w:tcW w:w="1559" w:type="dxa"/>
          </w:tcPr>
          <w:p w14:paraId="1791A7EF"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40</w:t>
            </w:r>
          </w:p>
        </w:tc>
      </w:tr>
      <w:tr w:rsidR="001C6F27" w:rsidRPr="00E547AD" w14:paraId="20529BF9" w14:textId="77777777" w:rsidTr="001C6F27">
        <w:trPr>
          <w:trHeight w:val="247"/>
        </w:trPr>
        <w:tc>
          <w:tcPr>
            <w:cnfStyle w:val="001000000000" w:firstRow="0" w:lastRow="0" w:firstColumn="1" w:lastColumn="0" w:oddVBand="0" w:evenVBand="0" w:oddHBand="0" w:evenHBand="0" w:firstRowFirstColumn="0" w:firstRowLastColumn="0" w:lastRowFirstColumn="0" w:lastRowLastColumn="0"/>
            <w:tcW w:w="2405" w:type="dxa"/>
          </w:tcPr>
          <w:p w14:paraId="553EC8E1" w14:textId="77777777" w:rsidR="001C6F27" w:rsidRPr="00E547AD" w:rsidRDefault="001C6F27" w:rsidP="001C6F27">
            <w:pPr>
              <w:spacing w:line="0" w:lineRule="atLeast"/>
              <w:jc w:val="left"/>
              <w:rPr>
                <w:rFonts w:eastAsia="宋体"/>
                <w:sz w:val="24"/>
                <w:szCs w:val="24"/>
              </w:rPr>
            </w:pPr>
          </w:p>
        </w:tc>
        <w:tc>
          <w:tcPr>
            <w:tcW w:w="2552" w:type="dxa"/>
          </w:tcPr>
          <w:p w14:paraId="64AD5167"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216/132.1</w:t>
            </w:r>
          </w:p>
        </w:tc>
        <w:tc>
          <w:tcPr>
            <w:tcW w:w="1417" w:type="dxa"/>
          </w:tcPr>
          <w:p w14:paraId="6818CB4F"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90</w:t>
            </w:r>
          </w:p>
        </w:tc>
        <w:tc>
          <w:tcPr>
            <w:tcW w:w="1559" w:type="dxa"/>
          </w:tcPr>
          <w:p w14:paraId="1A3C8F4F"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28</w:t>
            </w:r>
          </w:p>
        </w:tc>
      </w:tr>
      <w:tr w:rsidR="001C6F27" w:rsidRPr="00E547AD" w14:paraId="38C4AC10" w14:textId="77777777" w:rsidTr="001C6F27">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405" w:type="dxa"/>
          </w:tcPr>
          <w:p w14:paraId="5F9EBCDF" w14:textId="58144386" w:rsidR="001C6F27" w:rsidRPr="00E547AD" w:rsidRDefault="001C6F27" w:rsidP="001C6F27">
            <w:pPr>
              <w:spacing w:line="0" w:lineRule="atLeast"/>
              <w:jc w:val="left"/>
              <w:rPr>
                <w:rFonts w:eastAsia="宋体"/>
                <w:sz w:val="24"/>
                <w:szCs w:val="24"/>
              </w:rPr>
            </w:pPr>
            <w:bookmarkStart w:id="3" w:name="OLE_LINK3"/>
            <w:r w:rsidRPr="00E547AD">
              <w:rPr>
                <w:rFonts w:eastAsia="宋体"/>
                <w:sz w:val="24"/>
                <w:szCs w:val="24"/>
              </w:rPr>
              <w:t>D</w:t>
            </w:r>
            <w:r w:rsidR="00CD2934" w:rsidRPr="00E547AD">
              <w:rPr>
                <w:sz w:val="24"/>
                <w:szCs w:val="24"/>
              </w:rPr>
              <w:t>esethylatrazine</w:t>
            </w:r>
            <w:r w:rsidRPr="00E547AD">
              <w:rPr>
                <w:rFonts w:eastAsia="宋体"/>
                <w:sz w:val="24"/>
                <w:szCs w:val="24"/>
              </w:rPr>
              <w:t>-</w:t>
            </w:r>
            <w:r w:rsidRPr="00E547AD">
              <w:rPr>
                <w:rFonts w:eastAsia="宋体"/>
                <w:sz w:val="24"/>
                <w:szCs w:val="24"/>
                <w:vertAlign w:val="superscript"/>
              </w:rPr>
              <w:t>13</w:t>
            </w:r>
            <w:r w:rsidRPr="00E547AD">
              <w:rPr>
                <w:rFonts w:eastAsia="宋体"/>
                <w:sz w:val="24"/>
                <w:szCs w:val="24"/>
              </w:rPr>
              <w:t>C</w:t>
            </w:r>
            <w:bookmarkEnd w:id="3"/>
          </w:p>
        </w:tc>
        <w:tc>
          <w:tcPr>
            <w:tcW w:w="2552" w:type="dxa"/>
          </w:tcPr>
          <w:p w14:paraId="67C0A12F"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191/105.9</w:t>
            </w:r>
          </w:p>
        </w:tc>
        <w:tc>
          <w:tcPr>
            <w:tcW w:w="1417" w:type="dxa"/>
          </w:tcPr>
          <w:p w14:paraId="63F470AC"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70</w:t>
            </w:r>
          </w:p>
        </w:tc>
        <w:tc>
          <w:tcPr>
            <w:tcW w:w="1559" w:type="dxa"/>
          </w:tcPr>
          <w:p w14:paraId="33936634"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31</w:t>
            </w:r>
          </w:p>
        </w:tc>
      </w:tr>
      <w:tr w:rsidR="001C6F27" w:rsidRPr="00E547AD" w14:paraId="29437D74" w14:textId="77777777" w:rsidTr="001C6F27">
        <w:trPr>
          <w:trHeight w:val="251"/>
        </w:trPr>
        <w:tc>
          <w:tcPr>
            <w:cnfStyle w:val="001000000000" w:firstRow="0" w:lastRow="0" w:firstColumn="1" w:lastColumn="0" w:oddVBand="0" w:evenVBand="0" w:oddHBand="0" w:evenHBand="0" w:firstRowFirstColumn="0" w:firstRowLastColumn="0" w:lastRowFirstColumn="0" w:lastRowLastColumn="0"/>
            <w:tcW w:w="2405" w:type="dxa"/>
          </w:tcPr>
          <w:p w14:paraId="6C09AD1D" w14:textId="77777777" w:rsidR="001C6F27" w:rsidRPr="00E547AD" w:rsidRDefault="001C6F27" w:rsidP="001C6F27">
            <w:pPr>
              <w:spacing w:line="0" w:lineRule="atLeast"/>
              <w:jc w:val="left"/>
              <w:rPr>
                <w:rFonts w:eastAsia="宋体"/>
                <w:sz w:val="24"/>
                <w:szCs w:val="24"/>
              </w:rPr>
            </w:pPr>
          </w:p>
        </w:tc>
        <w:tc>
          <w:tcPr>
            <w:tcW w:w="2552" w:type="dxa"/>
          </w:tcPr>
          <w:p w14:paraId="4A43206E"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191/149</w:t>
            </w:r>
          </w:p>
        </w:tc>
        <w:tc>
          <w:tcPr>
            <w:tcW w:w="1417" w:type="dxa"/>
          </w:tcPr>
          <w:p w14:paraId="0C3FEF36"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68</w:t>
            </w:r>
          </w:p>
        </w:tc>
        <w:tc>
          <w:tcPr>
            <w:tcW w:w="1559" w:type="dxa"/>
          </w:tcPr>
          <w:p w14:paraId="0BC89687"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22</w:t>
            </w:r>
          </w:p>
        </w:tc>
      </w:tr>
      <w:tr w:rsidR="001C6F27" w:rsidRPr="00E547AD" w14:paraId="062BE8BC" w14:textId="77777777" w:rsidTr="001C6F27">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405" w:type="dxa"/>
          </w:tcPr>
          <w:p w14:paraId="1D309EC3" w14:textId="1E98B2E5" w:rsidR="001C6F27" w:rsidRPr="00E547AD" w:rsidRDefault="001C6F27" w:rsidP="001C6F27">
            <w:pPr>
              <w:spacing w:line="0" w:lineRule="atLeast"/>
              <w:jc w:val="left"/>
              <w:rPr>
                <w:rFonts w:eastAsia="宋体"/>
                <w:sz w:val="24"/>
                <w:szCs w:val="24"/>
              </w:rPr>
            </w:pPr>
            <w:r w:rsidRPr="00E547AD">
              <w:rPr>
                <w:rFonts w:eastAsia="宋体"/>
                <w:sz w:val="24"/>
                <w:szCs w:val="24"/>
              </w:rPr>
              <w:t>A</w:t>
            </w:r>
            <w:r w:rsidR="00CD2934" w:rsidRPr="00E547AD">
              <w:rPr>
                <w:rFonts w:eastAsia="宋体"/>
                <w:sz w:val="24"/>
                <w:szCs w:val="24"/>
              </w:rPr>
              <w:t>trazine</w:t>
            </w:r>
            <w:r w:rsidRPr="00E547AD">
              <w:rPr>
                <w:rFonts w:eastAsia="宋体"/>
                <w:sz w:val="24"/>
                <w:szCs w:val="24"/>
              </w:rPr>
              <w:t>-</w:t>
            </w:r>
            <w:r w:rsidRPr="00E547AD">
              <w:rPr>
                <w:rFonts w:eastAsia="宋体"/>
                <w:sz w:val="24"/>
                <w:szCs w:val="24"/>
                <w:vertAlign w:val="superscript"/>
              </w:rPr>
              <w:t>13</w:t>
            </w:r>
            <w:r w:rsidRPr="00E547AD">
              <w:rPr>
                <w:rFonts w:eastAsia="宋体"/>
                <w:sz w:val="24"/>
                <w:szCs w:val="24"/>
              </w:rPr>
              <w:t>C</w:t>
            </w:r>
          </w:p>
        </w:tc>
        <w:tc>
          <w:tcPr>
            <w:tcW w:w="2552" w:type="dxa"/>
          </w:tcPr>
          <w:p w14:paraId="6D476D96"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223.9/110</w:t>
            </w:r>
          </w:p>
        </w:tc>
        <w:tc>
          <w:tcPr>
            <w:tcW w:w="1417" w:type="dxa"/>
          </w:tcPr>
          <w:p w14:paraId="68441005"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80</w:t>
            </w:r>
          </w:p>
        </w:tc>
        <w:tc>
          <w:tcPr>
            <w:tcW w:w="1559" w:type="dxa"/>
          </w:tcPr>
          <w:p w14:paraId="16278BD3" w14:textId="77777777" w:rsidR="001C6F27" w:rsidRPr="00E547AD" w:rsidRDefault="001C6F27" w:rsidP="001C6F27">
            <w:pPr>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37</w:t>
            </w:r>
          </w:p>
        </w:tc>
      </w:tr>
      <w:tr w:rsidR="001C6F27" w:rsidRPr="00E547AD" w14:paraId="5CC32015" w14:textId="77777777" w:rsidTr="001C6F27">
        <w:trPr>
          <w:trHeight w:val="251"/>
        </w:trPr>
        <w:tc>
          <w:tcPr>
            <w:cnfStyle w:val="001000000000" w:firstRow="0" w:lastRow="0" w:firstColumn="1" w:lastColumn="0" w:oddVBand="0" w:evenVBand="0" w:oddHBand="0" w:evenHBand="0" w:firstRowFirstColumn="0" w:firstRowLastColumn="0" w:lastRowFirstColumn="0" w:lastRowLastColumn="0"/>
            <w:tcW w:w="2405" w:type="dxa"/>
          </w:tcPr>
          <w:p w14:paraId="5D8C27EC" w14:textId="77777777" w:rsidR="001C6F27" w:rsidRPr="00E547AD" w:rsidRDefault="001C6F27" w:rsidP="001C6F27">
            <w:pPr>
              <w:spacing w:line="0" w:lineRule="atLeast"/>
              <w:jc w:val="left"/>
              <w:rPr>
                <w:rFonts w:eastAsia="宋体"/>
                <w:sz w:val="24"/>
                <w:szCs w:val="24"/>
              </w:rPr>
            </w:pPr>
          </w:p>
        </w:tc>
        <w:tc>
          <w:tcPr>
            <w:tcW w:w="2552" w:type="dxa"/>
          </w:tcPr>
          <w:p w14:paraId="64E46857"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223.9/182</w:t>
            </w:r>
          </w:p>
        </w:tc>
        <w:tc>
          <w:tcPr>
            <w:tcW w:w="1417" w:type="dxa"/>
          </w:tcPr>
          <w:p w14:paraId="2983C91E"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79</w:t>
            </w:r>
          </w:p>
        </w:tc>
        <w:tc>
          <w:tcPr>
            <w:tcW w:w="1559" w:type="dxa"/>
          </w:tcPr>
          <w:p w14:paraId="3FC752E0" w14:textId="77777777" w:rsidR="001C6F27" w:rsidRPr="00E547AD" w:rsidRDefault="001C6F27" w:rsidP="001C6F27">
            <w:pPr>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24</w:t>
            </w:r>
          </w:p>
        </w:tc>
      </w:tr>
    </w:tbl>
    <w:p w14:paraId="44B2B51F" w14:textId="6DE6A8C1" w:rsidR="001C6F27" w:rsidRPr="00E547AD" w:rsidRDefault="001C6F27" w:rsidP="001C6F27">
      <w:pPr>
        <w:spacing w:line="0" w:lineRule="atLeast"/>
        <w:jc w:val="left"/>
        <w:rPr>
          <w:rFonts w:ascii="Times New Roman" w:eastAsia="宋体" w:hAnsi="Times New Roman" w:cs="Times New Roman"/>
          <w:b/>
          <w:bCs/>
          <w:sz w:val="24"/>
          <w:szCs w:val="24"/>
        </w:rPr>
      </w:pPr>
      <w:r w:rsidRPr="00E547AD">
        <w:rPr>
          <w:rFonts w:ascii="Times New Roman" w:hAnsi="Times New Roman" w:cs="Times New Roman"/>
          <w:sz w:val="24"/>
          <w:szCs w:val="24"/>
        </w:rPr>
        <w:t xml:space="preserve">DP: </w:t>
      </w:r>
      <w:proofErr w:type="spellStart"/>
      <w:r w:rsidRPr="00E547AD">
        <w:rPr>
          <w:rFonts w:ascii="Times New Roman" w:hAnsi="Times New Roman" w:cs="Times New Roman"/>
          <w:sz w:val="24"/>
          <w:szCs w:val="24"/>
        </w:rPr>
        <w:t>Declustering</w:t>
      </w:r>
      <w:proofErr w:type="spellEnd"/>
      <w:r w:rsidRPr="00E547AD">
        <w:rPr>
          <w:rFonts w:ascii="Times New Roman" w:hAnsi="Times New Roman" w:cs="Times New Roman"/>
          <w:sz w:val="24"/>
          <w:szCs w:val="24"/>
        </w:rPr>
        <w:t xml:space="preserve"> Potential; CE: Collision Energy</w:t>
      </w:r>
      <w:r w:rsidR="00CD2934" w:rsidRPr="00E547AD">
        <w:rPr>
          <w:rFonts w:ascii="Times New Roman" w:hAnsi="Times New Roman" w:cs="Times New Roman"/>
          <w:sz w:val="24"/>
          <w:szCs w:val="24"/>
        </w:rPr>
        <w:t>.</w:t>
      </w:r>
    </w:p>
    <w:p w14:paraId="49823D07" w14:textId="78BCBAED" w:rsidR="001C6F27" w:rsidRPr="00E547AD" w:rsidRDefault="001C6F27">
      <w:pPr>
        <w:rPr>
          <w:rFonts w:ascii="Times New Roman" w:hAnsi="Times New Roman" w:cs="Times New Roman"/>
        </w:rPr>
      </w:pPr>
    </w:p>
    <w:p w14:paraId="5571F2D3" w14:textId="3700B5BF" w:rsidR="001C6F27" w:rsidRPr="00E547AD" w:rsidRDefault="001C6F27" w:rsidP="008E78E0">
      <w:pPr>
        <w:spacing w:line="400" w:lineRule="atLeast"/>
        <w:outlineLvl w:val="1"/>
        <w:rPr>
          <w:rFonts w:ascii="Times New Roman" w:eastAsia="宋体" w:hAnsi="Times New Roman" w:cs="Times New Roman"/>
          <w:sz w:val="24"/>
          <w:szCs w:val="24"/>
        </w:rPr>
      </w:pPr>
      <w:r w:rsidRPr="00E547AD">
        <w:rPr>
          <w:rFonts w:ascii="Times New Roman" w:eastAsia="宋体" w:hAnsi="Times New Roman" w:cs="Times New Roman"/>
          <w:b/>
          <w:bCs/>
          <w:sz w:val="24"/>
          <w:szCs w:val="24"/>
        </w:rPr>
        <w:t>Table S</w:t>
      </w:r>
      <w:r w:rsidR="004360DE" w:rsidRPr="00E547AD">
        <w:rPr>
          <w:rFonts w:ascii="Times New Roman" w:eastAsia="宋体" w:hAnsi="Times New Roman" w:cs="Times New Roman"/>
          <w:b/>
          <w:bCs/>
          <w:sz w:val="24"/>
          <w:szCs w:val="24"/>
        </w:rPr>
        <w:t>3</w:t>
      </w:r>
      <w:r w:rsidRPr="00E547AD">
        <w:rPr>
          <w:rFonts w:ascii="Times New Roman" w:eastAsia="宋体" w:hAnsi="Times New Roman" w:cs="Times New Roman"/>
          <w:b/>
          <w:bCs/>
          <w:sz w:val="24"/>
          <w:szCs w:val="24"/>
        </w:rPr>
        <w:t xml:space="preserve"> </w:t>
      </w:r>
      <w:r w:rsidRPr="00E547AD">
        <w:rPr>
          <w:rFonts w:ascii="Times New Roman" w:hAnsi="Times New Roman" w:cs="Times New Roman"/>
          <w:sz w:val="24"/>
          <w:szCs w:val="24"/>
        </w:rPr>
        <w:t>Calibration equations, linear ranges and performances (</w:t>
      </w:r>
      <w:r w:rsidRPr="00E547AD">
        <w:rPr>
          <w:rFonts w:ascii="Times New Roman" w:hAnsi="Times New Roman" w:cs="Times New Roman"/>
          <w:i/>
          <w:sz w:val="24"/>
          <w:szCs w:val="24"/>
        </w:rPr>
        <w:t>R</w:t>
      </w:r>
      <w:r w:rsidRPr="00E547AD">
        <w:rPr>
          <w:rFonts w:ascii="Times New Roman" w:hAnsi="Times New Roman" w:cs="Times New Roman"/>
          <w:sz w:val="24"/>
          <w:szCs w:val="24"/>
          <w:vertAlign w:val="superscript"/>
        </w:rPr>
        <w:t>2</w:t>
      </w:r>
      <w:r w:rsidRPr="00E547AD">
        <w:rPr>
          <w:rFonts w:ascii="Times New Roman" w:hAnsi="Times New Roman" w:cs="Times New Roman"/>
          <w:sz w:val="24"/>
          <w:szCs w:val="24"/>
        </w:rPr>
        <w:t xml:space="preserve">, MDLs, MQLs) of the target chemicals and the surrogate in surface water (ng/L), SPM (ng/L), and surface sediment (ng/g) samples. </w:t>
      </w:r>
    </w:p>
    <w:tbl>
      <w:tblPr>
        <w:tblStyle w:val="4-5"/>
        <w:tblW w:w="0" w:type="auto"/>
        <w:tblLayout w:type="fixed"/>
        <w:tblLook w:val="04A0" w:firstRow="1" w:lastRow="0" w:firstColumn="1" w:lastColumn="0" w:noHBand="0" w:noVBand="1"/>
      </w:tblPr>
      <w:tblGrid>
        <w:gridCol w:w="2405"/>
        <w:gridCol w:w="2268"/>
        <w:gridCol w:w="1181"/>
        <w:gridCol w:w="876"/>
        <w:gridCol w:w="776"/>
        <w:gridCol w:w="790"/>
      </w:tblGrid>
      <w:tr w:rsidR="00CD2934" w:rsidRPr="00E547AD" w14:paraId="69B3B298" w14:textId="77777777" w:rsidTr="00C53124">
        <w:trPr>
          <w:cnfStyle w:val="100000000000" w:firstRow="1" w:lastRow="0" w:firstColumn="0" w:lastColumn="0" w:oddVBand="0" w:evenVBand="0" w:oddHBand="0"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2405" w:type="dxa"/>
          </w:tcPr>
          <w:p w14:paraId="5BE72306" w14:textId="77777777" w:rsidR="00CD2934" w:rsidRPr="00E547AD" w:rsidRDefault="00CD2934" w:rsidP="001C6F27">
            <w:pPr>
              <w:adjustRightInd w:val="0"/>
              <w:snapToGrid w:val="0"/>
              <w:spacing w:line="0" w:lineRule="atLeast"/>
              <w:jc w:val="left"/>
              <w:rPr>
                <w:rFonts w:eastAsia="宋体"/>
                <w:sz w:val="24"/>
                <w:szCs w:val="24"/>
              </w:rPr>
            </w:pPr>
            <w:r w:rsidRPr="00E547AD">
              <w:rPr>
                <w:rFonts w:eastAsia="宋体"/>
                <w:sz w:val="24"/>
                <w:szCs w:val="24"/>
              </w:rPr>
              <w:t>Chemical</w:t>
            </w:r>
          </w:p>
        </w:tc>
        <w:tc>
          <w:tcPr>
            <w:tcW w:w="2268" w:type="dxa"/>
          </w:tcPr>
          <w:p w14:paraId="4D3793F1" w14:textId="77777777" w:rsidR="00CD2934" w:rsidRPr="00E547AD" w:rsidRDefault="00CD2934" w:rsidP="001C6F27">
            <w:pPr>
              <w:adjustRightInd w:val="0"/>
              <w:snapToGrid w:val="0"/>
              <w:spacing w:line="0" w:lineRule="atLeast"/>
              <w:jc w:val="lef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Calibration equation</w:t>
            </w:r>
          </w:p>
        </w:tc>
        <w:tc>
          <w:tcPr>
            <w:tcW w:w="1181" w:type="dxa"/>
          </w:tcPr>
          <w:p w14:paraId="68335A91" w14:textId="77777777" w:rsidR="00CD2934" w:rsidRPr="00E547AD" w:rsidRDefault="00CD2934" w:rsidP="001C6F27">
            <w:pPr>
              <w:adjustRightInd w:val="0"/>
              <w:snapToGrid w:val="0"/>
              <w:spacing w:line="0" w:lineRule="atLeast"/>
              <w:jc w:val="lef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Linear range</w:t>
            </w:r>
          </w:p>
        </w:tc>
        <w:tc>
          <w:tcPr>
            <w:tcW w:w="876" w:type="dxa"/>
          </w:tcPr>
          <w:p w14:paraId="15265A99" w14:textId="77777777" w:rsidR="00CD2934" w:rsidRPr="00E547AD" w:rsidRDefault="00CD2934" w:rsidP="001C6F27">
            <w:pPr>
              <w:adjustRightInd w:val="0"/>
              <w:snapToGrid w:val="0"/>
              <w:spacing w:line="0" w:lineRule="atLeast"/>
              <w:jc w:val="lef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R</w:t>
            </w:r>
            <w:r w:rsidRPr="00E547AD">
              <w:rPr>
                <w:rFonts w:eastAsia="宋体"/>
                <w:sz w:val="24"/>
                <w:szCs w:val="24"/>
                <w:vertAlign w:val="superscript"/>
              </w:rPr>
              <w:t>2</w:t>
            </w:r>
          </w:p>
        </w:tc>
        <w:tc>
          <w:tcPr>
            <w:tcW w:w="776" w:type="dxa"/>
          </w:tcPr>
          <w:p w14:paraId="7B6E64F6" w14:textId="77777777" w:rsidR="00CD2934" w:rsidRPr="00E547AD" w:rsidRDefault="00CD2934" w:rsidP="001C6F27">
            <w:pPr>
              <w:adjustRightInd w:val="0"/>
              <w:snapToGrid w:val="0"/>
              <w:spacing w:line="0" w:lineRule="atLeast"/>
              <w:jc w:val="left"/>
              <w:cnfStyle w:val="100000000000" w:firstRow="1"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 xml:space="preserve">MDL  </w:t>
            </w:r>
          </w:p>
        </w:tc>
        <w:tc>
          <w:tcPr>
            <w:tcW w:w="790" w:type="dxa"/>
          </w:tcPr>
          <w:p w14:paraId="55243936" w14:textId="77777777" w:rsidR="00CD2934" w:rsidRPr="00E547AD" w:rsidRDefault="00CD2934" w:rsidP="001C6F27">
            <w:pPr>
              <w:adjustRightInd w:val="0"/>
              <w:snapToGrid w:val="0"/>
              <w:spacing w:line="0" w:lineRule="atLeast"/>
              <w:jc w:val="left"/>
              <w:cnfStyle w:val="100000000000" w:firstRow="1" w:lastRow="0" w:firstColumn="0" w:lastColumn="0" w:oddVBand="0" w:evenVBand="0" w:oddHBand="0" w:evenHBand="0" w:firstRowFirstColumn="0" w:firstRowLastColumn="0" w:lastRowFirstColumn="0" w:lastRowLastColumn="0"/>
            </w:pPr>
            <w:r w:rsidRPr="00E547AD">
              <w:rPr>
                <w:rFonts w:eastAsia="宋体"/>
                <w:sz w:val="24"/>
                <w:szCs w:val="24"/>
              </w:rPr>
              <w:t xml:space="preserve">MQL </w:t>
            </w:r>
          </w:p>
        </w:tc>
      </w:tr>
      <w:tr w:rsidR="00CD2934" w:rsidRPr="00E547AD" w14:paraId="70EF9740" w14:textId="77777777" w:rsidTr="00C53124">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405" w:type="dxa"/>
          </w:tcPr>
          <w:p w14:paraId="38A0A206" w14:textId="77777777" w:rsidR="00CD2934" w:rsidRPr="00E547AD" w:rsidRDefault="00CD2934" w:rsidP="001C6F27">
            <w:pPr>
              <w:adjustRightInd w:val="0"/>
              <w:snapToGrid w:val="0"/>
              <w:spacing w:line="0" w:lineRule="atLeast"/>
              <w:jc w:val="left"/>
              <w:rPr>
                <w:rFonts w:eastAsia="宋体"/>
                <w:sz w:val="24"/>
                <w:szCs w:val="24"/>
              </w:rPr>
            </w:pPr>
            <w:r w:rsidRPr="00E547AD">
              <w:rPr>
                <w:rFonts w:eastAsia="宋体"/>
                <w:sz w:val="24"/>
                <w:szCs w:val="24"/>
              </w:rPr>
              <w:t>ATR</w:t>
            </w:r>
          </w:p>
        </w:tc>
        <w:tc>
          <w:tcPr>
            <w:tcW w:w="2268" w:type="dxa"/>
          </w:tcPr>
          <w:p w14:paraId="0574A4BD" w14:textId="3490D80A" w:rsidR="00CD2934" w:rsidRPr="00E547AD" w:rsidRDefault="00CD2934" w:rsidP="001C6F27">
            <w:pPr>
              <w:adjustRightInd w:val="0"/>
              <w:snapToGrid w:val="0"/>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y = 0.2748x+0.0009</w:t>
            </w:r>
          </w:p>
        </w:tc>
        <w:tc>
          <w:tcPr>
            <w:tcW w:w="1181" w:type="dxa"/>
          </w:tcPr>
          <w:p w14:paraId="66E090FE" w14:textId="77777777" w:rsidR="00CD2934" w:rsidRPr="00E547AD" w:rsidRDefault="00CD2934" w:rsidP="001C6F27">
            <w:pPr>
              <w:adjustRightInd w:val="0"/>
              <w:snapToGrid w:val="0"/>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0.25-200</w:t>
            </w:r>
          </w:p>
        </w:tc>
        <w:tc>
          <w:tcPr>
            <w:tcW w:w="876" w:type="dxa"/>
          </w:tcPr>
          <w:p w14:paraId="5027522A" w14:textId="0265B329" w:rsidR="00CD2934" w:rsidRPr="00E547AD" w:rsidRDefault="00CD2934" w:rsidP="001C6F27">
            <w:pPr>
              <w:adjustRightInd w:val="0"/>
              <w:snapToGrid w:val="0"/>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0.9995</w:t>
            </w:r>
          </w:p>
        </w:tc>
        <w:tc>
          <w:tcPr>
            <w:tcW w:w="776" w:type="dxa"/>
          </w:tcPr>
          <w:p w14:paraId="0F87F2B2" w14:textId="77777777" w:rsidR="00CD2934" w:rsidRPr="00E547AD" w:rsidRDefault="00CD2934" w:rsidP="001C6F27">
            <w:pPr>
              <w:adjustRightInd w:val="0"/>
              <w:snapToGrid w:val="0"/>
              <w:spacing w:line="0" w:lineRule="atLeast"/>
              <w:jc w:val="left"/>
              <w:cnfStyle w:val="000000100000" w:firstRow="0" w:lastRow="0" w:firstColumn="0" w:lastColumn="0" w:oddVBand="0" w:evenVBand="0" w:oddHBand="1" w:evenHBand="0" w:firstRowFirstColumn="0" w:firstRowLastColumn="0" w:lastRowFirstColumn="0" w:lastRowLastColumn="0"/>
              <w:rPr>
                <w:rFonts w:eastAsia="宋体"/>
                <w:sz w:val="24"/>
                <w:szCs w:val="24"/>
              </w:rPr>
            </w:pPr>
            <w:r w:rsidRPr="00E547AD">
              <w:rPr>
                <w:rFonts w:eastAsia="宋体"/>
                <w:sz w:val="24"/>
                <w:szCs w:val="24"/>
              </w:rPr>
              <w:t>0.11</w:t>
            </w:r>
          </w:p>
        </w:tc>
        <w:tc>
          <w:tcPr>
            <w:tcW w:w="790" w:type="dxa"/>
          </w:tcPr>
          <w:p w14:paraId="6D765D8B" w14:textId="77777777" w:rsidR="00CD2934" w:rsidRPr="00E547AD" w:rsidRDefault="00CD2934" w:rsidP="001C6F27">
            <w:pPr>
              <w:adjustRightInd w:val="0"/>
              <w:snapToGrid w:val="0"/>
              <w:spacing w:line="0" w:lineRule="atLeast"/>
              <w:jc w:val="left"/>
              <w:cnfStyle w:val="000000100000" w:firstRow="0" w:lastRow="0" w:firstColumn="0" w:lastColumn="0" w:oddVBand="0" w:evenVBand="0" w:oddHBand="1" w:evenHBand="0" w:firstRowFirstColumn="0" w:firstRowLastColumn="0" w:lastRowFirstColumn="0" w:lastRowLastColumn="0"/>
            </w:pPr>
            <w:r w:rsidRPr="00E547AD">
              <w:rPr>
                <w:rFonts w:eastAsia="宋体"/>
                <w:sz w:val="24"/>
                <w:szCs w:val="24"/>
              </w:rPr>
              <w:t>0.42</w:t>
            </w:r>
          </w:p>
        </w:tc>
      </w:tr>
      <w:tr w:rsidR="00CD2934" w:rsidRPr="00E547AD" w14:paraId="071B54E5" w14:textId="77777777" w:rsidTr="00C53124">
        <w:trPr>
          <w:trHeight w:val="344"/>
        </w:trPr>
        <w:tc>
          <w:tcPr>
            <w:cnfStyle w:val="001000000000" w:firstRow="0" w:lastRow="0" w:firstColumn="1" w:lastColumn="0" w:oddVBand="0" w:evenVBand="0" w:oddHBand="0" w:evenHBand="0" w:firstRowFirstColumn="0" w:firstRowLastColumn="0" w:lastRowFirstColumn="0" w:lastRowLastColumn="0"/>
            <w:tcW w:w="2405" w:type="dxa"/>
          </w:tcPr>
          <w:p w14:paraId="7FB0DA6F" w14:textId="585ADB6D" w:rsidR="00CD2934" w:rsidRPr="00E547AD" w:rsidRDefault="00CD2934" w:rsidP="001C6F27">
            <w:pPr>
              <w:adjustRightInd w:val="0"/>
              <w:snapToGrid w:val="0"/>
              <w:spacing w:line="0" w:lineRule="atLeast"/>
              <w:jc w:val="left"/>
              <w:rPr>
                <w:rFonts w:eastAsia="宋体"/>
                <w:sz w:val="24"/>
                <w:szCs w:val="24"/>
              </w:rPr>
            </w:pPr>
            <w:bookmarkStart w:id="4" w:name="_Hlk133421527"/>
            <w:r w:rsidRPr="00E547AD">
              <w:rPr>
                <w:rFonts w:eastAsia="宋体"/>
                <w:sz w:val="24"/>
                <w:szCs w:val="24"/>
              </w:rPr>
              <w:t>D</w:t>
            </w:r>
            <w:r w:rsidRPr="00E547AD">
              <w:rPr>
                <w:sz w:val="24"/>
                <w:szCs w:val="24"/>
              </w:rPr>
              <w:t>esethylatrazine</w:t>
            </w:r>
            <w:bookmarkEnd w:id="4"/>
            <w:r w:rsidRPr="00E547AD">
              <w:rPr>
                <w:rFonts w:eastAsia="宋体"/>
                <w:sz w:val="24"/>
                <w:szCs w:val="24"/>
              </w:rPr>
              <w:t>-</w:t>
            </w:r>
            <w:r w:rsidRPr="00E547AD">
              <w:rPr>
                <w:rFonts w:eastAsia="宋体"/>
                <w:sz w:val="24"/>
                <w:szCs w:val="24"/>
                <w:vertAlign w:val="superscript"/>
              </w:rPr>
              <w:t>13</w:t>
            </w:r>
            <w:r w:rsidRPr="00E547AD">
              <w:rPr>
                <w:rFonts w:eastAsia="宋体"/>
                <w:sz w:val="24"/>
                <w:szCs w:val="24"/>
              </w:rPr>
              <w:t>C</w:t>
            </w:r>
          </w:p>
        </w:tc>
        <w:tc>
          <w:tcPr>
            <w:tcW w:w="2268" w:type="dxa"/>
          </w:tcPr>
          <w:p w14:paraId="3EB8C1DF" w14:textId="6CA32D4D" w:rsidR="00CD2934" w:rsidRPr="00E547AD" w:rsidRDefault="00CD2934" w:rsidP="001C6F27">
            <w:pPr>
              <w:adjustRightInd w:val="0"/>
              <w:snapToGrid w:val="0"/>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y = 37138x+5022</w:t>
            </w:r>
          </w:p>
        </w:tc>
        <w:tc>
          <w:tcPr>
            <w:tcW w:w="1181" w:type="dxa"/>
          </w:tcPr>
          <w:p w14:paraId="50F25111" w14:textId="1EC39B27" w:rsidR="00CD2934" w:rsidRPr="00E547AD" w:rsidRDefault="000D21D0" w:rsidP="001C6F27">
            <w:pPr>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0.25-200</w:t>
            </w:r>
          </w:p>
        </w:tc>
        <w:tc>
          <w:tcPr>
            <w:tcW w:w="876" w:type="dxa"/>
          </w:tcPr>
          <w:p w14:paraId="7B1CD6D5" w14:textId="22ABE871" w:rsidR="00CD2934" w:rsidRPr="00E547AD" w:rsidRDefault="00CD2934" w:rsidP="001C6F27">
            <w:pPr>
              <w:adjustRightInd w:val="0"/>
              <w:snapToGrid w:val="0"/>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r w:rsidRPr="00E547AD">
              <w:rPr>
                <w:rFonts w:eastAsia="宋体"/>
                <w:sz w:val="24"/>
                <w:szCs w:val="24"/>
              </w:rPr>
              <w:t>0.9999</w:t>
            </w:r>
          </w:p>
        </w:tc>
        <w:tc>
          <w:tcPr>
            <w:tcW w:w="776" w:type="dxa"/>
          </w:tcPr>
          <w:p w14:paraId="1C6AAB88" w14:textId="77777777" w:rsidR="00CD2934" w:rsidRPr="00E547AD" w:rsidRDefault="00CD2934" w:rsidP="001C6F27">
            <w:pPr>
              <w:adjustRightInd w:val="0"/>
              <w:snapToGrid w:val="0"/>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p>
        </w:tc>
        <w:tc>
          <w:tcPr>
            <w:tcW w:w="790" w:type="dxa"/>
          </w:tcPr>
          <w:p w14:paraId="43434783" w14:textId="77777777" w:rsidR="00CD2934" w:rsidRPr="00E547AD" w:rsidRDefault="00CD2934" w:rsidP="001C6F27">
            <w:pPr>
              <w:adjustRightInd w:val="0"/>
              <w:snapToGrid w:val="0"/>
              <w:spacing w:line="0" w:lineRule="atLeast"/>
              <w:jc w:val="left"/>
              <w:cnfStyle w:val="000000000000" w:firstRow="0" w:lastRow="0" w:firstColumn="0" w:lastColumn="0" w:oddVBand="0" w:evenVBand="0" w:oddHBand="0" w:evenHBand="0" w:firstRowFirstColumn="0" w:firstRowLastColumn="0" w:lastRowFirstColumn="0" w:lastRowLastColumn="0"/>
              <w:rPr>
                <w:rFonts w:eastAsia="宋体"/>
                <w:sz w:val="24"/>
                <w:szCs w:val="24"/>
              </w:rPr>
            </w:pPr>
          </w:p>
        </w:tc>
      </w:tr>
    </w:tbl>
    <w:p w14:paraId="5FB6BE5C" w14:textId="481644B7" w:rsidR="001C6F27" w:rsidRDefault="001C6F27">
      <w:pPr>
        <w:rPr>
          <w:rFonts w:ascii="Times New Roman" w:eastAsia="宋体" w:hAnsi="Times New Roman" w:cs="Times New Roman"/>
          <w:sz w:val="24"/>
          <w:szCs w:val="24"/>
        </w:rPr>
      </w:pPr>
      <w:r w:rsidRPr="00174083">
        <w:rPr>
          <w:rFonts w:ascii="Times New Roman" w:eastAsia="宋体" w:hAnsi="Times New Roman" w:cs="Times New Roman"/>
          <w:b/>
          <w:sz w:val="24"/>
          <w:szCs w:val="24"/>
        </w:rPr>
        <w:t>MQL</w:t>
      </w:r>
      <w:r w:rsidRPr="00E547AD">
        <w:rPr>
          <w:rFonts w:ascii="Times New Roman" w:eastAsia="宋体" w:hAnsi="Times New Roman" w:cs="Times New Roman"/>
          <w:sz w:val="24"/>
          <w:szCs w:val="24"/>
        </w:rPr>
        <w:t xml:space="preserve">: Method quantification limits; </w:t>
      </w:r>
      <w:r w:rsidRPr="00174083">
        <w:rPr>
          <w:rFonts w:ascii="Times New Roman" w:eastAsia="宋体" w:hAnsi="Times New Roman" w:cs="Times New Roman"/>
          <w:b/>
          <w:sz w:val="24"/>
          <w:szCs w:val="24"/>
        </w:rPr>
        <w:t>MDL</w:t>
      </w:r>
      <w:r w:rsidRPr="00E547AD">
        <w:rPr>
          <w:rFonts w:ascii="Times New Roman" w:eastAsia="宋体" w:hAnsi="Times New Roman" w:cs="Times New Roman"/>
          <w:sz w:val="24"/>
          <w:szCs w:val="24"/>
        </w:rPr>
        <w:t xml:space="preserve">: Method detection limits. The MDL </w:t>
      </w:r>
      <w:r w:rsidR="00993D81">
        <w:rPr>
          <w:rFonts w:ascii="Times New Roman" w:eastAsia="宋体" w:hAnsi="Times New Roman" w:cs="Times New Roman"/>
          <w:sz w:val="24"/>
          <w:szCs w:val="24"/>
        </w:rPr>
        <w:t xml:space="preserve">was </w:t>
      </w:r>
      <w:r w:rsidRPr="00E547AD">
        <w:rPr>
          <w:rFonts w:ascii="Times New Roman" w:eastAsia="宋体" w:hAnsi="Times New Roman" w:cs="Times New Roman"/>
          <w:sz w:val="24"/>
          <w:szCs w:val="24"/>
        </w:rPr>
        <w:t xml:space="preserve">calculated based on three times of signal-to-noise ratio of blanks. The MQL </w:t>
      </w:r>
      <w:r w:rsidR="00993D81">
        <w:rPr>
          <w:rFonts w:ascii="Times New Roman" w:eastAsia="宋体" w:hAnsi="Times New Roman" w:cs="Times New Roman"/>
          <w:sz w:val="24"/>
          <w:szCs w:val="24"/>
        </w:rPr>
        <w:t xml:space="preserve">was </w:t>
      </w:r>
      <w:r w:rsidRPr="00E547AD">
        <w:rPr>
          <w:rFonts w:ascii="Times New Roman" w:eastAsia="宋体" w:hAnsi="Times New Roman" w:cs="Times New Roman"/>
          <w:sz w:val="24"/>
          <w:szCs w:val="24"/>
        </w:rPr>
        <w:t>calculated based on ten times of signal-to noise ratio of blanks. The internal standard A</w:t>
      </w:r>
      <w:r w:rsidR="00CD2934" w:rsidRPr="00E547AD">
        <w:rPr>
          <w:rFonts w:ascii="Times New Roman" w:eastAsia="宋体" w:hAnsi="Times New Roman" w:cs="Times New Roman"/>
          <w:sz w:val="24"/>
          <w:szCs w:val="24"/>
        </w:rPr>
        <w:t>trazine</w:t>
      </w:r>
      <w:r w:rsidRPr="00E547AD">
        <w:rPr>
          <w:rFonts w:ascii="Times New Roman" w:eastAsia="宋体" w:hAnsi="Times New Roman" w:cs="Times New Roman"/>
          <w:sz w:val="24"/>
          <w:szCs w:val="24"/>
        </w:rPr>
        <w:t>-</w:t>
      </w:r>
      <w:r w:rsidRPr="00E547AD">
        <w:rPr>
          <w:rFonts w:ascii="Times New Roman" w:eastAsia="宋体" w:hAnsi="Times New Roman" w:cs="Times New Roman"/>
          <w:sz w:val="24"/>
          <w:szCs w:val="24"/>
          <w:vertAlign w:val="superscript"/>
        </w:rPr>
        <w:t>13</w:t>
      </w:r>
      <w:r w:rsidRPr="00E547AD">
        <w:rPr>
          <w:rFonts w:ascii="Times New Roman" w:eastAsia="宋体" w:hAnsi="Times New Roman" w:cs="Times New Roman"/>
          <w:sz w:val="24"/>
          <w:szCs w:val="24"/>
        </w:rPr>
        <w:t xml:space="preserve">C was used </w:t>
      </w:r>
      <w:r w:rsidR="00604412" w:rsidRPr="00E547AD">
        <w:rPr>
          <w:rFonts w:ascii="Times New Roman" w:eastAsia="宋体" w:hAnsi="Times New Roman" w:cs="Times New Roman"/>
          <w:sz w:val="24"/>
          <w:szCs w:val="24"/>
        </w:rPr>
        <w:t>to calibrate the equipment error</w:t>
      </w:r>
      <w:r w:rsidRPr="00E547AD">
        <w:rPr>
          <w:rFonts w:ascii="Times New Roman" w:eastAsia="宋体" w:hAnsi="Times New Roman" w:cs="Times New Roman"/>
          <w:sz w:val="24"/>
          <w:szCs w:val="24"/>
        </w:rPr>
        <w:t xml:space="preserve"> excluding the surrogate DEA-</w:t>
      </w:r>
      <w:r w:rsidRPr="00E547AD">
        <w:rPr>
          <w:rFonts w:ascii="Times New Roman" w:eastAsia="宋体" w:hAnsi="Times New Roman" w:cs="Times New Roman"/>
          <w:sz w:val="24"/>
          <w:szCs w:val="24"/>
          <w:vertAlign w:val="superscript"/>
        </w:rPr>
        <w:t>13</w:t>
      </w:r>
      <w:r w:rsidRPr="00E547AD">
        <w:rPr>
          <w:rFonts w:ascii="Times New Roman" w:eastAsia="宋体" w:hAnsi="Times New Roman" w:cs="Times New Roman"/>
          <w:sz w:val="24"/>
          <w:szCs w:val="24"/>
        </w:rPr>
        <w:t>C.</w:t>
      </w:r>
    </w:p>
    <w:p w14:paraId="7AC52A4A" w14:textId="78F4527D" w:rsidR="00C53124" w:rsidRDefault="00C53124">
      <w:pPr>
        <w:rPr>
          <w:rFonts w:ascii="Times New Roman" w:hAnsi="Times New Roman" w:cs="Times New Roman"/>
        </w:rPr>
      </w:pPr>
    </w:p>
    <w:p w14:paraId="500D7E1E" w14:textId="0DE1588F" w:rsidR="00C53124" w:rsidRDefault="00C53124">
      <w:pPr>
        <w:rPr>
          <w:rFonts w:ascii="Times New Roman" w:hAnsi="Times New Roman" w:cs="Times New Roman"/>
        </w:rPr>
      </w:pPr>
    </w:p>
    <w:p w14:paraId="190F2950" w14:textId="77777777" w:rsidR="00C172C6" w:rsidRPr="00E547AD" w:rsidRDefault="00C172C6">
      <w:pPr>
        <w:rPr>
          <w:rFonts w:ascii="Times New Roman" w:hAnsi="Times New Roman" w:cs="Times New Roman"/>
        </w:rPr>
      </w:pPr>
    </w:p>
    <w:p w14:paraId="0234F57F" w14:textId="38AECD4B" w:rsidR="005E13E8" w:rsidRDefault="005E13E8" w:rsidP="008E78E0">
      <w:pPr>
        <w:spacing w:line="480" w:lineRule="auto"/>
        <w:jc w:val="center"/>
        <w:rPr>
          <w:rFonts w:ascii="Times New Roman" w:hAnsi="Times New Roman" w:cs="Times New Roman"/>
          <w:sz w:val="24"/>
        </w:rPr>
      </w:pPr>
      <w:r w:rsidRPr="00E547AD">
        <w:rPr>
          <w:rFonts w:ascii="Times New Roman" w:hAnsi="Times New Roman" w:cs="Times New Roman"/>
          <w:b/>
          <w:sz w:val="24"/>
        </w:rPr>
        <w:t>Table. S</w:t>
      </w:r>
      <w:r w:rsidR="004360DE" w:rsidRPr="00E547AD">
        <w:rPr>
          <w:rFonts w:ascii="Times New Roman" w:hAnsi="Times New Roman" w:cs="Times New Roman"/>
          <w:b/>
          <w:sz w:val="24"/>
        </w:rPr>
        <w:t>4</w:t>
      </w:r>
      <w:r w:rsidRPr="00E547AD">
        <w:rPr>
          <w:rFonts w:ascii="Times New Roman" w:hAnsi="Times New Roman" w:cs="Times New Roman"/>
          <w:sz w:val="24"/>
        </w:rPr>
        <w:t xml:space="preserve"> </w:t>
      </w:r>
      <w:r w:rsidR="00616634" w:rsidRPr="00E547AD">
        <w:rPr>
          <w:rFonts w:ascii="Times New Roman" w:hAnsi="Times New Roman" w:cs="Times New Roman"/>
          <w:sz w:val="24"/>
        </w:rPr>
        <w:t>G</w:t>
      </w:r>
      <w:r w:rsidRPr="00E547AD">
        <w:rPr>
          <w:rFonts w:ascii="Times New Roman" w:hAnsi="Times New Roman" w:cs="Times New Roman"/>
          <w:sz w:val="24"/>
        </w:rPr>
        <w:t xml:space="preserve">lobal atrazine concentration in </w:t>
      </w:r>
      <w:r w:rsidR="00616634" w:rsidRPr="00E547AD">
        <w:rPr>
          <w:rFonts w:ascii="Times New Roman" w:hAnsi="Times New Roman" w:cs="Times New Roman"/>
          <w:sz w:val="24"/>
        </w:rPr>
        <w:t>the</w:t>
      </w:r>
      <w:r w:rsidR="000D4BC3" w:rsidRPr="00E547AD">
        <w:rPr>
          <w:rFonts w:ascii="Times New Roman" w:hAnsi="Times New Roman" w:cs="Times New Roman"/>
          <w:sz w:val="24"/>
        </w:rPr>
        <w:t xml:space="preserve"> water</w:t>
      </w:r>
      <w:r w:rsidRPr="00E547AD">
        <w:rPr>
          <w:rFonts w:ascii="Times New Roman" w:hAnsi="Times New Roman" w:cs="Times New Roman"/>
          <w:sz w:val="24"/>
        </w:rPr>
        <w:t>.</w:t>
      </w:r>
    </w:p>
    <w:tbl>
      <w:tblPr>
        <w:tblStyle w:val="4-50"/>
        <w:tblW w:w="0" w:type="auto"/>
        <w:tblLook w:val="04A0" w:firstRow="1" w:lastRow="0" w:firstColumn="1" w:lastColumn="0" w:noHBand="0" w:noVBand="1"/>
      </w:tblPr>
      <w:tblGrid>
        <w:gridCol w:w="1357"/>
        <w:gridCol w:w="1330"/>
        <w:gridCol w:w="723"/>
        <w:gridCol w:w="1868"/>
        <w:gridCol w:w="1776"/>
        <w:gridCol w:w="1242"/>
      </w:tblGrid>
      <w:tr w:rsidR="002D64E5" w:rsidRPr="00E547AD" w14:paraId="274A5083" w14:textId="77777777" w:rsidTr="002D64E5">
        <w:trPr>
          <w:cnfStyle w:val="100000000000" w:firstRow="1" w:lastRow="0" w:firstColumn="0" w:lastColumn="0" w:oddVBand="0" w:evenVBand="0" w:oddHBand="0"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0" w:type="auto"/>
            <w:vAlign w:val="center"/>
          </w:tcPr>
          <w:p w14:paraId="44BAC5D4" w14:textId="77777777" w:rsidR="005E13E8" w:rsidRPr="00E547AD" w:rsidRDefault="005E13E8" w:rsidP="002D64E5">
            <w:pPr>
              <w:rPr>
                <w:sz w:val="24"/>
              </w:rPr>
            </w:pPr>
            <w:r w:rsidRPr="00E547AD">
              <w:rPr>
                <w:sz w:val="24"/>
              </w:rPr>
              <w:t>Continent</w:t>
            </w:r>
          </w:p>
        </w:tc>
        <w:tc>
          <w:tcPr>
            <w:tcW w:w="0" w:type="auto"/>
            <w:vAlign w:val="center"/>
          </w:tcPr>
          <w:p w14:paraId="4C4434CD" w14:textId="77777777" w:rsidR="005E13E8" w:rsidRPr="00E547AD" w:rsidRDefault="005E13E8" w:rsidP="002D64E5">
            <w:pPr>
              <w:cnfStyle w:val="100000000000" w:firstRow="1" w:lastRow="0" w:firstColumn="0" w:lastColumn="0" w:oddVBand="0" w:evenVBand="0" w:oddHBand="0" w:evenHBand="0" w:firstRowFirstColumn="0" w:firstRowLastColumn="0" w:lastRowFirstColumn="0" w:lastRowLastColumn="0"/>
              <w:rPr>
                <w:sz w:val="24"/>
              </w:rPr>
            </w:pPr>
            <w:r w:rsidRPr="00E547AD">
              <w:rPr>
                <w:sz w:val="24"/>
              </w:rPr>
              <w:t>Country</w:t>
            </w:r>
          </w:p>
        </w:tc>
        <w:tc>
          <w:tcPr>
            <w:tcW w:w="0" w:type="auto"/>
            <w:vAlign w:val="center"/>
          </w:tcPr>
          <w:p w14:paraId="6FAA84B2" w14:textId="77777777" w:rsidR="005E13E8" w:rsidRPr="00E547AD" w:rsidRDefault="005E13E8" w:rsidP="002D64E5">
            <w:pPr>
              <w:cnfStyle w:val="100000000000" w:firstRow="1" w:lastRow="0" w:firstColumn="0" w:lastColumn="0" w:oddVBand="0" w:evenVBand="0" w:oddHBand="0" w:evenHBand="0" w:firstRowFirstColumn="0" w:firstRowLastColumn="0" w:lastRowFirstColumn="0" w:lastRowLastColumn="0"/>
              <w:rPr>
                <w:sz w:val="24"/>
              </w:rPr>
            </w:pPr>
            <w:r w:rsidRPr="00E547AD">
              <w:rPr>
                <w:sz w:val="24"/>
              </w:rPr>
              <w:t>Year</w:t>
            </w:r>
          </w:p>
        </w:tc>
        <w:tc>
          <w:tcPr>
            <w:tcW w:w="0" w:type="auto"/>
            <w:vAlign w:val="center"/>
          </w:tcPr>
          <w:p w14:paraId="7BB193E7" w14:textId="77777777" w:rsidR="005E13E8" w:rsidRPr="00E547AD" w:rsidRDefault="005E13E8" w:rsidP="002D64E5">
            <w:pPr>
              <w:cnfStyle w:val="100000000000" w:firstRow="1" w:lastRow="0" w:firstColumn="0" w:lastColumn="0" w:oddVBand="0" w:evenVBand="0" w:oddHBand="0" w:evenHBand="0" w:firstRowFirstColumn="0" w:firstRowLastColumn="0" w:lastRowFirstColumn="0" w:lastRowLastColumn="0"/>
              <w:rPr>
                <w:sz w:val="24"/>
              </w:rPr>
            </w:pPr>
            <w:r w:rsidRPr="00E547AD">
              <w:rPr>
                <w:sz w:val="24"/>
              </w:rPr>
              <w:t>Location</w:t>
            </w:r>
          </w:p>
        </w:tc>
        <w:tc>
          <w:tcPr>
            <w:tcW w:w="0" w:type="auto"/>
            <w:vAlign w:val="center"/>
          </w:tcPr>
          <w:p w14:paraId="6683ECD7" w14:textId="7F1C0CC8" w:rsidR="005E13E8" w:rsidRPr="00E547AD" w:rsidRDefault="005E13E8" w:rsidP="002D64E5">
            <w:pPr>
              <w:cnfStyle w:val="100000000000" w:firstRow="1" w:lastRow="0" w:firstColumn="0" w:lastColumn="0" w:oddVBand="0" w:evenVBand="0" w:oddHBand="0" w:evenHBand="0" w:firstRowFirstColumn="0" w:firstRowLastColumn="0" w:lastRowFirstColumn="0" w:lastRowLastColumn="0"/>
              <w:rPr>
                <w:sz w:val="24"/>
              </w:rPr>
            </w:pPr>
            <w:proofErr w:type="spellStart"/>
            <w:r w:rsidRPr="00E547AD">
              <w:rPr>
                <w:sz w:val="24"/>
              </w:rPr>
              <w:t>Concentration</w:t>
            </w:r>
            <w:r w:rsidRPr="00E547AD">
              <w:rPr>
                <w:sz w:val="24"/>
                <w:vertAlign w:val="superscript"/>
              </w:rPr>
              <w:t>a</w:t>
            </w:r>
            <w:proofErr w:type="spellEnd"/>
          </w:p>
        </w:tc>
        <w:tc>
          <w:tcPr>
            <w:tcW w:w="0" w:type="auto"/>
            <w:vAlign w:val="center"/>
          </w:tcPr>
          <w:p w14:paraId="6E21F1E8" w14:textId="77777777" w:rsidR="005E13E8" w:rsidRPr="00E547AD" w:rsidRDefault="005E13E8" w:rsidP="002D64E5">
            <w:pPr>
              <w:cnfStyle w:val="100000000000" w:firstRow="1" w:lastRow="0" w:firstColumn="0" w:lastColumn="0" w:oddVBand="0" w:evenVBand="0" w:oddHBand="0" w:evenHBand="0" w:firstRowFirstColumn="0" w:firstRowLastColumn="0" w:lastRowFirstColumn="0" w:lastRowLastColumn="0"/>
              <w:rPr>
                <w:sz w:val="24"/>
              </w:rPr>
            </w:pPr>
            <w:r w:rsidRPr="00E547AD">
              <w:rPr>
                <w:sz w:val="24"/>
              </w:rPr>
              <w:t>Reference</w:t>
            </w:r>
          </w:p>
        </w:tc>
      </w:tr>
      <w:tr w:rsidR="002D64E5" w:rsidRPr="00E547AD" w14:paraId="0A0C51E3"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8FF758C"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B4D726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52A742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58B7698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Yangtze River</w:t>
            </w:r>
          </w:p>
        </w:tc>
        <w:tc>
          <w:tcPr>
            <w:tcW w:w="0" w:type="auto"/>
          </w:tcPr>
          <w:p w14:paraId="0F58BDC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191.4</w:t>
            </w:r>
          </w:p>
          <w:p w14:paraId="5A74812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(21-1726)</w:t>
            </w:r>
          </w:p>
        </w:tc>
        <w:tc>
          <w:tcPr>
            <w:tcW w:w="0" w:type="auto"/>
          </w:tcPr>
          <w:p w14:paraId="428BD8E3" w14:textId="3C78EBE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lang w:val="es-EC"/>
              </w:rPr>
            </w:pPr>
            <w:r w:rsidRPr="00E547AD">
              <w:rPr>
                <w:color w:val="0070C0"/>
                <w:sz w:val="22"/>
              </w:rPr>
              <w:fldChar w:fldCharType="begin" w:fldLock="1"/>
            </w:r>
            <w:r w:rsidR="00694227">
              <w:rPr>
                <w:color w:val="0070C0"/>
                <w:sz w:val="22"/>
                <w:lang w:val="es-EC"/>
              </w:rPr>
              <w:instrText>ADDIN CSL_CITATION {"citationItems":[{"id":"ITEM-1","itemData":{"DOI":"10.1016/j.envpol.2018.05.061","ISSN":"18736424","PMID":"29879689","abstract":"Increased synthetic chemical production and diversification in developing countries caused serious aquatic pollution worldwide with emerging organic pollutants (EOPs) detected in surface water rising health concerns to human and aquatic ecosystem even at low ng/L concentration with long-term exposure. The Yangtze River Delta (YRD) area serves agriculture and industry for people in eastern China. However, the current knowledge on the occurrence and ecological risk of diverse EOPs which are present in the aquatic environment is limited. This study was to investigate the complexity and diversity of EOPs in surface water from 28 sampling sites, which were selected to represent urban, industrial or agriculture areas in the YRD area. In total 484 chemicals were analyze by a target screening approach using liquid chromatography coupled to high-resolution tandem mass spectrometry (LC-HRMS/MS). 181 out of 484 EOPs were detected at least one site in the YRD area, and 44 analytes, mostly industrial chemicals and pesticides, were ubiquitous at all sampling sites. Most EOPs were industrial chemicals with 1H-benzotriazole and organophosphate flame retardants (PFRs) as the chemicals with highest concentrations. For 21 pesticides, mostly herbicides, maximum concentrations of atrazine and isoproturon were above the annual average environmental quality standards of Europe. Amantadine and DEET were the dominant pharmceuticals and personal care products (PPCPs) in the YRD area. Compared to urban areas (mostly in Qinhuai River), chemical profiles from industrial areas were more complex. Industrial activities likely have a strong impact on the composition of chemical mixtures in surface water from the YRD area. ISO E Super, 4-methylbenzylidene camphor and clotrimazole detected in this study are potentially persistent and bioaccumulative chemicals. Furthermore, results of risk assessment showed that hazard quotients of dimethyldioctadecylammonium, didecyldimethylammonium and octocrylene were higher than one and occur frequently, which indicates possibly adverse effects on fish species in the YRD area.","author":[{"dropping-particle":"","family":"Peng","given":"Ying","non-dropping-particle":"","parse-names":false,"suffix":""},{"dropping-particle":"","family":"Fang","given":"Wendi","non-dropping-particle":"","parse-names":false,"suffix":""},{"dropping-particle":"","family":"Krauss","given":"Martin","non-dropping-particle":"","parse-names":false,"suffix":""},{"dropping-particle":"","family":"Brack","given":"Werner","non-dropping-particle":"","parse-names":false,"suffix":""},{"dropping-particle":"","family":"Wang","given":"Zhihao","non-dropping-particle":"","parse-names":false,"suffix":""},{"dropping-particle":"","family":"Li","given":"Feilong","non-dropping-particle":"","parse-names":false,"suffix":""},{"dropping-particle":"","family":"Zhang","given":"Xiaowei","non-dropping-particle":"","parse-names":false,"suffix":""}],"container-title":"Environmental Pollution","id":"ITEM-1","issued":{"date-parts":[["2018"]]},"page":"484-493","publisher":"Elsevier Ltd","title":"Screening hundreds of emerging organic pollutants (EOPs) in surface water from the Yangtze River Delta (YRD): Occurrence, distribution, ecological risk","type":"article-journal","volume":"241"},"uris":["http://www.mendeley.com/documents/?uuid=d2f16d4b-7671-43b4-ad33-1d6004b1c95e"]}],"mendeley":{"formattedCitation":"&lt;sup&gt;6&lt;/sup&gt;","plainTextFormattedCitation":"6","previouslyFormattedCitation":"&lt;sup&gt;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lang w:val="es-EC"/>
              </w:rPr>
              <w:t>6</w:t>
            </w:r>
            <w:r w:rsidRPr="00E547AD">
              <w:rPr>
                <w:color w:val="0070C0"/>
                <w:sz w:val="22"/>
              </w:rPr>
              <w:fldChar w:fldCharType="end"/>
            </w:r>
          </w:p>
        </w:tc>
      </w:tr>
      <w:tr w:rsidR="005E13E8" w:rsidRPr="00E547AD" w14:paraId="53F8795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5AE27A4"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55337E9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338B5F2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04CE839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019BB7B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(70-1120)</w:t>
            </w:r>
          </w:p>
        </w:tc>
        <w:tc>
          <w:tcPr>
            <w:tcW w:w="0" w:type="auto"/>
          </w:tcPr>
          <w:p w14:paraId="4DE48CC0" w14:textId="4475623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color w:val="0070C0"/>
                <w:sz w:val="22"/>
                <w:lang w:val="es-EC"/>
              </w:rPr>
              <w:fldChar w:fldCharType="begin" w:fldLock="1"/>
            </w:r>
            <w:r w:rsidR="00694227">
              <w:rPr>
                <w:color w:val="0070C0"/>
                <w:sz w:val="22"/>
                <w:lang w:val="es-EC"/>
              </w:rPr>
              <w:instrText>ADDIN CSL_CITATION {"citationItems":[{"id":"ITEM-1","itemData":{"DOI":"10.1007/s10661-019-7556-3","ISSN":"15732959","PMID":"31197569","abstract":"The intensive use of fertilizers and pesticides in agriculture has led to widespread nonpoint source pollution in surface waterbodies. In this work, the occurrence and distribution of nonpoint source metals (Cu and Zn) and herbicides (metribuzin; atrazine; and its degradates, including desethyl atrazine (DEA), desisoproylatrazine (DIA), and deethyldeisopropylatrazine (DEDIA)) in the surface water of the Baima River, which is located in a region noted for its intense agricultural activities, were investigated during a high water period in August and a low water period in October. The results showed that the heavy metals and herbicides investigated were detected frequently in the surface water of the river during the two periods. The average concentrations of Cu during the high water period and low water period were 9.3 (0–20.7) and 8.7 (0–15.55) μg/L, and the average concentrations of Zn during the two periods were 11.4 (6.65–22.15) and 10.6 (7.55–15.15) μg/L, respectively. The concentrations of atrazine were higher than those of metribuzin, which ranged from 0.07 to 1.12 μg/L during the high water period and 0.01–0.74 μg/L during the low water period. The total concentrations of atrazine and its transformation products in 60.00% of the samples during the high water period exceeded the maximum contaminant level (MCL) of 3 μg/L for the drinking water criteria in the USA, and 33.33% of the samples exceeded the MCL during the low water period. The spatial and temporal distributions of nonpoint source pollutants along the Baima River were influenced by land use and hydrogeomorphic settings. The ecotoxicological risk assessment indicated that atrazine and DIA have moderate risks to aquatic environment in Baima River.","author":[{"dropping-particle":"","family":"Sun","given":"Xiaoyin","non-dropping-particle":"","parse-names":false,"suffix":""},{"dropping-particle":"","family":"Liu","given":"Fei","non-dropping-particle":"","parse-names":false,"suffix":""},{"dropping-particle":"","family":"Shan","given":"Ruifeng","non-dropping-particle":"","parse-names":false,"suffix":""},{"dropping-particle":"","family":"Fan","given":"Yuna","non-dropping-particle":"","parse-names":false,"suffix":""}],"container-title":"Environmental Monitoring and Assessment","id":"ITEM-1","issue":"7","issued":{"date-parts":[["2019"]]},"publisher":"Environmental Monitoring and Assessment","title":"Spatiotemporal distributions of Cu, Zn, metribuzin, atrazine, and their transformation products in the surface water of a small plain stream in eastern China","type":"article-journal","volume":"191"},"uris":["http://www.mendeley.com/documents/?uuid=a03c1726-f291-4742-8f2a-5e65cd076a9a"]}],"mendeley":{"formattedCitation":"&lt;sup&gt;7&lt;/sup&gt;","plainTextFormattedCitation":"7","previouslyFormattedCitation":"&lt;sup&gt;7&lt;/sup&gt;"},"properties":{"noteIndex":0},"schema":"https://github.com/citation-style-language/schema/raw/master/csl-citation.json"}</w:instrText>
            </w:r>
            <w:r w:rsidRPr="00E547AD">
              <w:rPr>
                <w:color w:val="0070C0"/>
                <w:sz w:val="22"/>
                <w:lang w:val="es-EC"/>
              </w:rPr>
              <w:fldChar w:fldCharType="separate"/>
            </w:r>
            <w:r w:rsidR="00694227" w:rsidRPr="00694227">
              <w:rPr>
                <w:noProof/>
                <w:color w:val="0070C0"/>
                <w:sz w:val="22"/>
                <w:vertAlign w:val="superscript"/>
              </w:rPr>
              <w:t>7</w:t>
            </w:r>
            <w:r w:rsidRPr="00E547AD">
              <w:rPr>
                <w:color w:val="0070C0"/>
                <w:sz w:val="22"/>
                <w:lang w:val="es-EC"/>
              </w:rPr>
              <w:fldChar w:fldCharType="end"/>
            </w:r>
          </w:p>
        </w:tc>
      </w:tr>
      <w:tr w:rsidR="002D64E5" w:rsidRPr="00E547AD" w14:paraId="2CD2CDF0"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53F0DE"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54C74E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12E80B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400DA80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66F303E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(10-740)</w:t>
            </w:r>
          </w:p>
        </w:tc>
        <w:tc>
          <w:tcPr>
            <w:tcW w:w="0" w:type="auto"/>
          </w:tcPr>
          <w:p w14:paraId="13EAABF0" w14:textId="53F24AF6"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70C0"/>
                <w:sz w:val="22"/>
                <w:lang w:val="es-EC"/>
              </w:rPr>
              <w:fldChar w:fldCharType="begin" w:fldLock="1"/>
            </w:r>
            <w:r w:rsidR="00694227">
              <w:rPr>
                <w:color w:val="0070C0"/>
                <w:sz w:val="22"/>
                <w:lang w:val="es-EC"/>
              </w:rPr>
              <w:instrText>ADDIN CSL_CITATION {"citationItems":[{"id":"ITEM-1","itemData":{"DOI":"10.1007/s10661-019-7556-3","ISSN":"15732959","PMID":"31197569","abstract":"The intensive use of fertilizers and pesticides in agriculture has led to widespread nonpoint source pollution in surface waterbodies. In this work, the occurrence and distribution of nonpoint source metals (Cu and Zn) and herbicides (metribuzin; atrazine; and its degradates, including desethyl atrazine (DEA), desisoproylatrazine (DIA), and deethyldeisopropylatrazine (DEDIA)) in the surface water of the Baima River, which is located in a region noted for its intense agricultural activities, were investigated during a high water period in August and a low water period in October. The results showed that the heavy metals and herbicides investigated were detected frequently in the surface water of the river during the two periods. The average concentrations of Cu during the high water period and low water period were 9.3 (0–20.7) and 8.7 (0–15.55) μg/L, and the average concentrations of Zn during the two periods were 11.4 (6.65–22.15) and 10.6 (7.55–15.15) μg/L, respectively. The concentrations of atrazine were higher than those of metribuzin, which ranged from 0.07 to 1.12 μg/L during the high water period and 0.01–0.74 μg/L during the low water period. The total concentrations of atrazine and its transformation products in 60.00% of the samples during the high water period exceeded the maximum contaminant level (MCL) of 3 μg/L for the drinking water criteria in the USA, and 33.33% of the samples exceeded the MCL during the low water period. The spatial and temporal distributions of nonpoint source pollutants along the Baima River were influenced by land use and hydrogeomorphic settings. The ecotoxicological risk assessment indicated that atrazine and DIA have moderate risks to aquatic environment in Baima River.","author":[{"dropping-particle":"","family":"Sun","given":"Xiaoyin","non-dropping-particle":"","parse-names":false,"suffix":""},{"dropping-particle":"","family":"Liu","given":"Fei","non-dropping-particle":"","parse-names":false,"suffix":""},{"dropping-particle":"","family":"Shan","given":"Ruifeng","non-dropping-particle":"","parse-names":false,"suffix":""},{"dropping-particle":"","family":"Fan","given":"Yuna","non-dropping-particle":"","parse-names":false,"suffix":""}],"container-title":"Environmental Monitoring and Assessment","id":"ITEM-1","issue":"7","issued":{"date-parts":[["2019"]]},"publisher":"Environmental Monitoring and Assessment","title":"Spatiotemporal distributions of Cu, Zn, metribuzin, atrazine, and their transformation products in the surface water of a small plain stream in eastern China","type":"article-journal","volume":"191"},"uris":["http://www.mendeley.com/documents/?uuid=a03c1726-f291-4742-8f2a-5e65cd076a9a"]}],"mendeley":{"formattedCitation":"&lt;sup&gt;7&lt;/sup&gt;","plainTextFormattedCitation":"7","previouslyFormattedCitation":"&lt;sup&gt;7&lt;/sup&gt;"},"properties":{"noteIndex":0},"schema":"https://github.com/citation-style-language/schema/raw/master/csl-citation.json"}</w:instrText>
            </w:r>
            <w:r w:rsidRPr="00E547AD">
              <w:rPr>
                <w:color w:val="0070C0"/>
                <w:sz w:val="22"/>
                <w:lang w:val="es-EC"/>
              </w:rPr>
              <w:fldChar w:fldCharType="separate"/>
            </w:r>
            <w:r w:rsidR="00694227" w:rsidRPr="00694227">
              <w:rPr>
                <w:noProof/>
                <w:color w:val="0070C0"/>
                <w:sz w:val="22"/>
                <w:vertAlign w:val="superscript"/>
              </w:rPr>
              <w:t>7</w:t>
            </w:r>
            <w:r w:rsidRPr="00E547AD">
              <w:rPr>
                <w:color w:val="0070C0"/>
                <w:sz w:val="22"/>
                <w:lang w:val="es-EC"/>
              </w:rPr>
              <w:fldChar w:fldCharType="end"/>
            </w:r>
          </w:p>
        </w:tc>
      </w:tr>
      <w:tr w:rsidR="005E13E8" w:rsidRPr="00E547AD" w14:paraId="5C3FFF2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E33290F"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BBAF91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4EF3D77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2009</w:t>
            </w:r>
          </w:p>
        </w:tc>
        <w:tc>
          <w:tcPr>
            <w:tcW w:w="0" w:type="auto"/>
          </w:tcPr>
          <w:p w14:paraId="7B9E4C9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02ED44E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(ND-170)</w:t>
            </w:r>
          </w:p>
        </w:tc>
        <w:tc>
          <w:tcPr>
            <w:tcW w:w="0" w:type="auto"/>
          </w:tcPr>
          <w:p w14:paraId="637A0C8A" w14:textId="6391767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rFonts w:hint="eastAsia"/>
                <w:color w:val="0070C0"/>
                <w:sz w:val="22"/>
              </w:rPr>
              <w:instrText>ADDIN CSL_CITATION {"citationItems":[{"id":"ITEM-1","itemData":{"DOI":"10.16241/j.cnki.1001-5914.2011.10.021","ISBN":"9788578110796","ISSN":"1098-6596","PMID":"25246403","abstract":"</w:instrText>
            </w:r>
            <w:r w:rsidR="00694227">
              <w:rPr>
                <w:rFonts w:hint="eastAsia"/>
                <w:color w:val="0070C0"/>
                <w:sz w:val="22"/>
              </w:rPr>
              <w:instrText>目的</w:instrText>
            </w:r>
            <w:r w:rsidR="00694227">
              <w:rPr>
                <w:rFonts w:hint="eastAsia"/>
                <w:color w:val="0070C0"/>
                <w:sz w:val="22"/>
              </w:rPr>
              <w:instrText xml:space="preserve"> </w:instrText>
            </w:r>
            <w:r w:rsidR="00694227">
              <w:rPr>
                <w:rFonts w:hint="eastAsia"/>
                <w:color w:val="0070C0"/>
                <w:sz w:val="22"/>
              </w:rPr>
              <w:instrText>掌握江苏、浙江、山东省主要地表水源中挥发性有机物（</w:instrText>
            </w:r>
            <w:r w:rsidR="00694227">
              <w:rPr>
                <w:rFonts w:hint="eastAsia"/>
                <w:color w:val="0070C0"/>
                <w:sz w:val="22"/>
              </w:rPr>
              <w:instrText>VOCs</w:instrText>
            </w:r>
            <w:r w:rsidR="00694227">
              <w:rPr>
                <w:rFonts w:hint="eastAsia"/>
                <w:color w:val="0070C0"/>
                <w:sz w:val="22"/>
              </w:rPr>
              <w:instrText>）、半挥发性有机物（</w:instrText>
            </w:r>
            <w:r w:rsidR="00694227">
              <w:rPr>
                <w:rFonts w:hint="eastAsia"/>
                <w:color w:val="0070C0"/>
                <w:sz w:val="22"/>
              </w:rPr>
              <w:instrText>SVOCs</w:instrText>
            </w:r>
            <w:r w:rsidR="00694227">
              <w:rPr>
                <w:rFonts w:hint="eastAsia"/>
                <w:color w:val="0070C0"/>
                <w:sz w:val="22"/>
              </w:rPr>
              <w:instrText>）的污染状况。</w:instrText>
            </w:r>
            <w:r w:rsidR="00694227">
              <w:rPr>
                <w:rFonts w:hint="eastAsia"/>
                <w:color w:val="0070C0"/>
                <w:sz w:val="22"/>
              </w:rPr>
              <w:instrText xml:space="preserve"> </w:instrText>
            </w:r>
            <w:r w:rsidR="00694227">
              <w:rPr>
                <w:rFonts w:hint="eastAsia"/>
                <w:color w:val="0070C0"/>
                <w:sz w:val="22"/>
              </w:rPr>
              <w:instrText>方法</w:instrText>
            </w:r>
            <w:r w:rsidR="00694227">
              <w:rPr>
                <w:rFonts w:hint="eastAsia"/>
                <w:color w:val="0070C0"/>
                <w:sz w:val="22"/>
              </w:rPr>
              <w:instrText xml:space="preserve"> </w:instrText>
            </w:r>
            <w:r w:rsidR="00694227">
              <w:rPr>
                <w:rFonts w:hint="eastAsia"/>
                <w:color w:val="0070C0"/>
                <w:sz w:val="22"/>
              </w:rPr>
              <w:instrText>于</w:instrText>
            </w:r>
            <w:r w:rsidR="00694227">
              <w:rPr>
                <w:rFonts w:hint="eastAsia"/>
                <w:color w:val="0070C0"/>
                <w:sz w:val="22"/>
              </w:rPr>
              <w:instrText xml:space="preserve"> 2009 </w:instrText>
            </w:r>
            <w:r w:rsidR="00694227">
              <w:rPr>
                <w:rFonts w:hint="eastAsia"/>
                <w:color w:val="0070C0"/>
                <w:sz w:val="22"/>
              </w:rPr>
              <w:instrText>年</w:instrText>
            </w:r>
            <w:r w:rsidR="00694227">
              <w:rPr>
                <w:rFonts w:hint="eastAsia"/>
                <w:color w:val="0070C0"/>
                <w:sz w:val="22"/>
              </w:rPr>
              <w:instrText xml:space="preserve"> 5</w:instrText>
            </w:r>
            <w:r w:rsidR="00694227">
              <w:rPr>
                <w:rFonts w:hint="eastAsia"/>
                <w:color w:val="0070C0"/>
                <w:sz w:val="22"/>
              </w:rPr>
              <w:instrText>—</w:instrText>
            </w:r>
            <w:r w:rsidR="00694227">
              <w:rPr>
                <w:rFonts w:hint="eastAsia"/>
                <w:color w:val="0070C0"/>
                <w:sz w:val="22"/>
              </w:rPr>
              <w:instrText xml:space="preserve">8 </w:instrText>
            </w:r>
            <w:r w:rsidR="00694227">
              <w:rPr>
                <w:rFonts w:hint="eastAsia"/>
                <w:color w:val="0070C0"/>
                <w:sz w:val="22"/>
              </w:rPr>
              <w:instrText>月，检测江苏、浙江、山东省的</w:instrText>
            </w:r>
            <w:r w:rsidR="00694227">
              <w:rPr>
                <w:rFonts w:hint="eastAsia"/>
                <w:color w:val="0070C0"/>
                <w:sz w:val="22"/>
              </w:rPr>
              <w:instrText xml:space="preserve"> 21 </w:instrText>
            </w:r>
            <w:r w:rsidR="00694227">
              <w:rPr>
                <w:rFonts w:hint="eastAsia"/>
                <w:color w:val="0070C0"/>
                <w:sz w:val="22"/>
              </w:rPr>
              <w:instrText>个主要城市地表水源</w:instrText>
            </w:r>
            <w:r w:rsidR="00694227">
              <w:rPr>
                <w:rFonts w:hint="eastAsia"/>
                <w:color w:val="0070C0"/>
                <w:sz w:val="22"/>
              </w:rPr>
              <w:instrText xml:space="preserve"> 126 </w:instrText>
            </w:r>
            <w:r w:rsidR="00694227">
              <w:rPr>
                <w:rFonts w:hint="eastAsia"/>
                <w:color w:val="0070C0"/>
                <w:sz w:val="22"/>
              </w:rPr>
              <w:instrText>件水样中的</w:instrText>
            </w:r>
            <w:r w:rsidR="00694227">
              <w:rPr>
                <w:rFonts w:hint="eastAsia"/>
                <w:color w:val="0070C0"/>
                <w:sz w:val="22"/>
              </w:rPr>
              <w:instrText xml:space="preserve"> 25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38 </w:instrText>
            </w:r>
            <w:r w:rsidR="00694227">
              <w:rPr>
                <w:rFonts w:hint="eastAsia"/>
                <w:color w:val="0070C0"/>
                <w:sz w:val="22"/>
              </w:rPr>
              <w:instrText>种</w:instrText>
            </w:r>
            <w:r w:rsidR="00694227">
              <w:rPr>
                <w:rFonts w:hint="eastAsia"/>
                <w:color w:val="0070C0"/>
                <w:sz w:val="22"/>
              </w:rPr>
              <w:instrText xml:space="preserve"> SVOCs </w:instrText>
            </w:r>
            <w:r w:rsidR="00694227">
              <w:rPr>
                <w:rFonts w:hint="eastAsia"/>
                <w:color w:val="0070C0"/>
                <w:sz w:val="22"/>
              </w:rPr>
              <w:instrText>的水平。除二溴一氯甲烷按照</w:instrText>
            </w:r>
            <w:r w:rsidR="00694227">
              <w:rPr>
                <w:rFonts w:hint="eastAsia"/>
                <w:color w:val="0070C0"/>
                <w:sz w:val="22"/>
              </w:rPr>
              <w:instrText xml:space="preserve"> GB 5749</w:instrText>
            </w:r>
            <w:r w:rsidR="00694227">
              <w:rPr>
                <w:rFonts w:hint="eastAsia"/>
                <w:color w:val="0070C0"/>
                <w:sz w:val="22"/>
              </w:rPr>
              <w:instrText>—</w:instrText>
            </w:r>
            <w:r w:rsidR="00694227">
              <w:rPr>
                <w:rFonts w:hint="eastAsia"/>
                <w:color w:val="0070C0"/>
                <w:sz w:val="22"/>
              </w:rPr>
              <w:instrText>2006</w:instrText>
            </w:r>
            <w:r w:rsidR="00694227">
              <w:rPr>
                <w:rFonts w:hint="eastAsia"/>
                <w:color w:val="0070C0"/>
                <w:sz w:val="22"/>
              </w:rPr>
              <w:instrText>《生活饮用水卫生标准》外，其余指标按照</w:instrText>
            </w:r>
            <w:r w:rsidR="00694227">
              <w:rPr>
                <w:rFonts w:hint="eastAsia"/>
                <w:color w:val="0070C0"/>
                <w:sz w:val="22"/>
              </w:rPr>
              <w:instrText xml:space="preserve"> GB 3838</w:instrText>
            </w:r>
            <w:r w:rsidR="00694227">
              <w:rPr>
                <w:rFonts w:hint="eastAsia"/>
                <w:color w:val="0070C0"/>
                <w:sz w:val="22"/>
              </w:rPr>
              <w:instrText>—</w:instrText>
            </w:r>
            <w:r w:rsidR="00694227">
              <w:rPr>
                <w:rFonts w:hint="eastAsia"/>
                <w:color w:val="0070C0"/>
                <w:sz w:val="22"/>
              </w:rPr>
              <w:instrText>2002</w:instrText>
            </w:r>
            <w:r w:rsidR="00694227">
              <w:rPr>
                <w:rFonts w:hint="eastAsia"/>
                <w:color w:val="0070C0"/>
                <w:sz w:val="22"/>
              </w:rPr>
              <w:instrText>《地表水环境质量</w:instrText>
            </w:r>
            <w:r w:rsidR="00694227">
              <w:rPr>
                <w:rFonts w:hint="eastAsia"/>
                <w:color w:val="0070C0"/>
                <w:sz w:val="22"/>
              </w:rPr>
              <w:instrText xml:space="preserve"> </w:instrText>
            </w:r>
            <w:r w:rsidR="00694227">
              <w:rPr>
                <w:rFonts w:hint="eastAsia"/>
                <w:color w:val="0070C0"/>
                <w:sz w:val="22"/>
              </w:rPr>
              <w:instrText>标准》中集中式生活饮用水地表水源地特定项目标准限值对检测结果进行评价。结果</w:instrText>
            </w:r>
            <w:r w:rsidR="00694227">
              <w:rPr>
                <w:rFonts w:hint="eastAsia"/>
                <w:color w:val="0070C0"/>
                <w:sz w:val="22"/>
              </w:rPr>
              <w:instrText xml:space="preserve"> </w:instrText>
            </w:r>
            <w:r w:rsidR="00694227">
              <w:rPr>
                <w:rFonts w:hint="eastAsia"/>
                <w:color w:val="0070C0"/>
                <w:sz w:val="22"/>
              </w:rPr>
              <w:instrText>共检出</w:instrText>
            </w:r>
            <w:r w:rsidR="00694227">
              <w:rPr>
                <w:rFonts w:hint="eastAsia"/>
                <w:color w:val="0070C0"/>
                <w:sz w:val="22"/>
              </w:rPr>
              <w:instrText xml:space="preserve"> 19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10 </w:instrText>
            </w:r>
            <w:r w:rsidR="00694227">
              <w:rPr>
                <w:rFonts w:hint="eastAsia"/>
                <w:color w:val="0070C0"/>
                <w:sz w:val="22"/>
              </w:rPr>
              <w:instrText>种</w:instrText>
            </w:r>
            <w:r w:rsidR="00694227">
              <w:rPr>
                <w:rFonts w:hint="eastAsia"/>
                <w:color w:val="0070C0"/>
                <w:sz w:val="22"/>
              </w:rPr>
              <w:instrText xml:space="preserve"> SVOCs</w:instrText>
            </w:r>
            <w:r w:rsidR="00694227">
              <w:rPr>
                <w:rFonts w:hint="eastAsia"/>
                <w:color w:val="0070C0"/>
                <w:sz w:val="22"/>
              </w:rPr>
              <w:instrText>，</w:instrText>
            </w:r>
            <w:r w:rsidR="00694227">
              <w:rPr>
                <w:rFonts w:hint="eastAsia"/>
                <w:color w:val="0070C0"/>
                <w:sz w:val="22"/>
              </w:rPr>
              <w:instrText xml:space="preserve"> </w:instrText>
            </w:r>
            <w:r w:rsidR="00694227">
              <w:rPr>
                <w:rFonts w:hint="eastAsia"/>
                <w:color w:val="0070C0"/>
                <w:sz w:val="22"/>
              </w:rPr>
              <w:instrText>其中，属于中国或美国环境保护局提出的“水中优先控制污染物”的有机物，包括挥发性氯代烃（三氯甲烷、四氯化碳、</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二氯乙烷、三氯乙烯、四氯乙烯）、苯系物（苯、甲苯、邻二甲苯、间二甲苯、对二甲苯）、氯代苯类（氯苯、</w:instrText>
            </w:r>
            <w:r w:rsidR="00694227">
              <w:rPr>
                <w:rFonts w:hint="eastAsia"/>
                <w:color w:val="0070C0"/>
                <w:sz w:val="22"/>
              </w:rPr>
              <w:instrText>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二氯苯）、酚类（</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二氯苯酚、</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三氯酚、五氯酚）、硝基苯类（硝基苯、</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三硝基甲苯）、酞酸酯类</w:instrText>
            </w:r>
            <w:r w:rsidR="00694227">
              <w:rPr>
                <w:rFonts w:hint="eastAsia"/>
                <w:color w:val="0070C0"/>
                <w:sz w:val="22"/>
              </w:rPr>
              <w:instrText>[</w:instrText>
            </w:r>
            <w:r w:rsidR="00694227">
              <w:rPr>
                <w:rFonts w:hint="eastAsia"/>
                <w:color w:val="0070C0"/>
                <w:sz w:val="22"/>
              </w:rPr>
              <w:instrText>邻苯二甲</w:instrText>
            </w:r>
            <w:r w:rsidR="00694227">
              <w:rPr>
                <w:rFonts w:hint="eastAsia"/>
                <w:color w:val="0070C0"/>
                <w:sz w:val="22"/>
              </w:rPr>
              <w:instrText xml:space="preserve"> </w:instrText>
            </w:r>
            <w:r w:rsidR="00694227">
              <w:rPr>
                <w:rFonts w:hint="eastAsia"/>
                <w:color w:val="0070C0"/>
                <w:sz w:val="22"/>
              </w:rPr>
              <w:instrText>酸二（</w:instrText>
            </w:r>
            <w:r w:rsidR="00694227">
              <w:rPr>
                <w:rFonts w:hint="eastAsia"/>
                <w:color w:val="0070C0"/>
                <w:sz w:val="22"/>
              </w:rPr>
              <w:instrText>2-</w:instrText>
            </w:r>
            <w:r w:rsidR="00694227">
              <w:rPr>
                <w:rFonts w:hint="eastAsia"/>
                <w:color w:val="0070C0"/>
                <w:sz w:val="22"/>
              </w:rPr>
              <w:instrText>乙基己基）酯</w:instrText>
            </w:r>
            <w:r w:rsidR="00694227">
              <w:rPr>
                <w:rFonts w:hint="eastAsia"/>
                <w:color w:val="0070C0"/>
                <w:sz w:val="22"/>
              </w:rPr>
              <w:instrText>]</w:instrText>
            </w:r>
            <w:r w:rsidR="00694227">
              <w:rPr>
                <w:rFonts w:hint="eastAsia"/>
                <w:color w:val="0070C0"/>
                <w:sz w:val="22"/>
              </w:rPr>
              <w:instrText>、农药（乐果、莠去津），共计</w:instrText>
            </w:r>
            <w:r w:rsidR="00694227">
              <w:rPr>
                <w:rFonts w:hint="eastAsia"/>
                <w:color w:val="0070C0"/>
                <w:sz w:val="22"/>
              </w:rPr>
              <w:instrText xml:space="preserve"> 21 </w:instrText>
            </w:r>
            <w:r w:rsidR="00694227">
              <w:rPr>
                <w:rFonts w:hint="eastAsia"/>
                <w:color w:val="0070C0"/>
                <w:sz w:val="22"/>
              </w:rPr>
              <w:instrText>种，最高浓度为</w:instrText>
            </w:r>
            <w:r w:rsidR="00694227">
              <w:rPr>
                <w:rFonts w:hint="eastAsia"/>
                <w:color w:val="0070C0"/>
                <w:sz w:val="22"/>
              </w:rPr>
              <w:instrText xml:space="preserve"> 27.79 </w:instrText>
            </w:r>
            <w:r w:rsidR="00694227">
              <w:rPr>
                <w:rFonts w:hint="eastAsia"/>
                <w:color w:val="0070C0"/>
                <w:sz w:val="22"/>
              </w:rPr>
              <w:instrText>μ</w:instrText>
            </w:r>
            <w:r w:rsidR="00694227">
              <w:rPr>
                <w:rFonts w:hint="eastAsia"/>
                <w:color w:val="0070C0"/>
                <w:sz w:val="22"/>
              </w:rPr>
              <w:instrText>g/L</w:instrText>
            </w:r>
            <w:r w:rsidR="00694227">
              <w:rPr>
                <w:rFonts w:hint="eastAsia"/>
                <w:color w:val="0070C0"/>
                <w:sz w:val="22"/>
              </w:rPr>
              <w:instrText>。所有被检测的</w:instrText>
            </w:r>
            <w:r w:rsidR="00694227">
              <w:rPr>
                <w:rFonts w:hint="eastAsia"/>
                <w:color w:val="0070C0"/>
                <w:sz w:val="22"/>
              </w:rPr>
              <w:instrText xml:space="preserve"> SVOCs </w:instrText>
            </w:r>
            <w:r w:rsidR="00694227">
              <w:rPr>
                <w:rFonts w:hint="eastAsia"/>
                <w:color w:val="0070C0"/>
                <w:sz w:val="22"/>
              </w:rPr>
              <w:instrText>和</w:instrText>
            </w:r>
            <w:r w:rsidR="00694227">
              <w:rPr>
                <w:rFonts w:hint="eastAsia"/>
                <w:color w:val="0070C0"/>
                <w:sz w:val="22"/>
              </w:rPr>
              <w:instrText xml:space="preserve"> VOCs </w:instrText>
            </w:r>
            <w:r w:rsidR="00694227">
              <w:rPr>
                <w:rFonts w:hint="eastAsia"/>
                <w:color w:val="0070C0"/>
                <w:sz w:val="22"/>
              </w:rPr>
              <w:instrText>均未超</w:instrText>
            </w:r>
            <w:r w:rsidR="00694227">
              <w:rPr>
                <w:rFonts w:hint="eastAsia"/>
                <w:color w:val="0070C0"/>
                <w:sz w:val="22"/>
              </w:rPr>
              <w:instrText xml:space="preserve"> </w:instrText>
            </w:r>
            <w:r w:rsidR="00694227">
              <w:rPr>
                <w:rFonts w:hint="eastAsia"/>
                <w:color w:val="0070C0"/>
                <w:sz w:val="22"/>
              </w:rPr>
              <w:instrText>标。检出率较高的有邻苯二甲酸二（</w:instrText>
            </w:r>
            <w:r w:rsidR="00694227">
              <w:rPr>
                <w:rFonts w:hint="eastAsia"/>
                <w:color w:val="0070C0"/>
                <w:sz w:val="22"/>
              </w:rPr>
              <w:instrText>2-</w:instrText>
            </w:r>
            <w:r w:rsidR="00694227">
              <w:rPr>
                <w:rFonts w:hint="eastAsia"/>
                <w:color w:val="0070C0"/>
                <w:sz w:val="22"/>
              </w:rPr>
              <w:instrText>乙基己基）酯，在所有水样中均被检出；江苏长江段所有水样中均检出</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二氯苯、乐果，五氯酚检出率为</w:instrText>
            </w:r>
            <w:r w:rsidR="00694227">
              <w:rPr>
                <w:rFonts w:hint="eastAsia"/>
                <w:color w:val="0070C0"/>
                <w:sz w:val="22"/>
              </w:rPr>
              <w:instrText xml:space="preserve"> 87.50%</w:instrText>
            </w:r>
            <w:r w:rsidR="00694227">
              <w:rPr>
                <w:rFonts w:hint="eastAsia"/>
                <w:color w:val="0070C0"/>
                <w:sz w:val="22"/>
              </w:rPr>
              <w:instrText>，江苏非长江主要地表水源水样中阿特拉津检出率为</w:instrText>
            </w:r>
            <w:r w:rsidR="00694227">
              <w:rPr>
                <w:rFonts w:hint="eastAsia"/>
                <w:color w:val="0070C0"/>
                <w:sz w:val="22"/>
              </w:rPr>
              <w:instrText xml:space="preserve"> 85.71%</w:instrText>
            </w:r>
            <w:r w:rsidR="00694227">
              <w:rPr>
                <w:rFonts w:hint="eastAsia"/>
                <w:color w:val="0070C0"/>
                <w:sz w:val="22"/>
              </w:rPr>
              <w:instrText>，山东玉清湖的</w:instrText>
            </w:r>
            <w:r w:rsidR="00694227">
              <w:rPr>
                <w:rFonts w:hint="eastAsia"/>
                <w:color w:val="0070C0"/>
                <w:sz w:val="22"/>
              </w:rPr>
              <w:instrText xml:space="preserve"> </w:instrText>
            </w:r>
            <w:r w:rsidR="00694227">
              <w:rPr>
                <w:rFonts w:hint="eastAsia"/>
                <w:color w:val="0070C0"/>
                <w:sz w:val="22"/>
              </w:rPr>
              <w:instrText>阿特拉津检出率</w:instrText>
            </w:r>
            <w:r w:rsidR="00694227">
              <w:rPr>
                <w:rFonts w:hint="eastAsia"/>
                <w:color w:val="0070C0"/>
                <w:sz w:val="22"/>
              </w:rPr>
              <w:instrText xml:space="preserve"> 100%</w:instrText>
            </w:r>
            <w:r w:rsidR="00694227">
              <w:rPr>
                <w:rFonts w:hint="eastAsia"/>
                <w:color w:val="0070C0"/>
                <w:sz w:val="22"/>
              </w:rPr>
              <w:instrText>。结论</w:instrText>
            </w:r>
            <w:r w:rsidR="00694227">
              <w:rPr>
                <w:rFonts w:hint="eastAsia"/>
                <w:color w:val="0070C0"/>
                <w:sz w:val="22"/>
              </w:rPr>
              <w:instrText xml:space="preserve"> </w:instrText>
            </w:r>
            <w:r w:rsidR="00694227">
              <w:rPr>
                <w:rFonts w:hint="eastAsia"/>
                <w:color w:val="0070C0"/>
                <w:sz w:val="22"/>
              </w:rPr>
              <w:instrText>江苏、浙江、山东省的主要地表水源存在</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SVOCs </w:instrText>
            </w:r>
            <w:r w:rsidR="00694227">
              <w:rPr>
                <w:rFonts w:hint="eastAsia"/>
                <w:color w:val="0070C0"/>
                <w:sz w:val="22"/>
              </w:rPr>
              <w:instrText>污染。</w:instrText>
            </w:r>
            <w:r w:rsidR="00694227">
              <w:rPr>
                <w:rFonts w:hint="eastAsia"/>
                <w:color w:val="0070C0"/>
                <w:sz w:val="22"/>
              </w:rPr>
              <w:instrText>","author":[{"dropping-particle":"","family":"Han","given":"Fangan","non-dropping-particle":"","parse-names":false,"suffix":""},{"dropping-particle":</w:instrText>
            </w:r>
            <w:r w:rsidR="00694227">
              <w:rPr>
                <w:color w:val="0070C0"/>
                <w:sz w:val="22"/>
              </w:rPr>
              <w:instrText>"","family":"Chen","given":"Jun","non-dropping-particle":"","parse-names":false,"suffix":""},{"dropping-particle":"","family":"Jiang","given":"Zhaofeng","non-dropping-particle":"","parse-names":false,"suffix":""},{"dropping-particle":"","family":"Ji","given":"Wenliang","non-dropping-particle":"","parse-names":false,"suffix":""},{"dropping-particle":"","family":"Xu","given":"Lan","non-dropping-particle":"","parse-names":false,"suffix":""},{"dropping-particle":"","family":"Chen","given":"Liansheng","non-dropping-particle":"","parse-names":false,"suffix":""},{"dropping-particle":"","family":"Li","given":"Xiaojuan","non-dropping-particle":"","parse-names":false,"suffix":""},{"dropping-particle":"","family":"Zhou","given":"Changmei","non-dropping-particle":"",</w:instrText>
            </w:r>
            <w:r w:rsidR="00694227">
              <w:rPr>
                <w:rFonts w:hint="eastAsia"/>
                <w:color w:val="0070C0"/>
                <w:sz w:val="22"/>
              </w:rPr>
              <w:instrText>"parse-names":false,"suffix":""}],"container-title":"Journal of Environmental Health","id":"ITEM-1","issue":"10","issued":{"date-parts":[["2011"]]},"page":"890-894","title":"Investigation of VOCs and SVOCs in Surface Water Source in Jiangsu</w:instrText>
            </w:r>
            <w:r w:rsidR="00694227">
              <w:rPr>
                <w:rFonts w:hint="eastAsia"/>
                <w:color w:val="0070C0"/>
                <w:sz w:val="22"/>
              </w:rPr>
              <w:instrText>，</w:instrText>
            </w:r>
            <w:r w:rsidR="00694227">
              <w:rPr>
                <w:rFonts w:hint="eastAsia"/>
                <w:color w:val="0070C0"/>
                <w:sz w:val="22"/>
              </w:rPr>
              <w:instrText>Zhejiang</w:instrText>
            </w:r>
            <w:r w:rsidR="00694227">
              <w:rPr>
                <w:rFonts w:hint="eastAsia"/>
                <w:color w:val="0070C0"/>
                <w:sz w:val="22"/>
              </w:rPr>
              <w:instrText>，</w:instrText>
            </w:r>
            <w:r w:rsidR="00694227">
              <w:rPr>
                <w:rFonts w:hint="eastAsia"/>
                <w:color w:val="0070C0"/>
                <w:sz w:val="22"/>
              </w:rPr>
              <w:instrText>Shandong Province</w:instrText>
            </w:r>
            <w:r w:rsidR="00694227">
              <w:rPr>
                <w:rFonts w:hint="eastAsia"/>
                <w:color w:val="0070C0"/>
                <w:sz w:val="22"/>
              </w:rPr>
              <w:instrText>，</w:instrText>
            </w:r>
            <w:r w:rsidR="00694227">
              <w:rPr>
                <w:rFonts w:hint="eastAsia"/>
                <w:color w:val="0070C0"/>
                <w:sz w:val="22"/>
              </w:rPr>
              <w:instrText>China","type":"article-journal","volume":"28"},"uris":["http://www.mendeley.com/documents/?uuid=7d592b17-68c1-4df3-be66-50f1b86d672f"]}],"mendeley":{"formattedCitation":"&lt;sup&gt;8&lt;/sup&gt;","plainTextFormattedCitation":"8","previouslyFormattedCitat</w:instrText>
            </w:r>
            <w:r w:rsidR="00694227">
              <w:rPr>
                <w:color w:val="0070C0"/>
                <w:sz w:val="22"/>
              </w:rPr>
              <w:instrText>ion":"&lt;sup&gt;8&lt;/sup&gt;"},"properties":{"noteIndex":0},"schema":"https://github.com/citation-style-language/schema/raw/master/csl-citation.json"}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8</w:t>
            </w:r>
            <w:r w:rsidRPr="00E547AD">
              <w:rPr>
                <w:color w:val="0070C0"/>
                <w:sz w:val="22"/>
              </w:rPr>
              <w:fldChar w:fldCharType="end"/>
            </w:r>
          </w:p>
        </w:tc>
      </w:tr>
      <w:tr w:rsidR="002D64E5" w:rsidRPr="00E547AD" w14:paraId="52AD53E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E2D2130"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45EFEF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0B68ED8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2009</w:t>
            </w:r>
          </w:p>
        </w:tc>
        <w:tc>
          <w:tcPr>
            <w:tcW w:w="0" w:type="auto"/>
          </w:tcPr>
          <w:p w14:paraId="536C2D2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780E03D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210</w:t>
            </w:r>
          </w:p>
          <w:p w14:paraId="4CB64FE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(ND - 420)</w:t>
            </w:r>
          </w:p>
        </w:tc>
        <w:tc>
          <w:tcPr>
            <w:tcW w:w="0" w:type="auto"/>
          </w:tcPr>
          <w:p w14:paraId="09245A6A" w14:textId="610514E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rFonts w:hint="eastAsia"/>
                <w:color w:val="0070C0"/>
                <w:sz w:val="22"/>
              </w:rPr>
              <w:instrText>ADDIN CSL_CITATION {"citationItems":[{"id":"ITEM-1","itemData":{"DOI":"10.16241/j.cnki.1001-5914.2011.10.021","ISBN":"9788578110796","ISSN":"1098-6596","PMID":"25246403","abstract":"</w:instrText>
            </w:r>
            <w:r w:rsidR="00694227">
              <w:rPr>
                <w:rFonts w:hint="eastAsia"/>
                <w:color w:val="0070C0"/>
                <w:sz w:val="22"/>
              </w:rPr>
              <w:instrText>目的</w:instrText>
            </w:r>
            <w:r w:rsidR="00694227">
              <w:rPr>
                <w:rFonts w:hint="eastAsia"/>
                <w:color w:val="0070C0"/>
                <w:sz w:val="22"/>
              </w:rPr>
              <w:instrText xml:space="preserve"> </w:instrText>
            </w:r>
            <w:r w:rsidR="00694227">
              <w:rPr>
                <w:rFonts w:hint="eastAsia"/>
                <w:color w:val="0070C0"/>
                <w:sz w:val="22"/>
              </w:rPr>
              <w:instrText>掌握江苏、浙江、山东省主要地表水源中挥发性有机物（</w:instrText>
            </w:r>
            <w:r w:rsidR="00694227">
              <w:rPr>
                <w:rFonts w:hint="eastAsia"/>
                <w:color w:val="0070C0"/>
                <w:sz w:val="22"/>
              </w:rPr>
              <w:instrText>VOCs</w:instrText>
            </w:r>
            <w:r w:rsidR="00694227">
              <w:rPr>
                <w:rFonts w:hint="eastAsia"/>
                <w:color w:val="0070C0"/>
                <w:sz w:val="22"/>
              </w:rPr>
              <w:instrText>）、半挥发性有机物（</w:instrText>
            </w:r>
            <w:r w:rsidR="00694227">
              <w:rPr>
                <w:rFonts w:hint="eastAsia"/>
                <w:color w:val="0070C0"/>
                <w:sz w:val="22"/>
              </w:rPr>
              <w:instrText>SVOCs</w:instrText>
            </w:r>
            <w:r w:rsidR="00694227">
              <w:rPr>
                <w:rFonts w:hint="eastAsia"/>
                <w:color w:val="0070C0"/>
                <w:sz w:val="22"/>
              </w:rPr>
              <w:instrText>）的污染状况。</w:instrText>
            </w:r>
            <w:r w:rsidR="00694227">
              <w:rPr>
                <w:rFonts w:hint="eastAsia"/>
                <w:color w:val="0070C0"/>
                <w:sz w:val="22"/>
              </w:rPr>
              <w:instrText xml:space="preserve"> </w:instrText>
            </w:r>
            <w:r w:rsidR="00694227">
              <w:rPr>
                <w:rFonts w:hint="eastAsia"/>
                <w:color w:val="0070C0"/>
                <w:sz w:val="22"/>
              </w:rPr>
              <w:instrText>方法</w:instrText>
            </w:r>
            <w:r w:rsidR="00694227">
              <w:rPr>
                <w:rFonts w:hint="eastAsia"/>
                <w:color w:val="0070C0"/>
                <w:sz w:val="22"/>
              </w:rPr>
              <w:instrText xml:space="preserve"> </w:instrText>
            </w:r>
            <w:r w:rsidR="00694227">
              <w:rPr>
                <w:rFonts w:hint="eastAsia"/>
                <w:color w:val="0070C0"/>
                <w:sz w:val="22"/>
              </w:rPr>
              <w:instrText>于</w:instrText>
            </w:r>
            <w:r w:rsidR="00694227">
              <w:rPr>
                <w:rFonts w:hint="eastAsia"/>
                <w:color w:val="0070C0"/>
                <w:sz w:val="22"/>
              </w:rPr>
              <w:instrText xml:space="preserve"> 2009 </w:instrText>
            </w:r>
            <w:r w:rsidR="00694227">
              <w:rPr>
                <w:rFonts w:hint="eastAsia"/>
                <w:color w:val="0070C0"/>
                <w:sz w:val="22"/>
              </w:rPr>
              <w:instrText>年</w:instrText>
            </w:r>
            <w:r w:rsidR="00694227">
              <w:rPr>
                <w:rFonts w:hint="eastAsia"/>
                <w:color w:val="0070C0"/>
                <w:sz w:val="22"/>
              </w:rPr>
              <w:instrText xml:space="preserve"> 5</w:instrText>
            </w:r>
            <w:r w:rsidR="00694227">
              <w:rPr>
                <w:rFonts w:hint="eastAsia"/>
                <w:color w:val="0070C0"/>
                <w:sz w:val="22"/>
              </w:rPr>
              <w:instrText>—</w:instrText>
            </w:r>
            <w:r w:rsidR="00694227">
              <w:rPr>
                <w:rFonts w:hint="eastAsia"/>
                <w:color w:val="0070C0"/>
                <w:sz w:val="22"/>
              </w:rPr>
              <w:instrText xml:space="preserve">8 </w:instrText>
            </w:r>
            <w:r w:rsidR="00694227">
              <w:rPr>
                <w:rFonts w:hint="eastAsia"/>
                <w:color w:val="0070C0"/>
                <w:sz w:val="22"/>
              </w:rPr>
              <w:instrText>月，检测江苏、浙江、山东省的</w:instrText>
            </w:r>
            <w:r w:rsidR="00694227">
              <w:rPr>
                <w:rFonts w:hint="eastAsia"/>
                <w:color w:val="0070C0"/>
                <w:sz w:val="22"/>
              </w:rPr>
              <w:instrText xml:space="preserve"> 21 </w:instrText>
            </w:r>
            <w:r w:rsidR="00694227">
              <w:rPr>
                <w:rFonts w:hint="eastAsia"/>
                <w:color w:val="0070C0"/>
                <w:sz w:val="22"/>
              </w:rPr>
              <w:instrText>个主要城市地表水源</w:instrText>
            </w:r>
            <w:r w:rsidR="00694227">
              <w:rPr>
                <w:rFonts w:hint="eastAsia"/>
                <w:color w:val="0070C0"/>
                <w:sz w:val="22"/>
              </w:rPr>
              <w:instrText xml:space="preserve"> 126 </w:instrText>
            </w:r>
            <w:r w:rsidR="00694227">
              <w:rPr>
                <w:rFonts w:hint="eastAsia"/>
                <w:color w:val="0070C0"/>
                <w:sz w:val="22"/>
              </w:rPr>
              <w:instrText>件水样中的</w:instrText>
            </w:r>
            <w:r w:rsidR="00694227">
              <w:rPr>
                <w:rFonts w:hint="eastAsia"/>
                <w:color w:val="0070C0"/>
                <w:sz w:val="22"/>
              </w:rPr>
              <w:instrText xml:space="preserve"> 25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38 </w:instrText>
            </w:r>
            <w:r w:rsidR="00694227">
              <w:rPr>
                <w:rFonts w:hint="eastAsia"/>
                <w:color w:val="0070C0"/>
                <w:sz w:val="22"/>
              </w:rPr>
              <w:instrText>种</w:instrText>
            </w:r>
            <w:r w:rsidR="00694227">
              <w:rPr>
                <w:rFonts w:hint="eastAsia"/>
                <w:color w:val="0070C0"/>
                <w:sz w:val="22"/>
              </w:rPr>
              <w:instrText xml:space="preserve"> SVOCs </w:instrText>
            </w:r>
            <w:r w:rsidR="00694227">
              <w:rPr>
                <w:rFonts w:hint="eastAsia"/>
                <w:color w:val="0070C0"/>
                <w:sz w:val="22"/>
              </w:rPr>
              <w:instrText>的水平。除二溴一氯甲烷按照</w:instrText>
            </w:r>
            <w:r w:rsidR="00694227">
              <w:rPr>
                <w:rFonts w:hint="eastAsia"/>
                <w:color w:val="0070C0"/>
                <w:sz w:val="22"/>
              </w:rPr>
              <w:instrText xml:space="preserve"> GB 5749</w:instrText>
            </w:r>
            <w:r w:rsidR="00694227">
              <w:rPr>
                <w:rFonts w:hint="eastAsia"/>
                <w:color w:val="0070C0"/>
                <w:sz w:val="22"/>
              </w:rPr>
              <w:instrText>—</w:instrText>
            </w:r>
            <w:r w:rsidR="00694227">
              <w:rPr>
                <w:rFonts w:hint="eastAsia"/>
                <w:color w:val="0070C0"/>
                <w:sz w:val="22"/>
              </w:rPr>
              <w:instrText>2006</w:instrText>
            </w:r>
            <w:r w:rsidR="00694227">
              <w:rPr>
                <w:rFonts w:hint="eastAsia"/>
                <w:color w:val="0070C0"/>
                <w:sz w:val="22"/>
              </w:rPr>
              <w:instrText>《生活饮用水卫生标准》外，其余指标按照</w:instrText>
            </w:r>
            <w:r w:rsidR="00694227">
              <w:rPr>
                <w:rFonts w:hint="eastAsia"/>
                <w:color w:val="0070C0"/>
                <w:sz w:val="22"/>
              </w:rPr>
              <w:instrText xml:space="preserve"> GB 3838</w:instrText>
            </w:r>
            <w:r w:rsidR="00694227">
              <w:rPr>
                <w:rFonts w:hint="eastAsia"/>
                <w:color w:val="0070C0"/>
                <w:sz w:val="22"/>
              </w:rPr>
              <w:instrText>—</w:instrText>
            </w:r>
            <w:r w:rsidR="00694227">
              <w:rPr>
                <w:rFonts w:hint="eastAsia"/>
                <w:color w:val="0070C0"/>
                <w:sz w:val="22"/>
              </w:rPr>
              <w:instrText>2002</w:instrText>
            </w:r>
            <w:r w:rsidR="00694227">
              <w:rPr>
                <w:rFonts w:hint="eastAsia"/>
                <w:color w:val="0070C0"/>
                <w:sz w:val="22"/>
              </w:rPr>
              <w:instrText>《地表水环境质量</w:instrText>
            </w:r>
            <w:r w:rsidR="00694227">
              <w:rPr>
                <w:rFonts w:hint="eastAsia"/>
                <w:color w:val="0070C0"/>
                <w:sz w:val="22"/>
              </w:rPr>
              <w:instrText xml:space="preserve"> </w:instrText>
            </w:r>
            <w:r w:rsidR="00694227">
              <w:rPr>
                <w:rFonts w:hint="eastAsia"/>
                <w:color w:val="0070C0"/>
                <w:sz w:val="22"/>
              </w:rPr>
              <w:instrText>标准》中集中式生活饮用水地表水源地特定项目标准限值对检测结果进行评价。结果</w:instrText>
            </w:r>
            <w:r w:rsidR="00694227">
              <w:rPr>
                <w:rFonts w:hint="eastAsia"/>
                <w:color w:val="0070C0"/>
                <w:sz w:val="22"/>
              </w:rPr>
              <w:instrText xml:space="preserve"> </w:instrText>
            </w:r>
            <w:r w:rsidR="00694227">
              <w:rPr>
                <w:rFonts w:hint="eastAsia"/>
                <w:color w:val="0070C0"/>
                <w:sz w:val="22"/>
              </w:rPr>
              <w:instrText>共检出</w:instrText>
            </w:r>
            <w:r w:rsidR="00694227">
              <w:rPr>
                <w:rFonts w:hint="eastAsia"/>
                <w:color w:val="0070C0"/>
                <w:sz w:val="22"/>
              </w:rPr>
              <w:instrText xml:space="preserve"> 19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10 </w:instrText>
            </w:r>
            <w:r w:rsidR="00694227">
              <w:rPr>
                <w:rFonts w:hint="eastAsia"/>
                <w:color w:val="0070C0"/>
                <w:sz w:val="22"/>
              </w:rPr>
              <w:instrText>种</w:instrText>
            </w:r>
            <w:r w:rsidR="00694227">
              <w:rPr>
                <w:rFonts w:hint="eastAsia"/>
                <w:color w:val="0070C0"/>
                <w:sz w:val="22"/>
              </w:rPr>
              <w:instrText xml:space="preserve"> SVOCs</w:instrText>
            </w:r>
            <w:r w:rsidR="00694227">
              <w:rPr>
                <w:rFonts w:hint="eastAsia"/>
                <w:color w:val="0070C0"/>
                <w:sz w:val="22"/>
              </w:rPr>
              <w:instrText>，</w:instrText>
            </w:r>
            <w:r w:rsidR="00694227">
              <w:rPr>
                <w:rFonts w:hint="eastAsia"/>
                <w:color w:val="0070C0"/>
                <w:sz w:val="22"/>
              </w:rPr>
              <w:instrText xml:space="preserve"> </w:instrText>
            </w:r>
            <w:r w:rsidR="00694227">
              <w:rPr>
                <w:rFonts w:hint="eastAsia"/>
                <w:color w:val="0070C0"/>
                <w:sz w:val="22"/>
              </w:rPr>
              <w:instrText>其中，属于中国或美国环境保护局提出的“水中优先控制污染物”的有机物，包括挥发性氯代烃（三氯甲烷、四氯化碳、</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二氯乙烷、三氯乙烯、四氯乙烯）、苯系物（苯、甲苯、邻二甲苯、间二甲苯、对二甲苯）、氯代苯类（氯苯、</w:instrText>
            </w:r>
            <w:r w:rsidR="00694227">
              <w:rPr>
                <w:rFonts w:hint="eastAsia"/>
                <w:color w:val="0070C0"/>
                <w:sz w:val="22"/>
              </w:rPr>
              <w:instrText>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二氯苯）、酚类（</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二氯苯酚、</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三氯酚、五氯酚）、硝基苯类（硝基苯、</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三硝基甲苯）、酞酸酯类</w:instrText>
            </w:r>
            <w:r w:rsidR="00694227">
              <w:rPr>
                <w:rFonts w:hint="eastAsia"/>
                <w:color w:val="0070C0"/>
                <w:sz w:val="22"/>
              </w:rPr>
              <w:instrText>[</w:instrText>
            </w:r>
            <w:r w:rsidR="00694227">
              <w:rPr>
                <w:rFonts w:hint="eastAsia"/>
                <w:color w:val="0070C0"/>
                <w:sz w:val="22"/>
              </w:rPr>
              <w:instrText>邻苯二甲</w:instrText>
            </w:r>
            <w:r w:rsidR="00694227">
              <w:rPr>
                <w:rFonts w:hint="eastAsia"/>
                <w:color w:val="0070C0"/>
                <w:sz w:val="22"/>
              </w:rPr>
              <w:instrText xml:space="preserve"> </w:instrText>
            </w:r>
            <w:r w:rsidR="00694227">
              <w:rPr>
                <w:rFonts w:hint="eastAsia"/>
                <w:color w:val="0070C0"/>
                <w:sz w:val="22"/>
              </w:rPr>
              <w:instrText>酸二（</w:instrText>
            </w:r>
            <w:r w:rsidR="00694227">
              <w:rPr>
                <w:rFonts w:hint="eastAsia"/>
                <w:color w:val="0070C0"/>
                <w:sz w:val="22"/>
              </w:rPr>
              <w:instrText>2-</w:instrText>
            </w:r>
            <w:r w:rsidR="00694227">
              <w:rPr>
                <w:rFonts w:hint="eastAsia"/>
                <w:color w:val="0070C0"/>
                <w:sz w:val="22"/>
              </w:rPr>
              <w:instrText>乙基己基）酯</w:instrText>
            </w:r>
            <w:r w:rsidR="00694227">
              <w:rPr>
                <w:rFonts w:hint="eastAsia"/>
                <w:color w:val="0070C0"/>
                <w:sz w:val="22"/>
              </w:rPr>
              <w:instrText>]</w:instrText>
            </w:r>
            <w:r w:rsidR="00694227">
              <w:rPr>
                <w:rFonts w:hint="eastAsia"/>
                <w:color w:val="0070C0"/>
                <w:sz w:val="22"/>
              </w:rPr>
              <w:instrText>、农药（乐果、莠去津），共计</w:instrText>
            </w:r>
            <w:r w:rsidR="00694227">
              <w:rPr>
                <w:rFonts w:hint="eastAsia"/>
                <w:color w:val="0070C0"/>
                <w:sz w:val="22"/>
              </w:rPr>
              <w:instrText xml:space="preserve"> 21 </w:instrText>
            </w:r>
            <w:r w:rsidR="00694227">
              <w:rPr>
                <w:rFonts w:hint="eastAsia"/>
                <w:color w:val="0070C0"/>
                <w:sz w:val="22"/>
              </w:rPr>
              <w:instrText>种，最高浓度为</w:instrText>
            </w:r>
            <w:r w:rsidR="00694227">
              <w:rPr>
                <w:rFonts w:hint="eastAsia"/>
                <w:color w:val="0070C0"/>
                <w:sz w:val="22"/>
              </w:rPr>
              <w:instrText xml:space="preserve"> 27.79 </w:instrText>
            </w:r>
            <w:r w:rsidR="00694227">
              <w:rPr>
                <w:rFonts w:hint="eastAsia"/>
                <w:color w:val="0070C0"/>
                <w:sz w:val="22"/>
              </w:rPr>
              <w:instrText>μ</w:instrText>
            </w:r>
            <w:r w:rsidR="00694227">
              <w:rPr>
                <w:rFonts w:hint="eastAsia"/>
                <w:color w:val="0070C0"/>
                <w:sz w:val="22"/>
              </w:rPr>
              <w:instrText>g/L</w:instrText>
            </w:r>
            <w:r w:rsidR="00694227">
              <w:rPr>
                <w:rFonts w:hint="eastAsia"/>
                <w:color w:val="0070C0"/>
                <w:sz w:val="22"/>
              </w:rPr>
              <w:instrText>。所有被检测的</w:instrText>
            </w:r>
            <w:r w:rsidR="00694227">
              <w:rPr>
                <w:rFonts w:hint="eastAsia"/>
                <w:color w:val="0070C0"/>
                <w:sz w:val="22"/>
              </w:rPr>
              <w:instrText xml:space="preserve"> SVOCs </w:instrText>
            </w:r>
            <w:r w:rsidR="00694227">
              <w:rPr>
                <w:rFonts w:hint="eastAsia"/>
                <w:color w:val="0070C0"/>
                <w:sz w:val="22"/>
              </w:rPr>
              <w:instrText>和</w:instrText>
            </w:r>
            <w:r w:rsidR="00694227">
              <w:rPr>
                <w:rFonts w:hint="eastAsia"/>
                <w:color w:val="0070C0"/>
                <w:sz w:val="22"/>
              </w:rPr>
              <w:instrText xml:space="preserve"> VOCs </w:instrText>
            </w:r>
            <w:r w:rsidR="00694227">
              <w:rPr>
                <w:rFonts w:hint="eastAsia"/>
                <w:color w:val="0070C0"/>
                <w:sz w:val="22"/>
              </w:rPr>
              <w:instrText>均未超</w:instrText>
            </w:r>
            <w:r w:rsidR="00694227">
              <w:rPr>
                <w:rFonts w:hint="eastAsia"/>
                <w:color w:val="0070C0"/>
                <w:sz w:val="22"/>
              </w:rPr>
              <w:instrText xml:space="preserve"> </w:instrText>
            </w:r>
            <w:r w:rsidR="00694227">
              <w:rPr>
                <w:rFonts w:hint="eastAsia"/>
                <w:color w:val="0070C0"/>
                <w:sz w:val="22"/>
              </w:rPr>
              <w:instrText>标。检出率较高的有邻苯二甲酸二（</w:instrText>
            </w:r>
            <w:r w:rsidR="00694227">
              <w:rPr>
                <w:rFonts w:hint="eastAsia"/>
                <w:color w:val="0070C0"/>
                <w:sz w:val="22"/>
              </w:rPr>
              <w:instrText>2-</w:instrText>
            </w:r>
            <w:r w:rsidR="00694227">
              <w:rPr>
                <w:rFonts w:hint="eastAsia"/>
                <w:color w:val="0070C0"/>
                <w:sz w:val="22"/>
              </w:rPr>
              <w:instrText>乙基己基）酯，在所有水样中均被检出；江苏长江段所有水样中均检出</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二氯苯、乐果，五氯酚检出率为</w:instrText>
            </w:r>
            <w:r w:rsidR="00694227">
              <w:rPr>
                <w:rFonts w:hint="eastAsia"/>
                <w:color w:val="0070C0"/>
                <w:sz w:val="22"/>
              </w:rPr>
              <w:instrText xml:space="preserve"> 87.50%</w:instrText>
            </w:r>
            <w:r w:rsidR="00694227">
              <w:rPr>
                <w:rFonts w:hint="eastAsia"/>
                <w:color w:val="0070C0"/>
                <w:sz w:val="22"/>
              </w:rPr>
              <w:instrText>，江苏非长江主要地表水源水样中阿特拉津检出率为</w:instrText>
            </w:r>
            <w:r w:rsidR="00694227">
              <w:rPr>
                <w:rFonts w:hint="eastAsia"/>
                <w:color w:val="0070C0"/>
                <w:sz w:val="22"/>
              </w:rPr>
              <w:instrText xml:space="preserve"> 85.71%</w:instrText>
            </w:r>
            <w:r w:rsidR="00694227">
              <w:rPr>
                <w:rFonts w:hint="eastAsia"/>
                <w:color w:val="0070C0"/>
                <w:sz w:val="22"/>
              </w:rPr>
              <w:instrText>，山东玉清湖的</w:instrText>
            </w:r>
            <w:r w:rsidR="00694227">
              <w:rPr>
                <w:rFonts w:hint="eastAsia"/>
                <w:color w:val="0070C0"/>
                <w:sz w:val="22"/>
              </w:rPr>
              <w:instrText xml:space="preserve"> </w:instrText>
            </w:r>
            <w:r w:rsidR="00694227">
              <w:rPr>
                <w:rFonts w:hint="eastAsia"/>
                <w:color w:val="0070C0"/>
                <w:sz w:val="22"/>
              </w:rPr>
              <w:instrText>阿特拉津检出率</w:instrText>
            </w:r>
            <w:r w:rsidR="00694227">
              <w:rPr>
                <w:rFonts w:hint="eastAsia"/>
                <w:color w:val="0070C0"/>
                <w:sz w:val="22"/>
              </w:rPr>
              <w:instrText xml:space="preserve"> 100%</w:instrText>
            </w:r>
            <w:r w:rsidR="00694227">
              <w:rPr>
                <w:rFonts w:hint="eastAsia"/>
                <w:color w:val="0070C0"/>
                <w:sz w:val="22"/>
              </w:rPr>
              <w:instrText>。结论</w:instrText>
            </w:r>
            <w:r w:rsidR="00694227">
              <w:rPr>
                <w:rFonts w:hint="eastAsia"/>
                <w:color w:val="0070C0"/>
                <w:sz w:val="22"/>
              </w:rPr>
              <w:instrText xml:space="preserve"> </w:instrText>
            </w:r>
            <w:r w:rsidR="00694227">
              <w:rPr>
                <w:rFonts w:hint="eastAsia"/>
                <w:color w:val="0070C0"/>
                <w:sz w:val="22"/>
              </w:rPr>
              <w:instrText>江苏、浙江、山东省的主要地表水源存在</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SVOCs </w:instrText>
            </w:r>
            <w:r w:rsidR="00694227">
              <w:rPr>
                <w:rFonts w:hint="eastAsia"/>
                <w:color w:val="0070C0"/>
                <w:sz w:val="22"/>
              </w:rPr>
              <w:instrText>污染。</w:instrText>
            </w:r>
            <w:r w:rsidR="00694227">
              <w:rPr>
                <w:rFonts w:hint="eastAsia"/>
                <w:color w:val="0070C0"/>
                <w:sz w:val="22"/>
              </w:rPr>
              <w:instrText>","author":[{"dropping-particle":"","family":"Han","given":"Fangan","non-dropping-particle":"","parse-names":false,"suffix":""},{"dropping-particle":</w:instrText>
            </w:r>
            <w:r w:rsidR="00694227">
              <w:rPr>
                <w:color w:val="0070C0"/>
                <w:sz w:val="22"/>
              </w:rPr>
              <w:instrText>"","family":"Chen","given":"Jun","non-dropping-particle":"","parse-names":false,"suffix":""},{"dropping-particle":"","family":"Jiang","given":"Zhaofeng","non-dropping-particle":"","parse-names":false,"suffix":""},{"dropping-particle":"","family":"Ji","given":"Wenliang","non-dropping-particle":"","parse-names":false,"suffix":""},{"dropping-particle":"","family":"Xu","given":"Lan","non-dropping-particle":"","parse-names":false,"suffix":""},{"dropping-particle":"","family":"Chen","given":"Liansheng","non-dropping-particle":"","parse-names":false,"suffix":""},{"dropping-particle":"","family":"Li","given":"Xiaojuan","non-dropping-particle":"","parse-names":false,"suffix":""},{"dropping-particle":"","family":"Zhou","given":"Changmei","non-dropping-particle":"",</w:instrText>
            </w:r>
            <w:r w:rsidR="00694227">
              <w:rPr>
                <w:rFonts w:hint="eastAsia"/>
                <w:color w:val="0070C0"/>
                <w:sz w:val="22"/>
              </w:rPr>
              <w:instrText>"parse-names":false,"suffix":""}],"container-title":"Journal of Environmental Health","id":"ITEM-1","issue":"10","issued":{"date-parts":[["2011"]]},"page":"890-894","title":"Investigation of VOCs and SVOCs in Surface Water Source in Jiangsu</w:instrText>
            </w:r>
            <w:r w:rsidR="00694227">
              <w:rPr>
                <w:rFonts w:hint="eastAsia"/>
                <w:color w:val="0070C0"/>
                <w:sz w:val="22"/>
              </w:rPr>
              <w:instrText>，</w:instrText>
            </w:r>
            <w:r w:rsidR="00694227">
              <w:rPr>
                <w:rFonts w:hint="eastAsia"/>
                <w:color w:val="0070C0"/>
                <w:sz w:val="22"/>
              </w:rPr>
              <w:instrText>Zhejiang</w:instrText>
            </w:r>
            <w:r w:rsidR="00694227">
              <w:rPr>
                <w:rFonts w:hint="eastAsia"/>
                <w:color w:val="0070C0"/>
                <w:sz w:val="22"/>
              </w:rPr>
              <w:instrText>，</w:instrText>
            </w:r>
            <w:r w:rsidR="00694227">
              <w:rPr>
                <w:rFonts w:hint="eastAsia"/>
                <w:color w:val="0070C0"/>
                <w:sz w:val="22"/>
              </w:rPr>
              <w:instrText>Shandong Province</w:instrText>
            </w:r>
            <w:r w:rsidR="00694227">
              <w:rPr>
                <w:rFonts w:hint="eastAsia"/>
                <w:color w:val="0070C0"/>
                <w:sz w:val="22"/>
              </w:rPr>
              <w:instrText>，</w:instrText>
            </w:r>
            <w:r w:rsidR="00694227">
              <w:rPr>
                <w:rFonts w:hint="eastAsia"/>
                <w:color w:val="0070C0"/>
                <w:sz w:val="22"/>
              </w:rPr>
              <w:instrText>China","type":"article-journal","volume":"28"},"uris":["http://www.mendeley.com/documents/?uuid=7d592b17-68c1-4df3-be66-50f1b86d672f"]}],"mendeley":{"formattedCitation":"&lt;sup&gt;8&lt;/sup&gt;","plainTextFormattedCitation":"8","previouslyFormattedCitat</w:instrText>
            </w:r>
            <w:r w:rsidR="00694227">
              <w:rPr>
                <w:color w:val="0070C0"/>
                <w:sz w:val="22"/>
              </w:rPr>
              <w:instrText>ion":"&lt;sup&gt;8&lt;/sup&gt;"},"properties":{"noteIndex":0},"schema":"https://github.com/citation-style-language/schema/raw/master/csl-citation.json"}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8</w:t>
            </w:r>
            <w:r w:rsidRPr="00E547AD">
              <w:rPr>
                <w:color w:val="0070C0"/>
                <w:sz w:val="22"/>
              </w:rPr>
              <w:fldChar w:fldCharType="end"/>
            </w:r>
          </w:p>
        </w:tc>
      </w:tr>
      <w:tr w:rsidR="005E13E8" w:rsidRPr="00E547AD" w14:paraId="4E1063C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E786BA8"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CC6E25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04E653C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2009</w:t>
            </w:r>
          </w:p>
        </w:tc>
        <w:tc>
          <w:tcPr>
            <w:tcW w:w="0" w:type="auto"/>
          </w:tcPr>
          <w:p w14:paraId="13283B1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0970376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40</w:t>
            </w:r>
          </w:p>
          <w:p w14:paraId="310B286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(40-50)</w:t>
            </w:r>
          </w:p>
        </w:tc>
        <w:tc>
          <w:tcPr>
            <w:tcW w:w="0" w:type="auto"/>
          </w:tcPr>
          <w:p w14:paraId="141A3FDB" w14:textId="486B8FF3"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rFonts w:hint="eastAsia"/>
                <w:color w:val="0070C0"/>
                <w:sz w:val="22"/>
              </w:rPr>
              <w:instrText>ADDIN CSL_CITATION {"citationItems":[{"id":"ITEM-1","itemData":{"DOI":"10.16241/j.cnki.1001-5914.2011.10.021","ISBN":"9788578110796","ISSN":"1098-6596","PMID":"25246403","abstract":"</w:instrText>
            </w:r>
            <w:r w:rsidR="00694227">
              <w:rPr>
                <w:rFonts w:hint="eastAsia"/>
                <w:color w:val="0070C0"/>
                <w:sz w:val="22"/>
              </w:rPr>
              <w:instrText>目的</w:instrText>
            </w:r>
            <w:r w:rsidR="00694227">
              <w:rPr>
                <w:rFonts w:hint="eastAsia"/>
                <w:color w:val="0070C0"/>
                <w:sz w:val="22"/>
              </w:rPr>
              <w:instrText xml:space="preserve"> </w:instrText>
            </w:r>
            <w:r w:rsidR="00694227">
              <w:rPr>
                <w:rFonts w:hint="eastAsia"/>
                <w:color w:val="0070C0"/>
                <w:sz w:val="22"/>
              </w:rPr>
              <w:instrText>掌握江苏、浙江、山东省主要地表水源中挥发性有机物（</w:instrText>
            </w:r>
            <w:r w:rsidR="00694227">
              <w:rPr>
                <w:rFonts w:hint="eastAsia"/>
                <w:color w:val="0070C0"/>
                <w:sz w:val="22"/>
              </w:rPr>
              <w:instrText>VOCs</w:instrText>
            </w:r>
            <w:r w:rsidR="00694227">
              <w:rPr>
                <w:rFonts w:hint="eastAsia"/>
                <w:color w:val="0070C0"/>
                <w:sz w:val="22"/>
              </w:rPr>
              <w:instrText>）、半挥发性有机物（</w:instrText>
            </w:r>
            <w:r w:rsidR="00694227">
              <w:rPr>
                <w:rFonts w:hint="eastAsia"/>
                <w:color w:val="0070C0"/>
                <w:sz w:val="22"/>
              </w:rPr>
              <w:instrText>SVOCs</w:instrText>
            </w:r>
            <w:r w:rsidR="00694227">
              <w:rPr>
                <w:rFonts w:hint="eastAsia"/>
                <w:color w:val="0070C0"/>
                <w:sz w:val="22"/>
              </w:rPr>
              <w:instrText>）的污染状况。</w:instrText>
            </w:r>
            <w:r w:rsidR="00694227">
              <w:rPr>
                <w:rFonts w:hint="eastAsia"/>
                <w:color w:val="0070C0"/>
                <w:sz w:val="22"/>
              </w:rPr>
              <w:instrText xml:space="preserve"> </w:instrText>
            </w:r>
            <w:r w:rsidR="00694227">
              <w:rPr>
                <w:rFonts w:hint="eastAsia"/>
                <w:color w:val="0070C0"/>
                <w:sz w:val="22"/>
              </w:rPr>
              <w:instrText>方法</w:instrText>
            </w:r>
            <w:r w:rsidR="00694227">
              <w:rPr>
                <w:rFonts w:hint="eastAsia"/>
                <w:color w:val="0070C0"/>
                <w:sz w:val="22"/>
              </w:rPr>
              <w:instrText xml:space="preserve"> </w:instrText>
            </w:r>
            <w:r w:rsidR="00694227">
              <w:rPr>
                <w:rFonts w:hint="eastAsia"/>
                <w:color w:val="0070C0"/>
                <w:sz w:val="22"/>
              </w:rPr>
              <w:instrText>于</w:instrText>
            </w:r>
            <w:r w:rsidR="00694227">
              <w:rPr>
                <w:rFonts w:hint="eastAsia"/>
                <w:color w:val="0070C0"/>
                <w:sz w:val="22"/>
              </w:rPr>
              <w:instrText xml:space="preserve"> 2009 </w:instrText>
            </w:r>
            <w:r w:rsidR="00694227">
              <w:rPr>
                <w:rFonts w:hint="eastAsia"/>
                <w:color w:val="0070C0"/>
                <w:sz w:val="22"/>
              </w:rPr>
              <w:instrText>年</w:instrText>
            </w:r>
            <w:r w:rsidR="00694227">
              <w:rPr>
                <w:rFonts w:hint="eastAsia"/>
                <w:color w:val="0070C0"/>
                <w:sz w:val="22"/>
              </w:rPr>
              <w:instrText xml:space="preserve"> 5</w:instrText>
            </w:r>
            <w:r w:rsidR="00694227">
              <w:rPr>
                <w:rFonts w:hint="eastAsia"/>
                <w:color w:val="0070C0"/>
                <w:sz w:val="22"/>
              </w:rPr>
              <w:instrText>—</w:instrText>
            </w:r>
            <w:r w:rsidR="00694227">
              <w:rPr>
                <w:rFonts w:hint="eastAsia"/>
                <w:color w:val="0070C0"/>
                <w:sz w:val="22"/>
              </w:rPr>
              <w:instrText xml:space="preserve">8 </w:instrText>
            </w:r>
            <w:r w:rsidR="00694227">
              <w:rPr>
                <w:rFonts w:hint="eastAsia"/>
                <w:color w:val="0070C0"/>
                <w:sz w:val="22"/>
              </w:rPr>
              <w:instrText>月，检测江苏、浙江、山东省的</w:instrText>
            </w:r>
            <w:r w:rsidR="00694227">
              <w:rPr>
                <w:rFonts w:hint="eastAsia"/>
                <w:color w:val="0070C0"/>
                <w:sz w:val="22"/>
              </w:rPr>
              <w:instrText xml:space="preserve"> 21 </w:instrText>
            </w:r>
            <w:r w:rsidR="00694227">
              <w:rPr>
                <w:rFonts w:hint="eastAsia"/>
                <w:color w:val="0070C0"/>
                <w:sz w:val="22"/>
              </w:rPr>
              <w:instrText>个主要城市地表水源</w:instrText>
            </w:r>
            <w:r w:rsidR="00694227">
              <w:rPr>
                <w:rFonts w:hint="eastAsia"/>
                <w:color w:val="0070C0"/>
                <w:sz w:val="22"/>
              </w:rPr>
              <w:instrText xml:space="preserve"> 126 </w:instrText>
            </w:r>
            <w:r w:rsidR="00694227">
              <w:rPr>
                <w:rFonts w:hint="eastAsia"/>
                <w:color w:val="0070C0"/>
                <w:sz w:val="22"/>
              </w:rPr>
              <w:instrText>件水样中的</w:instrText>
            </w:r>
            <w:r w:rsidR="00694227">
              <w:rPr>
                <w:rFonts w:hint="eastAsia"/>
                <w:color w:val="0070C0"/>
                <w:sz w:val="22"/>
              </w:rPr>
              <w:instrText xml:space="preserve"> 25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38 </w:instrText>
            </w:r>
            <w:r w:rsidR="00694227">
              <w:rPr>
                <w:rFonts w:hint="eastAsia"/>
                <w:color w:val="0070C0"/>
                <w:sz w:val="22"/>
              </w:rPr>
              <w:instrText>种</w:instrText>
            </w:r>
            <w:r w:rsidR="00694227">
              <w:rPr>
                <w:rFonts w:hint="eastAsia"/>
                <w:color w:val="0070C0"/>
                <w:sz w:val="22"/>
              </w:rPr>
              <w:instrText xml:space="preserve"> SVOCs </w:instrText>
            </w:r>
            <w:r w:rsidR="00694227">
              <w:rPr>
                <w:rFonts w:hint="eastAsia"/>
                <w:color w:val="0070C0"/>
                <w:sz w:val="22"/>
              </w:rPr>
              <w:instrText>的水平。除二溴一氯甲烷按照</w:instrText>
            </w:r>
            <w:r w:rsidR="00694227">
              <w:rPr>
                <w:rFonts w:hint="eastAsia"/>
                <w:color w:val="0070C0"/>
                <w:sz w:val="22"/>
              </w:rPr>
              <w:instrText xml:space="preserve"> GB 5749</w:instrText>
            </w:r>
            <w:r w:rsidR="00694227">
              <w:rPr>
                <w:rFonts w:hint="eastAsia"/>
                <w:color w:val="0070C0"/>
                <w:sz w:val="22"/>
              </w:rPr>
              <w:instrText>—</w:instrText>
            </w:r>
            <w:r w:rsidR="00694227">
              <w:rPr>
                <w:rFonts w:hint="eastAsia"/>
                <w:color w:val="0070C0"/>
                <w:sz w:val="22"/>
              </w:rPr>
              <w:instrText>2006</w:instrText>
            </w:r>
            <w:r w:rsidR="00694227">
              <w:rPr>
                <w:rFonts w:hint="eastAsia"/>
                <w:color w:val="0070C0"/>
                <w:sz w:val="22"/>
              </w:rPr>
              <w:instrText>《生活饮用水卫生标准》外，其余指标按照</w:instrText>
            </w:r>
            <w:r w:rsidR="00694227">
              <w:rPr>
                <w:rFonts w:hint="eastAsia"/>
                <w:color w:val="0070C0"/>
                <w:sz w:val="22"/>
              </w:rPr>
              <w:instrText xml:space="preserve"> GB 3838</w:instrText>
            </w:r>
            <w:r w:rsidR="00694227">
              <w:rPr>
                <w:rFonts w:hint="eastAsia"/>
                <w:color w:val="0070C0"/>
                <w:sz w:val="22"/>
              </w:rPr>
              <w:instrText>—</w:instrText>
            </w:r>
            <w:r w:rsidR="00694227">
              <w:rPr>
                <w:rFonts w:hint="eastAsia"/>
                <w:color w:val="0070C0"/>
                <w:sz w:val="22"/>
              </w:rPr>
              <w:instrText>2002</w:instrText>
            </w:r>
            <w:r w:rsidR="00694227">
              <w:rPr>
                <w:rFonts w:hint="eastAsia"/>
                <w:color w:val="0070C0"/>
                <w:sz w:val="22"/>
              </w:rPr>
              <w:instrText>《地表水环境质量</w:instrText>
            </w:r>
            <w:r w:rsidR="00694227">
              <w:rPr>
                <w:rFonts w:hint="eastAsia"/>
                <w:color w:val="0070C0"/>
                <w:sz w:val="22"/>
              </w:rPr>
              <w:instrText xml:space="preserve"> </w:instrText>
            </w:r>
            <w:r w:rsidR="00694227">
              <w:rPr>
                <w:rFonts w:hint="eastAsia"/>
                <w:color w:val="0070C0"/>
                <w:sz w:val="22"/>
              </w:rPr>
              <w:instrText>标准》中集中式生活饮用水地表水源地特定项目标准限值对检测结果进行评价。结果</w:instrText>
            </w:r>
            <w:r w:rsidR="00694227">
              <w:rPr>
                <w:rFonts w:hint="eastAsia"/>
                <w:color w:val="0070C0"/>
                <w:sz w:val="22"/>
              </w:rPr>
              <w:instrText xml:space="preserve"> </w:instrText>
            </w:r>
            <w:r w:rsidR="00694227">
              <w:rPr>
                <w:rFonts w:hint="eastAsia"/>
                <w:color w:val="0070C0"/>
                <w:sz w:val="22"/>
              </w:rPr>
              <w:instrText>共检出</w:instrText>
            </w:r>
            <w:r w:rsidR="00694227">
              <w:rPr>
                <w:rFonts w:hint="eastAsia"/>
                <w:color w:val="0070C0"/>
                <w:sz w:val="22"/>
              </w:rPr>
              <w:instrText xml:space="preserve"> 19 </w:instrText>
            </w:r>
            <w:r w:rsidR="00694227">
              <w:rPr>
                <w:rFonts w:hint="eastAsia"/>
                <w:color w:val="0070C0"/>
                <w:sz w:val="22"/>
              </w:rPr>
              <w:instrText>种</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10 </w:instrText>
            </w:r>
            <w:r w:rsidR="00694227">
              <w:rPr>
                <w:rFonts w:hint="eastAsia"/>
                <w:color w:val="0070C0"/>
                <w:sz w:val="22"/>
              </w:rPr>
              <w:instrText>种</w:instrText>
            </w:r>
            <w:r w:rsidR="00694227">
              <w:rPr>
                <w:rFonts w:hint="eastAsia"/>
                <w:color w:val="0070C0"/>
                <w:sz w:val="22"/>
              </w:rPr>
              <w:instrText xml:space="preserve"> SVOCs</w:instrText>
            </w:r>
            <w:r w:rsidR="00694227">
              <w:rPr>
                <w:rFonts w:hint="eastAsia"/>
                <w:color w:val="0070C0"/>
                <w:sz w:val="22"/>
              </w:rPr>
              <w:instrText>，</w:instrText>
            </w:r>
            <w:r w:rsidR="00694227">
              <w:rPr>
                <w:rFonts w:hint="eastAsia"/>
                <w:color w:val="0070C0"/>
                <w:sz w:val="22"/>
              </w:rPr>
              <w:instrText xml:space="preserve"> </w:instrText>
            </w:r>
            <w:r w:rsidR="00694227">
              <w:rPr>
                <w:rFonts w:hint="eastAsia"/>
                <w:color w:val="0070C0"/>
                <w:sz w:val="22"/>
              </w:rPr>
              <w:instrText>其中，属于中国或美国环境保护局提出的“水中优先控制污染物”的有机物，包括挥发性氯代烃（三氯甲烷、四氯化碳、</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二氯乙烷、三氯乙烯、四氯乙烯）、苯系物（苯、甲苯、邻二甲苯、间二甲苯、对二甲苯）、氯代苯类（氯苯、</w:instrText>
            </w:r>
            <w:r w:rsidR="00694227">
              <w:rPr>
                <w:rFonts w:hint="eastAsia"/>
                <w:color w:val="0070C0"/>
                <w:sz w:val="22"/>
              </w:rPr>
              <w:instrText>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二氯苯）、酚类（</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二氯苯酚、</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三氯酚、五氯酚）、硝基苯类（硝基苯、</w:instrText>
            </w:r>
            <w:r w:rsidR="00694227">
              <w:rPr>
                <w:rFonts w:hint="eastAsia"/>
                <w:color w:val="0070C0"/>
                <w:sz w:val="22"/>
              </w:rPr>
              <w:instrText>2</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三硝基甲苯）、酞酸酯类</w:instrText>
            </w:r>
            <w:r w:rsidR="00694227">
              <w:rPr>
                <w:rFonts w:hint="eastAsia"/>
                <w:color w:val="0070C0"/>
                <w:sz w:val="22"/>
              </w:rPr>
              <w:instrText>[</w:instrText>
            </w:r>
            <w:r w:rsidR="00694227">
              <w:rPr>
                <w:rFonts w:hint="eastAsia"/>
                <w:color w:val="0070C0"/>
                <w:sz w:val="22"/>
              </w:rPr>
              <w:instrText>邻苯二甲</w:instrText>
            </w:r>
            <w:r w:rsidR="00694227">
              <w:rPr>
                <w:rFonts w:hint="eastAsia"/>
                <w:color w:val="0070C0"/>
                <w:sz w:val="22"/>
              </w:rPr>
              <w:instrText xml:space="preserve"> </w:instrText>
            </w:r>
            <w:r w:rsidR="00694227">
              <w:rPr>
                <w:rFonts w:hint="eastAsia"/>
                <w:color w:val="0070C0"/>
                <w:sz w:val="22"/>
              </w:rPr>
              <w:instrText>酸二（</w:instrText>
            </w:r>
            <w:r w:rsidR="00694227">
              <w:rPr>
                <w:rFonts w:hint="eastAsia"/>
                <w:color w:val="0070C0"/>
                <w:sz w:val="22"/>
              </w:rPr>
              <w:instrText>2-</w:instrText>
            </w:r>
            <w:r w:rsidR="00694227">
              <w:rPr>
                <w:rFonts w:hint="eastAsia"/>
                <w:color w:val="0070C0"/>
                <w:sz w:val="22"/>
              </w:rPr>
              <w:instrText>乙基己基）酯</w:instrText>
            </w:r>
            <w:r w:rsidR="00694227">
              <w:rPr>
                <w:rFonts w:hint="eastAsia"/>
                <w:color w:val="0070C0"/>
                <w:sz w:val="22"/>
              </w:rPr>
              <w:instrText>]</w:instrText>
            </w:r>
            <w:r w:rsidR="00694227">
              <w:rPr>
                <w:rFonts w:hint="eastAsia"/>
                <w:color w:val="0070C0"/>
                <w:sz w:val="22"/>
              </w:rPr>
              <w:instrText>、农药（乐果、莠去津），共计</w:instrText>
            </w:r>
            <w:r w:rsidR="00694227">
              <w:rPr>
                <w:rFonts w:hint="eastAsia"/>
                <w:color w:val="0070C0"/>
                <w:sz w:val="22"/>
              </w:rPr>
              <w:instrText xml:space="preserve"> 21 </w:instrText>
            </w:r>
            <w:r w:rsidR="00694227">
              <w:rPr>
                <w:rFonts w:hint="eastAsia"/>
                <w:color w:val="0070C0"/>
                <w:sz w:val="22"/>
              </w:rPr>
              <w:instrText>种，最高浓度为</w:instrText>
            </w:r>
            <w:r w:rsidR="00694227">
              <w:rPr>
                <w:rFonts w:hint="eastAsia"/>
                <w:color w:val="0070C0"/>
                <w:sz w:val="22"/>
              </w:rPr>
              <w:instrText xml:space="preserve"> 27.79 </w:instrText>
            </w:r>
            <w:r w:rsidR="00694227">
              <w:rPr>
                <w:rFonts w:hint="eastAsia"/>
                <w:color w:val="0070C0"/>
                <w:sz w:val="22"/>
              </w:rPr>
              <w:instrText>μ</w:instrText>
            </w:r>
            <w:r w:rsidR="00694227">
              <w:rPr>
                <w:rFonts w:hint="eastAsia"/>
                <w:color w:val="0070C0"/>
                <w:sz w:val="22"/>
              </w:rPr>
              <w:instrText>g/L</w:instrText>
            </w:r>
            <w:r w:rsidR="00694227">
              <w:rPr>
                <w:rFonts w:hint="eastAsia"/>
                <w:color w:val="0070C0"/>
                <w:sz w:val="22"/>
              </w:rPr>
              <w:instrText>。所有被检测的</w:instrText>
            </w:r>
            <w:r w:rsidR="00694227">
              <w:rPr>
                <w:rFonts w:hint="eastAsia"/>
                <w:color w:val="0070C0"/>
                <w:sz w:val="22"/>
              </w:rPr>
              <w:instrText xml:space="preserve"> SVOCs </w:instrText>
            </w:r>
            <w:r w:rsidR="00694227">
              <w:rPr>
                <w:rFonts w:hint="eastAsia"/>
                <w:color w:val="0070C0"/>
                <w:sz w:val="22"/>
              </w:rPr>
              <w:instrText>和</w:instrText>
            </w:r>
            <w:r w:rsidR="00694227">
              <w:rPr>
                <w:rFonts w:hint="eastAsia"/>
                <w:color w:val="0070C0"/>
                <w:sz w:val="22"/>
              </w:rPr>
              <w:instrText xml:space="preserve"> VOCs </w:instrText>
            </w:r>
            <w:r w:rsidR="00694227">
              <w:rPr>
                <w:rFonts w:hint="eastAsia"/>
                <w:color w:val="0070C0"/>
                <w:sz w:val="22"/>
              </w:rPr>
              <w:instrText>均未超</w:instrText>
            </w:r>
            <w:r w:rsidR="00694227">
              <w:rPr>
                <w:rFonts w:hint="eastAsia"/>
                <w:color w:val="0070C0"/>
                <w:sz w:val="22"/>
              </w:rPr>
              <w:instrText xml:space="preserve"> </w:instrText>
            </w:r>
            <w:r w:rsidR="00694227">
              <w:rPr>
                <w:rFonts w:hint="eastAsia"/>
                <w:color w:val="0070C0"/>
                <w:sz w:val="22"/>
              </w:rPr>
              <w:instrText>标。检出率较高的有邻苯二甲酸二（</w:instrText>
            </w:r>
            <w:r w:rsidR="00694227">
              <w:rPr>
                <w:rFonts w:hint="eastAsia"/>
                <w:color w:val="0070C0"/>
                <w:sz w:val="22"/>
              </w:rPr>
              <w:instrText>2-</w:instrText>
            </w:r>
            <w:r w:rsidR="00694227">
              <w:rPr>
                <w:rFonts w:hint="eastAsia"/>
                <w:color w:val="0070C0"/>
                <w:sz w:val="22"/>
              </w:rPr>
              <w:instrText>乙基己基）酯，在所有水样中均被检出；江苏长江段所有水样中均检出</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4-</w:instrText>
            </w:r>
            <w:r w:rsidR="00694227">
              <w:rPr>
                <w:rFonts w:hint="eastAsia"/>
                <w:color w:val="0070C0"/>
                <w:sz w:val="22"/>
              </w:rPr>
              <w:instrText>二氯苯、</w:instrText>
            </w:r>
            <w:r w:rsidR="00694227">
              <w:rPr>
                <w:rFonts w:hint="eastAsia"/>
                <w:color w:val="0070C0"/>
                <w:sz w:val="22"/>
              </w:rPr>
              <w:instrText xml:space="preserve"> 1</w:instrText>
            </w:r>
            <w:r w:rsidR="00694227">
              <w:rPr>
                <w:rFonts w:hint="eastAsia"/>
                <w:color w:val="0070C0"/>
                <w:sz w:val="22"/>
              </w:rPr>
              <w:instrText>，</w:instrText>
            </w:r>
            <w:r w:rsidR="00694227">
              <w:rPr>
                <w:rFonts w:hint="eastAsia"/>
                <w:color w:val="0070C0"/>
                <w:sz w:val="22"/>
              </w:rPr>
              <w:instrText>2-</w:instrText>
            </w:r>
            <w:r w:rsidR="00694227">
              <w:rPr>
                <w:rFonts w:hint="eastAsia"/>
                <w:color w:val="0070C0"/>
                <w:sz w:val="22"/>
              </w:rPr>
              <w:instrText>二氯苯、乐果，五氯酚检出率为</w:instrText>
            </w:r>
            <w:r w:rsidR="00694227">
              <w:rPr>
                <w:rFonts w:hint="eastAsia"/>
                <w:color w:val="0070C0"/>
                <w:sz w:val="22"/>
              </w:rPr>
              <w:instrText xml:space="preserve"> 87.50%</w:instrText>
            </w:r>
            <w:r w:rsidR="00694227">
              <w:rPr>
                <w:rFonts w:hint="eastAsia"/>
                <w:color w:val="0070C0"/>
                <w:sz w:val="22"/>
              </w:rPr>
              <w:instrText>，江苏非长江主要地表水源水样中阿特拉津检出率为</w:instrText>
            </w:r>
            <w:r w:rsidR="00694227">
              <w:rPr>
                <w:rFonts w:hint="eastAsia"/>
                <w:color w:val="0070C0"/>
                <w:sz w:val="22"/>
              </w:rPr>
              <w:instrText xml:space="preserve"> 85.71%</w:instrText>
            </w:r>
            <w:r w:rsidR="00694227">
              <w:rPr>
                <w:rFonts w:hint="eastAsia"/>
                <w:color w:val="0070C0"/>
                <w:sz w:val="22"/>
              </w:rPr>
              <w:instrText>，山东玉清湖的</w:instrText>
            </w:r>
            <w:r w:rsidR="00694227">
              <w:rPr>
                <w:rFonts w:hint="eastAsia"/>
                <w:color w:val="0070C0"/>
                <w:sz w:val="22"/>
              </w:rPr>
              <w:instrText xml:space="preserve"> </w:instrText>
            </w:r>
            <w:r w:rsidR="00694227">
              <w:rPr>
                <w:rFonts w:hint="eastAsia"/>
                <w:color w:val="0070C0"/>
                <w:sz w:val="22"/>
              </w:rPr>
              <w:instrText>阿特拉津检出率</w:instrText>
            </w:r>
            <w:r w:rsidR="00694227">
              <w:rPr>
                <w:rFonts w:hint="eastAsia"/>
                <w:color w:val="0070C0"/>
                <w:sz w:val="22"/>
              </w:rPr>
              <w:instrText xml:space="preserve"> 100%</w:instrText>
            </w:r>
            <w:r w:rsidR="00694227">
              <w:rPr>
                <w:rFonts w:hint="eastAsia"/>
                <w:color w:val="0070C0"/>
                <w:sz w:val="22"/>
              </w:rPr>
              <w:instrText>。结论</w:instrText>
            </w:r>
            <w:r w:rsidR="00694227">
              <w:rPr>
                <w:rFonts w:hint="eastAsia"/>
                <w:color w:val="0070C0"/>
                <w:sz w:val="22"/>
              </w:rPr>
              <w:instrText xml:space="preserve"> </w:instrText>
            </w:r>
            <w:r w:rsidR="00694227">
              <w:rPr>
                <w:rFonts w:hint="eastAsia"/>
                <w:color w:val="0070C0"/>
                <w:sz w:val="22"/>
              </w:rPr>
              <w:instrText>江苏、浙江、山东省的主要地表水源存在</w:instrText>
            </w:r>
            <w:r w:rsidR="00694227">
              <w:rPr>
                <w:rFonts w:hint="eastAsia"/>
                <w:color w:val="0070C0"/>
                <w:sz w:val="22"/>
              </w:rPr>
              <w:instrText xml:space="preserve"> VOCs</w:instrText>
            </w:r>
            <w:r w:rsidR="00694227">
              <w:rPr>
                <w:rFonts w:hint="eastAsia"/>
                <w:color w:val="0070C0"/>
                <w:sz w:val="22"/>
              </w:rPr>
              <w:instrText>、</w:instrText>
            </w:r>
            <w:r w:rsidR="00694227">
              <w:rPr>
                <w:rFonts w:hint="eastAsia"/>
                <w:color w:val="0070C0"/>
                <w:sz w:val="22"/>
              </w:rPr>
              <w:instrText xml:space="preserve">SVOCs </w:instrText>
            </w:r>
            <w:r w:rsidR="00694227">
              <w:rPr>
                <w:rFonts w:hint="eastAsia"/>
                <w:color w:val="0070C0"/>
                <w:sz w:val="22"/>
              </w:rPr>
              <w:instrText>污染。</w:instrText>
            </w:r>
            <w:r w:rsidR="00694227">
              <w:rPr>
                <w:rFonts w:hint="eastAsia"/>
                <w:color w:val="0070C0"/>
                <w:sz w:val="22"/>
              </w:rPr>
              <w:instrText>","author":[{"dropping-particle":"","family":"Han","given":"Fangan","non-dropping-particle":"","parse-names":false,"suffix":""},{"dropping-particle":</w:instrText>
            </w:r>
            <w:r w:rsidR="00694227">
              <w:rPr>
                <w:color w:val="0070C0"/>
                <w:sz w:val="22"/>
              </w:rPr>
              <w:instrText>"","family":"Chen","given":"Jun","non-dropping-particle":"","parse-names":false,"suffix":""},{"dropping-particle":"","family":"Jiang","given":"Zhaofeng","non-dropping-particle":"","parse-names":false,"suffix":""},{"dropping-particle":"","family":"Ji","given":"Wenliang","non-dropping-particle":"","parse-names":false,"suffix":""},{"dropping-particle":"","family":"Xu","given":"Lan","non-dropping-particle":"","parse-names":false,"suffix":""},{"dropping-particle":"","family":"Chen","given":"Liansheng","non-dropping-particle":"","parse-names":false,"suffix":""},{"dropping-particle":"","family":"Li","given":"Xiaojuan","non-dropping-particle":"","parse-names":false,"suffix":""},{"dropping-particle":"","family":"Zhou","given":"Changmei","non-dropping-particle":"",</w:instrText>
            </w:r>
            <w:r w:rsidR="00694227">
              <w:rPr>
                <w:rFonts w:hint="eastAsia"/>
                <w:color w:val="0070C0"/>
                <w:sz w:val="22"/>
              </w:rPr>
              <w:instrText>"parse-names":false,"suffix":""}],"container-title":"Journal of Environmental Health","id":"ITEM-1","issue":"10","issued":{"date-parts":[["2011"]]},"page":"890-894","title":"Investigation of VOCs and SVOCs in Surface Water Source in Jiangsu</w:instrText>
            </w:r>
            <w:r w:rsidR="00694227">
              <w:rPr>
                <w:rFonts w:hint="eastAsia"/>
                <w:color w:val="0070C0"/>
                <w:sz w:val="22"/>
              </w:rPr>
              <w:instrText>，</w:instrText>
            </w:r>
            <w:r w:rsidR="00694227">
              <w:rPr>
                <w:rFonts w:hint="eastAsia"/>
                <w:color w:val="0070C0"/>
                <w:sz w:val="22"/>
              </w:rPr>
              <w:instrText>Zhejiang</w:instrText>
            </w:r>
            <w:r w:rsidR="00694227">
              <w:rPr>
                <w:rFonts w:hint="eastAsia"/>
                <w:color w:val="0070C0"/>
                <w:sz w:val="22"/>
              </w:rPr>
              <w:instrText>，</w:instrText>
            </w:r>
            <w:r w:rsidR="00694227">
              <w:rPr>
                <w:rFonts w:hint="eastAsia"/>
                <w:color w:val="0070C0"/>
                <w:sz w:val="22"/>
              </w:rPr>
              <w:instrText>Shandong Province</w:instrText>
            </w:r>
            <w:r w:rsidR="00694227">
              <w:rPr>
                <w:rFonts w:hint="eastAsia"/>
                <w:color w:val="0070C0"/>
                <w:sz w:val="22"/>
              </w:rPr>
              <w:instrText>，</w:instrText>
            </w:r>
            <w:r w:rsidR="00694227">
              <w:rPr>
                <w:rFonts w:hint="eastAsia"/>
                <w:color w:val="0070C0"/>
                <w:sz w:val="22"/>
              </w:rPr>
              <w:instrText>China","type":"article-journal","volume":"28"},"uris":["http://www.mendeley.com/documents/?uuid=7d592b17-68c1-4df3-be66-50f1b86d672f"]}],"mendeley":{"formattedCitation":"&lt;sup&gt;8&lt;/sup&gt;","plainTextFormattedCitation":"8","previouslyFormattedCitat</w:instrText>
            </w:r>
            <w:r w:rsidR="00694227">
              <w:rPr>
                <w:color w:val="0070C0"/>
                <w:sz w:val="22"/>
              </w:rPr>
              <w:instrText>ion":"&lt;sup&gt;8&lt;/sup&gt;"},"properties":{"noteIndex":0},"schema":"https://github.com/citation-style-language/schema/raw/master/csl-citation.json"}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8</w:t>
            </w:r>
            <w:r w:rsidRPr="00E547AD">
              <w:rPr>
                <w:color w:val="0070C0"/>
                <w:sz w:val="22"/>
              </w:rPr>
              <w:fldChar w:fldCharType="end"/>
            </w:r>
          </w:p>
        </w:tc>
      </w:tr>
      <w:tr w:rsidR="002D64E5" w:rsidRPr="00E547AD" w14:paraId="13B24CBC"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D01A50"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B8E4D2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D33703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2009</w:t>
            </w:r>
          </w:p>
        </w:tc>
        <w:tc>
          <w:tcPr>
            <w:tcW w:w="0" w:type="auto"/>
          </w:tcPr>
          <w:p w14:paraId="5964E91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Hebei</w:t>
            </w:r>
          </w:p>
        </w:tc>
        <w:tc>
          <w:tcPr>
            <w:tcW w:w="0" w:type="auto"/>
          </w:tcPr>
          <w:p w14:paraId="0F4EDB8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(5-590)</w:t>
            </w:r>
          </w:p>
        </w:tc>
        <w:tc>
          <w:tcPr>
            <w:tcW w:w="0" w:type="auto"/>
          </w:tcPr>
          <w:p w14:paraId="5F492236" w14:textId="679067E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{"citationItems":[{"id":"ITEM-1","itemData":{"DOI":"10.1021/es301912q","ISSN":"0013936X","PMID":"22845779","abstract":"The Haihe River System (HRS) drains the Chinese megacities Beijing and Tianjin, forming a large-scale irrigation system severely impacted by wastewater-borne pollution. The origin, temporal magnitudes, and annual mass fluxes of a wide range of pharmaceuticals, household chemicals, and pesticides were investigated in the HRS, which drains 70% of the wastewater discharged by 20 million people living in Beijing. Based on Chinese consumption statistics and our initial screening for 268 micropollutants using high-resolution mass spectrometry, 62 compounds were examined in space and time (2009-2010). The median concentrations ranged from 3 ng/L for metolachlor to 1100 ng/L for benzotriazole and sucralose. Concentrations of carbendazim, clarithromycin, diclofenac, and diuron exceed levels of ecotoxicological concern. Mass-flux analyses revealed that pharmaceuticals (5930 kg/year) and most household chemicals (5660 kg/year) originated from urban wastewaters, while the corrosion inhibitor benzotriazole entered the rivers through other pathways. Total pesticide residues amounted to 1550 kg/year. Per capita loads of pharmaceuticals in wastewater were lower than those in Europe, but are expected to increase in the near future. As 95% of the river water is diverted to irrigate agricultural soil, the loads of polar organic micropollutants transported with the water might pose a serious threat to food safety and groundwater quality. © 2012 American Chemical Society.","author":[{"dropping-particle":"","family":"Heeb","given":"Florian","non-dropping-particle":"","parse-names":false,"suffix":""},{"dropping-particle":"","family":"Singer","given":"Heinz","non-dropping-particle":"","parse-names":false,"suffix":""},{"dropping-particle":"","family":"Pernet-Coudrier","given":"Benoît","non-dropping-particle":"","parse-names":false,"suffix":""},{"dropping-particle":"","family":"Qi","given":"Weixiao","non-dropping-particle":"","parse-names":false,"suffix":""},{"dropping-particle":"","family":"Liu","given":"Huijuan","non-dropping-particle":"","parse-names":false,"suffix":""},{"dropping-particle":"","family":"Longrée","given":"Philipp","non-dropping-particle":"","parse-names":false,"suffix":""},{"dropping-particle":"","family":"Müller","given":"Beat","non-dropping-particle":"","parse-names":false,"suffix":""},{"dropping-particle":"","family":"Berg","given":"Michael","non-dropping-particle":"","parse-names":false,"suffix":""}],"container-title":"Environmental Science and Technology","id":"ITEM-1","issue":"16","issued":{"date-parts":[["2012"]]},"page":"8680-8688","title":"Organic micropollutants in rivers downstream of the megacity Beijing: Sources and mass fluxes in a large-scale wastewater irrigation system","type":"article-journal","volume":"46"},"uris":["http://www.mendeley.com/documents/?uuid=056399bf-a6c5-418b-9a06-68900d61acca"]}],"mendeley":{"formattedCitation":"&lt;sup&gt;9&lt;/sup&gt;","plainTextFormattedCitation":"9","previouslyFormattedCitation":"&lt;sup&gt;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9</w:t>
            </w:r>
            <w:r w:rsidRPr="00E547AD">
              <w:rPr>
                <w:color w:val="0070C0"/>
                <w:sz w:val="22"/>
              </w:rPr>
              <w:fldChar w:fldCharType="end"/>
            </w:r>
          </w:p>
        </w:tc>
      </w:tr>
      <w:tr w:rsidR="005E13E8" w:rsidRPr="00E547AD" w14:paraId="4921ABD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A3676FA"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567F34E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691C705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2017</w:t>
            </w:r>
          </w:p>
        </w:tc>
        <w:tc>
          <w:tcPr>
            <w:tcW w:w="0" w:type="auto"/>
          </w:tcPr>
          <w:p w14:paraId="030E497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Wuhan</w:t>
            </w:r>
          </w:p>
        </w:tc>
        <w:tc>
          <w:tcPr>
            <w:tcW w:w="0" w:type="auto"/>
          </w:tcPr>
          <w:p w14:paraId="56262DB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80</w:t>
            </w:r>
          </w:p>
          <w:p w14:paraId="11B5394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(40-180)</w:t>
            </w:r>
          </w:p>
        </w:tc>
        <w:tc>
          <w:tcPr>
            <w:tcW w:w="0" w:type="auto"/>
          </w:tcPr>
          <w:p w14:paraId="70640BB2" w14:textId="4E5BBAC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{"citationItems":[{"id":"ITEM-1","itemData":{"DOI":"10.1016/j.scitotenv.2018.05.089","ISSN":"18791026","PMID":"29777830","abstract":"The long-term low concentrations of trace “contaminants of emerging concern” (CECs) can have potential toxic effects on human health and serious risks to the ecological environment. This study investigated the occurrence, spatial distributions, and seasonal variations of 65 target CECs, including 35 pesticides, 17 antibiotics, 7 microcystins, 5 estrogens, and 1 plasticizers in Shanghai's source water. The detected pesticides and antibiotics of sulfonamides and macrolides were relatively ubiquitous in source water of Shanghai, with levels decreasing in the following order: pesticides (average (avg.) 0.0003–1.67 μg/L) &gt; antibiotics (avg. 0.1–14.1 ng/L). While microcystins, estrogens, and plasticizers (ng/L) were non-ubiquitous, with detected species of below 50%, and detection frequencies of mostly below 50%. Pesticide concentrations did not show obvious variations in the water from the inlets of the two rivers. Compare to all other water sources of Shanghai, the much higher concentrations of antibiotics found in the Y3, H2 reservoir and H3 were mainly from roxithromycin and sulfapyridine, roxithromycin and sulfadiazine, and sulfamethazine and roxithromycin, which accounted for 69.5%, 88.1% and 70.8% of the total concentration in corresponding water source, respectively. Pesticide concentrations in the Huangpu River were higher in the wet season than in the flat season, while the concentration decreased in the Yangtze River during the wet season. In Y1, Y3 and Y4, there were relatively large differences in pesticide levels in the wet season, and flat season when the maximal contribution of the pesticide concentration was from acephate, which accounted for about 67% of the total pesticide concentration. The levels of antibiotics in the flat season were higher than those in the wet season in both water sources. Overall, improvement of raw water quality was observed after entering the reservoir except for microcystin.","author":[{"dropping-particle":"","family":"Sun","given":"Sainan","non-dropping-particle":"","parse-names":false,"suffix":""},{"dropping-particle":"","family":"Chen","given":"Yanan","non-dropping-particle":"","parse-names":false,"suffix":""},{"dropping-particle":"","family":"Lin","given":"Yujin","non-dropping-particle":"","parse-names":false,"suffix":""},{"dropping-particle":"","family":"An","given":"Dong","non-dropping-particle":"","parse-names":false,"suffix":""}],"container-title":"Science of the Total Environment","id":"ITEM-1","issued":{"date-parts":[["2018"]]},"page":"1-7","publisher":"Elsevier B.V.","title":"Occurrence, spatial distribution, and seasonal variation of emerging trace organic pollutants in source water for Shanghai, China","type":"article-journal","volume":"639"},"uris":["http://www.mendeley.com/documents/?uuid=6add4696-71ee-4def-9646-95cd722daafd"]}],"mendeley":{"formattedCitation":"&lt;sup&gt;10&lt;/sup&gt;","plainTextFormattedCitation":"10","previouslyFormattedCitation":"&lt;sup&gt;10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10</w:t>
            </w:r>
            <w:r w:rsidRPr="00E547AD">
              <w:rPr>
                <w:color w:val="0070C0"/>
                <w:sz w:val="22"/>
              </w:rPr>
              <w:fldChar w:fldCharType="end"/>
            </w:r>
          </w:p>
        </w:tc>
      </w:tr>
      <w:tr w:rsidR="002D64E5" w:rsidRPr="00E547AD" w14:paraId="35D188C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CB356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DCC440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05B70D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1F04412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Hebei</w:t>
            </w:r>
          </w:p>
        </w:tc>
        <w:tc>
          <w:tcPr>
            <w:tcW w:w="0" w:type="auto"/>
          </w:tcPr>
          <w:p w14:paraId="0143F0E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960</w:t>
            </w:r>
          </w:p>
        </w:tc>
        <w:tc>
          <w:tcPr>
            <w:tcW w:w="0" w:type="auto"/>
          </w:tcPr>
          <w:p w14:paraId="267D73D5" w14:textId="4B704A0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{"citationItems":[{"id":"ITEM-1","itemData":{"DOI":"10.1016/j.scitotenv.2017.10.187","ISSN":"18791026","PMID":"29079083","abstract":"In the North China Plain (NCP), rising inputs of pesticides have intensified the environmental impact of farming activities in recent decades by contributing to surface water and groundwater contamination. In response to this, the Chinese government imposed stricter regulations on pesticide approval and application, and better monitoring strategies are being developed. However, sufficient and well-directed research on the accumulation and impact of different pesticides is needed for informed decision-making. In this study, current pesticide use, and recent and current research on water contamination by pesticides in the NCP are reviewed and assessed. Additionally, a small-scale field study was performed to determine if residuals from currently-used pesticides in the NCP can be detected in surface water, and in connected shallow groundwater. The contaminants of interest were commonly used pesticides on winter wheat-summer maize fields (the dominant cropping system in the NCP), such as 2,4-D and atrazine. Sampling took place in May, July, and October 2013; and March 2014. Results from our literature research showed that sampling is biased towards surface water monitoring. Furthermore, most studies focus on organic chlorinated pesticides (OCPs) like the isomers of dichlorodiphenyltrichloroethane (DDT) and hexachlorocyclohexane (HCH), which were banned in China in 1983. However, currently-used herbicides like 2,4-D and atrazine were detected in river water and groundwater in all samplings of our field study. The highest concentrations of 2,4-D and atrazine were found in the river water, ranging up to 3.00 and 0.96 μg/L, respectively. The monitoring of banned compounds was found to be important because several studies indicate that they are still accumulating in the environment and/or are still illegally in use. However, supported by our own data, we find that the monitoring in groundwater and surface water of currently permitted pesticides in China needs equal attention, and should therefore be increased.","author":[{"dropping-particle":"","family":"Brauns","given":"Bentje","non-dropping-particle":"","parse-names":false,"suffix":""},{"dropping-particle":"","family":"Jakobsen","given":"Rasmus","non-dropping-particle":"","parse-names":false,"suffix":""},{"dropping-particle":"","family":"Song","given":"Xianfang","non-dropping-particle":"","parse-names":false,"suffix":""},{"dropping-particle":"","family":"Bjerg","given":"Poul L.","non-dropping-particle":"","parse-names":false,"suffix":""}],"container-title":"Science of the Total Environment","id":"ITEM-1","issued":{"date-parts":[["2018"]]},"page":"1307-1316","publisher":"Elsevier B.V.","title":"Pesticide use in the wheat-maize double cropping systems of the North China Plain: Assessment, field study, and implications","type":"article-journal","volume":"616-617"},"uris":["http://www.mendeley.com/documents/?uuid=ba718188-0c49-4dbd-9552-8933bd06a679"]}],"mendeley":{"formattedCitation":"&lt;sup&gt;11&lt;/sup&gt;","plainTextFormattedCitation":"11","previouslyFormattedCitation":"&lt;sup&gt;11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11</w:t>
            </w:r>
            <w:r w:rsidRPr="00E547AD">
              <w:rPr>
                <w:color w:val="0070C0"/>
                <w:sz w:val="22"/>
              </w:rPr>
              <w:fldChar w:fldCharType="end"/>
            </w:r>
          </w:p>
        </w:tc>
      </w:tr>
      <w:tr w:rsidR="005E13E8" w:rsidRPr="00E547AD" w14:paraId="4045B8A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278E377"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2BB31F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2795DA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2018</w:t>
            </w:r>
          </w:p>
        </w:tc>
        <w:tc>
          <w:tcPr>
            <w:tcW w:w="0" w:type="auto"/>
          </w:tcPr>
          <w:p w14:paraId="150A7FA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Guangxi</w:t>
            </w:r>
          </w:p>
        </w:tc>
        <w:tc>
          <w:tcPr>
            <w:tcW w:w="0" w:type="auto"/>
          </w:tcPr>
          <w:p w14:paraId="4ECEDA3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127</w:t>
            </w:r>
          </w:p>
          <w:p w14:paraId="7095651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(74-585)</w:t>
            </w:r>
          </w:p>
        </w:tc>
        <w:tc>
          <w:tcPr>
            <w:tcW w:w="0" w:type="auto"/>
          </w:tcPr>
          <w:p w14:paraId="2E52F9CB" w14:textId="1A848EC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{"citationItems":[{"id":"ITEM-1","itemData":{"DOI":"10.1007/s00128-018-2324-6","ISBN":"0123456789","ISSN":"14320800","PMID":"29564484","abstract":"This work investigated drinking water contamination by 11 commonly used herbicides in sugarcane production areas in Guangxi, China. The work developed an analytical method for determination of these herbicides in environmental waters. This work studied herbicide residues in drinking water in Guangxi, China. The maximum residues and percent of detects were: (0.091 µg/L, 29.2%, atrazine), (0.018 µg/L, 8.3%, ametryne), (0.188 µg/L, 8.3%, aetolaehlor), (0.139 µg/L, 4%, simazine), (0.585 µg/L, 62.5%, atrazine), (0.311 µg/L, 33.3%, acetochlor), (0.341 µg/L, 58.3%, ametryne), (1.312 µg/L, 29.2%, metolachlor), (0.088 µg/L, 4.2%, alachlor), (0.127 µg/L, 14.3%, atrazine), and (0.453 µg/L, 7.1%, metolachlor), respectively. The results demonstrated that agricultural herbicides were detected in all water samples, including tap, surface and groundwater samples. Since the residues are generally below the safe limits established by the government authorities, the monitored 11 herbicides do not significantly affect the quality of the human environment. This work will provide scientific understanding of pesticide residues in drinking water standards in terms of its consistency with precautionary human health and environmental safety.","author":[{"dropping-particle":"","family":"Li","given":"Honghong","non-dropping-particle":"","parse-names":false,"suffix":""},{"dropping-particle":"","family":"Feng","given":"Yujie","non-dropping-particle":"","parse-names":false,"suffix":""},{"dropping-particle":"","family":"Li","given":"Xuesheng","non-dropping-particle":"","parse-names":false,"suffix":""},{"dropping-particle":"","family":"Zeng","given":"Dongqiang","non-dropping-particle":"","parse-names":false,"suffix":""}],"container-title":"Bulletin of Environmental Contamination and Toxicology","id":"ITEM-1","issue":"6","issued":{"date-parts":[["2018"]]},"page":"815-820","publisher":"Springer US","title":"Analytical Confirmation of Various Herbicides in Drinking Water Resources in Sugarcane Production Regions of Guangxi, China","type":"article-journal","volume":"100"},"uris":["http://www.mendeley.com/documents/?uuid=31a2b7b5-52a2-4460-a8fe-64597362fc19"]}],"mendeley":{"formattedCitation":"&lt;sup&gt;12&lt;/sup&gt;","plainTextFormattedCitation":"12","previouslyFormattedCitation":"&lt;sup&gt;12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12</w:t>
            </w:r>
            <w:r w:rsidRPr="00E547AD">
              <w:rPr>
                <w:color w:val="0070C0"/>
                <w:sz w:val="22"/>
              </w:rPr>
              <w:fldChar w:fldCharType="end"/>
            </w:r>
          </w:p>
        </w:tc>
      </w:tr>
      <w:tr w:rsidR="002D64E5" w:rsidRPr="00E547AD" w14:paraId="3E0A560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DC92187"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818097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0D30EB4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28BE1D9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Zhejiang</w:t>
            </w:r>
          </w:p>
        </w:tc>
        <w:tc>
          <w:tcPr>
            <w:tcW w:w="0" w:type="auto"/>
          </w:tcPr>
          <w:p w14:paraId="20810E4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193.6</w:t>
            </w:r>
          </w:p>
          <w:p w14:paraId="120E9CE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(21.3-614)</w:t>
            </w:r>
          </w:p>
        </w:tc>
        <w:tc>
          <w:tcPr>
            <w:tcW w:w="0" w:type="auto"/>
          </w:tcPr>
          <w:p w14:paraId="55A535B5" w14:textId="5281B69A"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{"citationItems":[{"id":"ITEM-1","itemData":{"ISBN":"9788578110796","ISSN":"1098-6596","PMID":"25246403","abstract":"A capillary gas chromatography method w ith SPE preconcentration was developed fo r determination of at- razine in wate</w:instrText>
            </w:r>
            <w:r w:rsidR="00694227">
              <w:rPr>
                <w:rFonts w:hint="eastAsia"/>
                <w:color w:val="0070C0"/>
                <w:sz w:val="22"/>
              </w:rPr>
              <w:instrText>r of Taihu Meiliang Bay , following a GC-MS-SIM confirmation. The determination limit was 10 ng / L. Method recovery and RSD is 75. 58%</w:instrText>
            </w:r>
            <w:r w:rsidR="00694227">
              <w:rPr>
                <w:rFonts w:hint="eastAsia"/>
                <w:color w:val="0070C0"/>
                <w:sz w:val="22"/>
              </w:rPr>
              <w:instrText>～</w:instrText>
            </w:r>
            <w:r w:rsidR="00694227">
              <w:rPr>
                <w:rFonts w:hint="eastAsia"/>
                <w:color w:val="0070C0"/>
                <w:sz w:val="22"/>
              </w:rPr>
              <w:instrText>97. 79% and 0. 38%</w:instrText>
            </w:r>
            <w:r w:rsidR="00694227">
              <w:rPr>
                <w:rFonts w:hint="eastAsia"/>
                <w:color w:val="0070C0"/>
                <w:sz w:val="22"/>
              </w:rPr>
              <w:instrText>～</w:instrText>
            </w:r>
            <w:r w:rsidR="00694227">
              <w:rPr>
                <w:rFonts w:hint="eastAsia"/>
                <w:color w:val="0070C0"/>
                <w:sz w:val="22"/>
              </w:rPr>
              <w:instrText>4. 50%, respectively . Linearity range between 10 ng /L</w:instrText>
            </w:r>
            <w:r w:rsidR="00694227">
              <w:rPr>
                <w:rFonts w:hint="eastAsia"/>
                <w:color w:val="0070C0"/>
                <w:sz w:val="22"/>
              </w:rPr>
              <w:instrText>～</w:instrText>
            </w:r>
            <w:r w:rsidR="00694227">
              <w:rPr>
                <w:rFonts w:hint="eastAsia"/>
                <w:color w:val="0070C0"/>
                <w:sz w:val="22"/>
              </w:rPr>
              <w:instrText xml:space="preserve"> 3 640 </w:instrText>
            </w:r>
            <w:r w:rsidR="00694227">
              <w:rPr>
                <w:rFonts w:hint="eastAsia"/>
                <w:color w:val="0070C0"/>
                <w:sz w:val="22"/>
              </w:rPr>
              <w:instrText>μ</w:instrText>
            </w:r>
            <w:r w:rsidR="00694227">
              <w:rPr>
                <w:rFonts w:hint="eastAsia"/>
                <w:color w:val="0070C0"/>
                <w:sz w:val="22"/>
              </w:rPr>
              <w:instrText>g / L and the reg ression coefficien</w:instrText>
            </w:r>
            <w:r w:rsidR="00694227">
              <w:rPr>
                <w:color w:val="0070C0"/>
                <w:sz w:val="22"/>
              </w:rPr>
              <w:instrText>t is 0. 999 4. The concentration of atrazine in water of Taihu Meiliang Bay w as in the range of 21. 3 to 613. 9 ng / L. The source of atrazine po llution might be from the drainage area of Taihu Lake.","author":[{"dropping-particle":"","family":"Ta","given":"Na","non-dropping-particle":"","parse-names":false,"suffix":""},{"dropping-particle":"","family":"Feng","given":"Jianfang","non-dropping-particle":"","parse-names":false,"suffix":""},{"dropping-particle":"","family":"Sun","given":"Cheng","non-dropping-particle":"","parse-names":false,"suffix":""},{"dropping-particle":"","family":"Zhou","given":"Fang","non-dropping-particle":"","parse-names":false,"suffix":""}],"container-title":"Journal of Chemical Information and Modeling","id":"ITEM-1","issue":"8","issued":{"date-parts":[["2005"]]},"page":"634-636","title":"Determination of atrazine in water of Taihu Meiliang Bay by capillary gas chromatography","type":"article-journal","volume":"27"},"uris":["http://www.mendeley.com/documents/?uuid=fa28f0ad-1afa-41cc-98bf-3591b8f4f33c"]}],"mendeley":{"formattedCitation":"&lt;sup&gt;13&lt;/sup&gt;","plainTextFormattedCitation":"13","previouslyFormattedCitation":"&lt;sup&gt;13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13</w:t>
            </w:r>
            <w:r w:rsidRPr="00E547AD">
              <w:rPr>
                <w:color w:val="0070C0"/>
                <w:sz w:val="22"/>
              </w:rPr>
              <w:fldChar w:fldCharType="end"/>
            </w:r>
          </w:p>
        </w:tc>
      </w:tr>
      <w:tr w:rsidR="005E13E8" w:rsidRPr="00E547AD" w14:paraId="3CD416C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D92BB8F"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1322A3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2C89CAC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3D3535F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3D653B3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154.8</w:t>
            </w:r>
          </w:p>
          <w:p w14:paraId="6F9DCD6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(10.5-551.5)</w:t>
            </w:r>
          </w:p>
        </w:tc>
        <w:tc>
          <w:tcPr>
            <w:tcW w:w="0" w:type="auto"/>
          </w:tcPr>
          <w:p w14:paraId="13DDBE24" w14:textId="15ED69D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{"citationItems":[{"id":"ITEM-1","itemData":{"DOI":"10.1016/j.marpolbul.2022.113946","ISSN":"18793363","PMID":"35870360","abstract":"Organic pollutants are ubiquitous in estuarine areas, nonetheless, the transport mechanisms of herbicides in such areas are limited. Atrazine and acetochlor were analyzed in suspended particle matter (SPM), surface sediment, and surface water from the Yellow River estuary and the surrounding rivers and sea. Among these rivers, the Yellow River contributes the most herbicide flux to the sea annually. The herbicide concentrations in water and sediment decreased from the estuarine areas to the deep sea. The fugacity fraction values of atrazine exceeded 0.5 in the Yellow River estuary, which supported that the herbicides in sediment desorbed at the estuarine areas. The herbicide in the SPM showed high concentration in the outer sea and increased as a power function with decreasing SPM content. The increasing partition capacity indicated that the herbicides tended to sink into sediment, increasing the ecological risk posed by herbicides. The ecological risk of acetochlor deserves continuous attention.","author":[{"dropping-particle":"","family":"Guo","given":"Zewei","non-dropping-particle":"","parse-names":false,"suffix":""},{"dropping-particle":"","family":"Ouyang","given":"Wei","non-dropping-particle":"","parse-names":false,"suffix":""},{"dropping-particle":"","family":"Tulcan","given":"Roberto Xavier Supe","non-dropping-particle":"","parse-names":false,"suffix":""},{"dropping-particle":"","family":"Lin","given":"Chunye","non-dropping-particle":"","parse-names":false,"suffix":""},{"dropping-particle":"","family":"He","given":"Mengchang","non-dropping-particle":"","parse-names":false,"suffix":""},{"dropping-particle":"","family":"Wang","given":"Baodong","non-dropping-particle":"","parse-names":false,"suffix":""},{"dropping-particle":"","family":"Xin","given":"Ming","non-dropping-particle":"","parse-names":false,"suffix":""}],"container-title":"Marine Pollution Bulletin","id":"ITEM-1","issue":"April","issued":{"date-parts":[["2022"]]},"page":"113946","publisher":"Elsevier Ltd","title":"Spatiotemporal partition dynamics of typical herbicides at a turbid river estuary","type":"article-journal","volume":"182"},"uris":["http://www.mendeley.com/documents/?uuid=c8584ba3-6b4b-441a-a9cf-8d918e6e7976"]}],"mendeley":{"formattedCitation":"&lt;sup&gt;14&lt;/sup&gt;","plainTextFormattedCitation":"14","previouslyFormattedCitation":"&lt;sup&gt;14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14</w:t>
            </w:r>
            <w:r w:rsidRPr="00E547AD">
              <w:rPr>
                <w:color w:val="0070C0"/>
                <w:sz w:val="22"/>
              </w:rPr>
              <w:fldChar w:fldCharType="end"/>
            </w:r>
          </w:p>
        </w:tc>
      </w:tr>
      <w:tr w:rsidR="002D64E5" w:rsidRPr="00E547AD" w14:paraId="14DA70C2"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7A0CB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8465BB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3E3A2F4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5934E44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Henan</w:t>
            </w:r>
          </w:p>
        </w:tc>
        <w:tc>
          <w:tcPr>
            <w:tcW w:w="0" w:type="auto"/>
          </w:tcPr>
          <w:p w14:paraId="5D25583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578</w:t>
            </w:r>
          </w:p>
          <w:p w14:paraId="7CB5540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(320-960)</w:t>
            </w:r>
          </w:p>
        </w:tc>
        <w:tc>
          <w:tcPr>
            <w:tcW w:w="0" w:type="auto"/>
          </w:tcPr>
          <w:p w14:paraId="5366410D" w14:textId="531F102A"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{"citationItems":[{"id":"ITEM-1","itemData":{"DOI":"10.1016/j.scitotenv.2017.10.187","ISSN":"18791026","PMID":"29079083","abstract":"In the North China Plain (NCP), rising inputs of pesticides have intensified the environmental impact of farming activities in recent decades by contributing to surface water and groundwater contamination. In response to this, the Chinese government imposed stricter regulations on pesticide approval and application, and better monitoring strategies are being developed. However, sufficient and well-directed research on the accumulation and impact of different pesticides is needed for informed decision-making. In this study, current pesticide use, and recent and current research on water contamination by pesticides in the NCP are reviewed and assessed. Additionally, a small-scale field study was performed to determine if residuals from currently-used pesticides in the NCP can be detected in surface water, and in connected shallow groundwater. The contaminants of interest were commonly used pesticides on winter wheat-summer maize fields (the dominant cropping system in the NCP), such as 2,4-D and atrazine. Sampling took place in May, July, and October 2013; and March 2014. Results from our literature research showed that sampling is biased towards surface water monitoring. Furthermore, most studies focus on organic chlorinated pesticides (OCPs) like the isomers of dichlorodiphenyltrichloroethane (DDT) and hexachlorocyclohexane (HCH), which were banned in China in 1983. However, currently-used herbicides like 2,4-D and atrazine were detected in river water and groundwater in all samplings of our field study. The highest concentrations of 2,4-D and atrazine were found in the river water, ranging up to 3.00 and 0.96 μg/L, respectively. The monitoring of banned compounds was found to be important because several studies indicate that they are still accumulating in the environment and/or are still illegally in use. However, supported by our own data, we find that the monitoring in groundwater and surface water of currently permitted pesticides in China needs equal attention, and should therefore be increased.","author":[{"dropping-particle":"","family":"Brauns","given":"Bentje","non-dropping-particle":"","parse-names":false,"suffix":""},{"dropping-particle":"","family":"Jakobsen","given":"Rasmus","non-dropping-particle":"","parse-names":false,"suffix":""},{"dropping-particle":"","family":"Song","given":"Xianfang","non-dropping-particle":"","parse-names":false,"suffix":""},{"dropping-particle":"","family":"Bjerg","given":"Poul L.","non-dropping-particle":"","parse-names":false,"suffix":""}],"container-title":"Science of the Total Environment","id":"ITEM-1","issued":{"date-parts":[["2018"]]},"page":"1307-1316","publisher":"Elsevier B.V.","title":"Pesticide use in the wheat-maize double cropping systems of the North China Plain: Assessment, field study, and implications","type":"article-journal","volume":"616-617"},"uris":["http://www.mendeley.com/documents/?uuid=21e49421-a659-4bb7-a62d-39ccdb07d339"]}],"mendeley":{"formattedCitation":"&lt;sup&gt;11&lt;/sup&gt;","plainTextFormattedCitation":"11","previouslyFormattedCitation":"&lt;sup&gt;11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11</w:t>
            </w:r>
            <w:r w:rsidRPr="00E547AD">
              <w:rPr>
                <w:color w:val="0070C0"/>
                <w:sz w:val="22"/>
              </w:rPr>
              <w:fldChar w:fldCharType="end"/>
            </w:r>
          </w:p>
        </w:tc>
      </w:tr>
      <w:tr w:rsidR="005E13E8" w:rsidRPr="00E547AD" w14:paraId="7454DE9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B247E9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6218747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F37DEE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2000</w:t>
            </w:r>
          </w:p>
        </w:tc>
        <w:tc>
          <w:tcPr>
            <w:tcW w:w="0" w:type="auto"/>
          </w:tcPr>
          <w:p w14:paraId="7D6E30A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Beijing</w:t>
            </w:r>
          </w:p>
        </w:tc>
        <w:tc>
          <w:tcPr>
            <w:tcW w:w="0" w:type="auto"/>
          </w:tcPr>
          <w:p w14:paraId="074E865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(600-750)</w:t>
            </w:r>
          </w:p>
        </w:tc>
        <w:tc>
          <w:tcPr>
            <w:tcW w:w="0" w:type="auto"/>
          </w:tcPr>
          <w:p w14:paraId="6A846649" w14:textId="68D6AD7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Ren","given":"Jin","non-dropping-particle":"","parse-names":false,"suffix":""},{"dropping-particle":"","family":"Jiang","given":"Ke","non-dropping-particle":"","parse-names":false,"suffix":""},{"dropping-particle":"","family":"Zhou","given":"Huaidong","non-dropping-particle":"","parse-names":false,"suffix":""}],"container-title":"Environmental Science","id":"ITEM-1","issue":"1","issued":{"date-parts":[["2002"]]},"page":"126-128","title":"The Concentration and Source of Atrazine Residue in Water of Guanting Reservoir","type":"article-journal","volume":"23"},"uris":["http://www.mendeley.com/documents/?uuid=89f14db8-b31a-4c46-92d8-a468f27c484a"]}],"mendeley":{"formattedCitation":"&lt;sup&gt;15&lt;/sup&gt;","plainTextFormattedCitation":"15","previouslyFormattedCitation":"&lt;sup&gt;15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15</w:t>
            </w:r>
            <w:r w:rsidRPr="00E547AD">
              <w:rPr>
                <w:color w:val="0070C0"/>
                <w:sz w:val="22"/>
              </w:rPr>
              <w:fldChar w:fldCharType="end"/>
            </w:r>
          </w:p>
        </w:tc>
      </w:tr>
      <w:tr w:rsidR="002D64E5" w:rsidRPr="00E547AD" w14:paraId="3389FA91"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EBA85B"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9A6AE1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A72362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2018</w:t>
            </w:r>
          </w:p>
        </w:tc>
        <w:tc>
          <w:tcPr>
            <w:tcW w:w="0" w:type="auto"/>
          </w:tcPr>
          <w:p w14:paraId="2A95133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Liaoning</w:t>
            </w:r>
          </w:p>
        </w:tc>
        <w:tc>
          <w:tcPr>
            <w:tcW w:w="0" w:type="auto"/>
          </w:tcPr>
          <w:p w14:paraId="340E3D8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23.3</w:t>
            </w:r>
          </w:p>
          <w:p w14:paraId="215A5DA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(8.7-64.8)</w:t>
            </w:r>
          </w:p>
        </w:tc>
        <w:tc>
          <w:tcPr>
            <w:tcW w:w="0" w:type="auto"/>
          </w:tcPr>
          <w:p w14:paraId="22C67BD9" w14:textId="1C40260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{"citationItems":[{"id":"ITEM-1","itemData":{"DOI":"10.1016/j.scitotenv.2018.11.449","ISSN":"18791026","PMID":"30625680","abstract":"Mariculture activities and river inputs can lead to pollution of micropollutants (e.g., antibiotics and pesticides) in coastal seawater which is the base of the most dynamic ecosystems due to its hosting some of the highest biodiversity and biological production in the world. It is thus of importance to investigate the occurrence and risks of organic micropollutants in coastal waters. In this study, 13 antibiotics and 15 pesticides were screened in coastal waters around the Liaodong Peninsula, China. Among the targets, thirteen were detected with concentrations up to 64.8 ng L−1. Simazine, atrazine and triadimenol were found to be the predominant pesticides with detection frequencies of 100%, and sulfamethoxazole was the predominant antibiotic with a detection frequency of 62.5%. The total level of the pollutants in the Bohai Sea was generally higher than that in the Yellow Sea, and a seaward decreasing trend of the pollutants was observed. Terrestrial inputs and mariculture were distinguished as main pollution sources by principal component analysis. Finally, ecological risk quotients were calculated and atrazine and acetochlor showed relatively higher risks to aquatic organisms.","author":[{"dropping-particle":"","family":"Xie","given":"Huaijun","non-dropping-particle":"","parse-names":false,"suffix":""},{"dropping-particle":"","family":"Wang","given":"Xuepeng","non-dropping-particle":"","parse-names":false,"suffix":""},{"dropping-particle":"","family":"Chen","given":"Jingwen","non-dropping-particle":"","parse-names":false,"suffix":""},{"dropping-particle":"","family":"Li","given":"Xuehua","non-dropping-particle":"","parse-names":false,"suffix":""},{"dropping-particle":"","family":"Jia","given":"Gang","non-dropping-particle":"","parse-names":false,"suffix":""},{"dropping-particle":"","family":"Zou","given":"Yang","non-dropping-particle":"","parse-names":false,"suffix":""},{"dropping-particle":"","family":"Zhang","given":"Yantian","non-dropping-particle":"","parse-names":false,"suffix":""},{"dropping-particle":"","family":"Cui","given":"Yunhan","non-dropping-particle":"","parse-names":false,"suffix":""}],"container-title":"Science of the Total Environment","id":"ITEM-1","issued":{"date-parts":[["2019"]]},"page":"946-951","publisher":"Elsevier B.V.","title":"Occurrence, distribution and ecological risks of antibiotics and pesticides in coastal waters around Liaodong Peninsula, China","type":"article-journal","volume":"656"},"uris":["http://www.mendeley.com/documents/?uuid=25f38ea3-461c-43aa-97d4-ef492adadf90"]}],"mendeley":{"formattedCitation":"&lt;sup&gt;16&lt;/sup&gt;","plainTextFormattedCitation":"16","previouslyFormattedCitation":"&lt;sup&gt;16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16</w:t>
            </w:r>
            <w:r w:rsidRPr="00E547AD">
              <w:rPr>
                <w:color w:val="0070C0"/>
                <w:sz w:val="22"/>
              </w:rPr>
              <w:fldChar w:fldCharType="end"/>
            </w:r>
          </w:p>
        </w:tc>
      </w:tr>
      <w:tr w:rsidR="005E13E8" w:rsidRPr="00E547AD" w14:paraId="2A4A6E8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F5E522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081CAC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3E4DFC4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50D3251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Zhejiang</w:t>
            </w:r>
          </w:p>
        </w:tc>
        <w:tc>
          <w:tcPr>
            <w:tcW w:w="0" w:type="auto"/>
          </w:tcPr>
          <w:p w14:paraId="4F4327F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23.9</w:t>
            </w:r>
          </w:p>
          <w:p w14:paraId="5E61208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(2.4-69.6)</w:t>
            </w:r>
          </w:p>
        </w:tc>
        <w:tc>
          <w:tcPr>
            <w:tcW w:w="0" w:type="auto"/>
          </w:tcPr>
          <w:p w14:paraId="4F2A7153" w14:textId="389B1903"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{"citationItems":[{"id":"ITEM-1","itemData":{"DOI":"10.1016/j.envpol.2020.116362","ISSN":"18736424","PMID":"33387782","abstract":"Occurrence, migration and transformation of ATR and its metabolites in seawater, sediment, and aquatic organisms from the Xiangshan Harbor were investigated.","author":[{"dropping-particle":"","family":"Xue","given":"Ying","non-dropping-particle":"","parse-names":false,"suffix":""},{"dropping-particle":"","family":"Zhang","given":"Ze Ming","non-dropping-particle":"","parse-names":false,"suffix":""},{"dropping-particle":"","family":"Zhang","given":"Rong Rong","non-dropping-particle":"","parse-names":false,"suffix":""},{"dropping-particle":"","family":"Li","given":"Yu Qi","non-dropping-particle":"","parse-names":false,"suffix":""},{"dropping-particle":"","family":"Sun","given":"Ai Li","non-dropping-particle":"","parse-names":false,"suffix":""},{"dropping-particle":"","family":"Shi","given":"Xi Zhi","non-dropping-particle":"","parse-names":false,"suffix":""},{"dropping-particle":"","family":"Chen","given":"Jiong","non-dropping-particle":"","parse-names":false,"suffix":""},{"dropping-particle":"","family":"Song","given":"Suquan","non-dropping-particle":"","parse-names":false,"suffix":""}],"container-title":"Environmental Pollution","id":"ITEM-1","issued":{"date-parts":[["2021"]]},"title":"Aquaculture-derived distribution, partitioning, migration, and transformation of atrazine and its metabolites in seawater, sediment, and organisms from a typical semi-closed mariculture bay","type":"article-journal","volume":"271"},"uris":["http://www.mendeley.com/documents/?uuid=2931a2ca-04d3-4e38-b7f0-8c8edba55c01"]}],"mendeley":{"formattedCitation":"&lt;sup&gt;17&lt;/sup&gt;","plainTextFormattedCitation":"17","previouslyFormattedCitation":"&lt;sup&gt;17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17</w:t>
            </w:r>
            <w:r w:rsidRPr="00E547AD">
              <w:rPr>
                <w:color w:val="0070C0"/>
                <w:sz w:val="22"/>
              </w:rPr>
              <w:fldChar w:fldCharType="end"/>
            </w:r>
          </w:p>
        </w:tc>
      </w:tr>
      <w:tr w:rsidR="002D64E5" w:rsidRPr="00E547AD" w14:paraId="2271A6B0"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47EB757"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0C4C41F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648BBE3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600DAFE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082316C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99.1</w:t>
            </w:r>
          </w:p>
          <w:p w14:paraId="452D978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(4.2-195.9)</w:t>
            </w:r>
          </w:p>
        </w:tc>
        <w:tc>
          <w:tcPr>
            <w:tcW w:w="0" w:type="auto"/>
          </w:tcPr>
          <w:p w14:paraId="011BCC1A" w14:textId="097AD24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{"citationItems":[{"id":"ITEM-1","itemData":{"DOI":"10.1016/j.marpolbul.2022.113946","ISSN":"18793363","PMID":"35870360","abstract":"Organic pollutants are ubiquitous in estuarine areas, nonetheless, the transport mechanisms of herbicides in such areas are limited. Atrazine and acetochlor were analyzed in suspended particle matter (SPM), surface sediment, and surface water from the Yellow River estuary and the surrounding rivers and sea. Among these rivers, the Yellow River contributes the most herbicide flux to the sea annually. The herbicide concentrations in water and sediment decreased from the estuarine areas to the deep sea. The fugacity fraction values of atrazine exceeded 0.5 in the Yellow River estuary, which supported that the herbicides in sediment desorbed at the estuarine areas. The herbicide in the SPM showed high concentration in the outer sea and increased as a power function with decreasing SPM content. The increasing partition capacity indicated that the herbicides tended to sink into sediment, increasing the ecological risk posed by herbicides. The ecological risk of acetochlor deserves continuous attention.","author":[{"dropping-particle":"","family":"Guo","given":"Zewei","non-dropping-particle":"","parse-names":false,"suffix":""},{"dropping-particle":"","family":"Ouyang","given":"Wei","non-dropping-particle":"","parse-names":false,"suffix":""},{"dropping-particle":"","family":"Tulcan","given":"Roberto Xavier Supe","non-dropping-particle":"","parse-names":false,"suffix":""},{"dropping-particle":"","family":"Lin","given":"Chunye","non-dropping-particle":"","parse-names":false,"suffix":""},{"dropping-particle":"","family":"He","given":"Mengchang","non-dropping-particle":"","parse-names":false,"suffix":""},{"dropping-particle":"","family":"Wang","given":"Baodong","non-dropping-particle":"","parse-names":false,"suffix":""},{"dropping-particle":"","family":"Xin","given":"Ming","non-dropping-particle":"","parse-names":false,"suffix":""}],"container-title":"Marine Pollution Bulletin","id":"ITEM-1","issue":"April","issued":{"date-parts":[["2022"]]},"page":"113946","publisher":"Elsevier Ltd","title":"Spatiotemporal partition dynamics of typical herbicides at a turbid river estuary","type":"article-journal","volume":"182"},"uris":["http://www.mendeley.com/documents/?uuid=c8584ba3-6b4b-441a-a9cf-8d918e6e7976"]}],"mendeley":{"formattedCitation":"&lt;sup&gt;14&lt;/sup&gt;","plainTextFormattedCitation":"14","previouslyFormattedCitation":"&lt;sup&gt;14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14</w:t>
            </w:r>
            <w:r w:rsidRPr="00E547AD">
              <w:rPr>
                <w:color w:val="0070C0"/>
                <w:sz w:val="22"/>
              </w:rPr>
              <w:fldChar w:fldCharType="end"/>
            </w:r>
          </w:p>
        </w:tc>
      </w:tr>
      <w:tr w:rsidR="005E13E8" w:rsidRPr="00E547AD" w14:paraId="26D8BB54"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D146BFA"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137F4A7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557D9F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6650ED4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Liaoning</w:t>
            </w:r>
          </w:p>
        </w:tc>
        <w:tc>
          <w:tcPr>
            <w:tcW w:w="0" w:type="auto"/>
          </w:tcPr>
          <w:p w14:paraId="49ABD13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9700</w:t>
            </w:r>
          </w:p>
          <w:p w14:paraId="5F86716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(4520-17500)</w:t>
            </w:r>
          </w:p>
        </w:tc>
        <w:tc>
          <w:tcPr>
            <w:tcW w:w="0" w:type="auto"/>
          </w:tcPr>
          <w:p w14:paraId="43B8E291" w14:textId="101D5DB9"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Yang","given":"Denghua","non-dropping-particle":"","parse-names":false,"suffix":""},{"dropping-particle":"","family":"He","given":"Yan","non-dropping-particle":"","parse-names":false,"suffix":""},{"dropping-particle":"","family":"Wang","given":"Hao","non-dropping-particle":"","parse-names":false,"suffix":""}],"container-title":"Environmental Science","id":"ITEM-1","issue":"3","issued":{"date-parts":[["2005"]]},"page":"203-208","title":"Environmental Characteristics of the Atrazine in the Waters in East Liaohe River Basin","type":"article-journal","volume":"26"},"uris":["http://www.mendeley.com/documents/?uuid=00a501fb-6d47-4dfb-af05-bd0d695a2288"]}],"mendeley":{"formattedCitation":"&lt;sup&gt;18&lt;/sup&gt;","plainTextFormattedCitation":"18","previouslyFormattedCitation":"&lt;sup&gt;18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18</w:t>
            </w:r>
            <w:r w:rsidRPr="00E547AD">
              <w:rPr>
                <w:color w:val="0070C0"/>
                <w:sz w:val="22"/>
              </w:rPr>
              <w:fldChar w:fldCharType="end"/>
            </w:r>
          </w:p>
        </w:tc>
      </w:tr>
      <w:tr w:rsidR="002D64E5" w:rsidRPr="00E547AD" w14:paraId="1D8164D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397598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051C1D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B8556D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2012</w:t>
            </w:r>
          </w:p>
        </w:tc>
        <w:tc>
          <w:tcPr>
            <w:tcW w:w="0" w:type="auto"/>
          </w:tcPr>
          <w:p w14:paraId="6561C08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Anhui</w:t>
            </w:r>
          </w:p>
        </w:tc>
        <w:tc>
          <w:tcPr>
            <w:tcW w:w="0" w:type="auto"/>
          </w:tcPr>
          <w:p w14:paraId="7225263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9</w:t>
            </w:r>
          </w:p>
          <w:p w14:paraId="1637AD8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(1-18.3)</w:t>
            </w:r>
          </w:p>
        </w:tc>
        <w:tc>
          <w:tcPr>
            <w:tcW w:w="0" w:type="auto"/>
          </w:tcPr>
          <w:p w14:paraId="7109BC15" w14:textId="546EE10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{"citationItems":[{"id":"ITEM-1","itemData":{"DOI":"10.1016/j.scitotenv.2013.11.019","ISSN":"18791026","PMID":"24334001","abstract":"Twenty percent of the water run-off from China's land surface drains into the Yangtze River and carries the sewage of approximately 400million people out to sea. The lower stretch of the Yangtze therefore offers the opportunity to assess the pollutant discharge of a huge population. To establish a comprehensive assessment of micropollutants, river water samples were collected monthly from May 2009 to June 2010 along a cross-section at the lowermost hydrological station of the Yangtze River not influenced by the tide (Datong Station, Anhui province). Following a prescreening of 268 target compounds, we examined the occurrence, seasonal variation, and annual loads of 117 organic micropollutants, including 51 pesticides, 43 pharmaceuticals, 7 household and industrial chemicals, and 16 polycyclic aromatic hydrocarbons (PAHs). During the 14-month study, the maximum concentrations of particulate PAHs (1-5μg/g), pesticides (11-284ng/L), pharmaceuticals (5-224ng/L), and household and industrial chemicals (4-430ng/L) were generally lower than in other Chinese rivers due to the dilution caused of the Yangtze River's average water discharge of approximately 30,000m3/s. The loads of most pesticides, anti-infectives, and PAHs were higher in the wet season compared to the dry season, which was attributed to the increased agricultural application of chemicals in the summer, an elevated water discharge through the sewer systems and wastewater treatment plants (WWTP) as a result of high hydraulic loads and the related lower treatment efficiency, and seasonally increased deposition from the atmosphere and runoff from the catchment. The estimated annual load of PAHs in the river accounted for some 4% of the total emission of PAHs in the whole Yangtze Basin. Furthermore, by using sucralose as a tracer for domestic wastewater, we estimate a daily disposal of approximately 47million m3 of sewage into the river, corresponding to 1.8% of its average hydraulic load. In summary, the annual amounts flushed by the Yangtze River into the East China Sea were 2.9×106tons of dissolved and particulate organic carbon (DOC and POC), 369tons of PAHs, 98tons of pesticides, 152tons of pharmaceuticals, and 273tons of household and industrial chemicals. While the concentrations seem comparably moderate, the pollutant loads are considerable and pose an increasing burden to the health of the marine coastal ecosystem. © 2013 Elsevier B.V.","author":[{"dropping-particle":"","family":"Qi","given":"Weixiao","non-dropping-particle":"","parse-names":false,"suffix":""},{"dropping-particle":"","family":"Müller","given":"Beat","non-dropping-particle":"","parse-names":false,"suffix":""},{"dropping-particle":"","family":"Pernet-Coudrier","given":"Benoit","non-dropping-particle":"","parse-names":false,"suffix":""},{"dropping-particle":"","family":"Singer","given":"Heinz","non-dropping-particle":"","parse-names":false,"suffix":""},{"dropping-particle":"","family":"Liu","given":"Huijuan","non-dropping-particle":"","parse-names":false,"suffix":""},{"dropping-particle":"","family":"Qu","given":"Jiuhui","non-dropping-particle":"","parse-names":false,"suffix":""},{"dropping-particle":"","family":"Berg","given":"Michael","non-dropping-particle":"","parse-names":false,"suffix":""}],"container-title":"Science of the Total Environment","id":"ITEM-1","issued":{"date-parts":[["2014"]]},"page":"789-799","publisher":"Elsevier B.V.","title":"Organic micropollutants in the Yangtze River: Seasonal occurrence and annual loads","type":"article-journal","volume":"472"},"uris":["http://www.mendeley.com/documents/?uuid=9e75eaee-cfa2-4296-8859-5fe56604b155"]}],"mendeley":{"formattedCitation":"&lt;sup&gt;19&lt;/sup&gt;","plainTextFormattedCitation":"19","previouslyFormattedCitation":"&lt;sup&gt;19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19</w:t>
            </w:r>
            <w:r w:rsidRPr="00E547AD">
              <w:rPr>
                <w:color w:val="0070C0"/>
                <w:sz w:val="22"/>
              </w:rPr>
              <w:fldChar w:fldCharType="end"/>
            </w:r>
          </w:p>
        </w:tc>
      </w:tr>
      <w:tr w:rsidR="005E13E8" w:rsidRPr="00E547AD" w14:paraId="202A8C3F"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8078094"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2DC5EC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7B2C7D7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74D6062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Shanghai</w:t>
            </w:r>
          </w:p>
        </w:tc>
        <w:tc>
          <w:tcPr>
            <w:tcW w:w="0" w:type="auto"/>
          </w:tcPr>
          <w:p w14:paraId="51B73B1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15</w:t>
            </w:r>
          </w:p>
          <w:p w14:paraId="7D63E13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(6-20)</w:t>
            </w:r>
          </w:p>
        </w:tc>
        <w:tc>
          <w:tcPr>
            <w:tcW w:w="0" w:type="auto"/>
          </w:tcPr>
          <w:p w14:paraId="7BC3C35C" w14:textId="3AFF922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{"citationItems":[{"id":"ITEM-1","itemData":{"DOI":"10.1039/c8em00029h","ISSN":"20507895","PMID":"29900462","abstract":"PPCPs and pesticides have been documented throughout the world over the years, yet relatively little is known about the factors affecting their spatial distribution and temporal change in order to know their potential risk to the ecosystem or human health in the future. In our study, 5 PPCPs and 9 pesticides were selected to study their occurrence, impact variables and potential risk in a drinking water reservoir in Yangtze Estuary and related drinking water treatment plants (DWTPs) in China. The detection results showed the presence of PPCPs and pesticides reflected in a large part of croplands and urban and built-up land in the adjacent basin. The discrepancy of concentration among the different PPCPs and pesticides was mainly decided by their application amount or daily usage. Then, the major factors regulating the occurrence of these contaminants in the surface water were found as the living expenditure attributed to food and medicine based on a correlation analysis. Also, the PPCPs were found to negatively correlate to the effectiveness of sewage management. The detection of the PPCPs and pesticides in DWTPs indicated that, except for atrazine and simazine, the removal percentages were increased significantly in advanced DWTPs. Moreover, risk assessment estimated by a Risk Quotient and Hazard Quotient showed that while caffeine, bisphenol A, estrone and simazine were at a high-risk level in the reservoir water, all of the contaminants detected posed no risk to human health through drinking water. It's possible that atrazine could pose a high risk to the ecosystem while simazine could pose a risk to human health in the future considering the increasing expenditure attributed to food.","author":[{"dropping-particle":"","family":"Xu","given":"Cong","non-dropping-particle":"","parse-names":false,"suffix":""},{"dropping-particle":"","family":"Chen","given":"Lei","non-dropping-particle":"","parse-names":false,"suffix":""},{"dropping-particle":"","family":"You","given":"Luhua","non-dropping-particle":"","parse-names":false,"suffix":""},{"dropping-particle":"","family":"Xu","given":"Zheng","non-dropping-particle":"","parse-names":false,"suffix":""},{"dropping-particle":"","family":"Ren","given":"Long Fei","non-dropping-particle":"","parse-names":false,"suffix":""},{"dropping-particle":"","family":"Yew-Hoong Gin","given":"Karina","non-dropping-particle":"","parse-names":false,"suffix":""},{"dropping-particle":"","family":"He","given":"Yiliang","non-dropping-particle":"","parse-names":false,"suffix":""},{"dropping-particle":"","family":"Kai","given":"Weizhi","non-dropping-particle":"","parse-names":false,"suffix":""}],"container-title":"Environmental Science: Processes and Impacts","id":"ITEM-1","issue":"7","issued":{"date-parts":[["2018"]]},"page":"1030-1045","publisher":"Royal Society of Chemistry","title":"Occurrence, impact variables and potential risk of PPCPs and pesticides in a drinking water reservoir and related drinking water treatment plants in the Yangtze Estuary","type":"article-journal","volume":"20"},"uris":["http://www.mendeley.com/documents/?uuid=1dcfc805-8f16-4ef4-adc5-e8226f6c6402"]}],"mendeley":{"formattedCitation":"&lt;sup&gt;20&lt;/sup&gt;","plainTextFormattedCitation":"20","previouslyFormattedCitation":"&lt;sup&gt;20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20</w:t>
            </w:r>
            <w:r w:rsidRPr="00E547AD">
              <w:rPr>
                <w:color w:val="0070C0"/>
                <w:sz w:val="22"/>
              </w:rPr>
              <w:fldChar w:fldCharType="end"/>
            </w:r>
          </w:p>
        </w:tc>
      </w:tr>
      <w:tr w:rsidR="002D64E5" w:rsidRPr="00E547AD" w14:paraId="405C4CF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530F0D"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5C75281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590917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2018</w:t>
            </w:r>
          </w:p>
        </w:tc>
        <w:tc>
          <w:tcPr>
            <w:tcW w:w="0" w:type="auto"/>
          </w:tcPr>
          <w:p w14:paraId="66294D2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5981E9F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28.3</w:t>
            </w:r>
          </w:p>
          <w:p w14:paraId="67F8D0C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(9-174)</w:t>
            </w:r>
          </w:p>
        </w:tc>
        <w:tc>
          <w:tcPr>
            <w:tcW w:w="0" w:type="auto"/>
          </w:tcPr>
          <w:p w14:paraId="4F6DBF9A" w14:textId="21E02A7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{"citationItems":[{"id":"ITEM-1","itemData":{"DOI":"10.1016/j.envint.2019.05.052","ISSN":"18736750","PMID":"31212164","abstract":"In several watersheds, agricultural activities are the cause of pollution, mainly due to the discharge of herbicides. Often, these herbicide plumes are transported to the surrounding bays. Samples of water, suspended particulate sediments (SPSs), and sediments from 37 sites in the Jiaozhou Bay in the western Pacific Ocean were collected in April 2018. The total concentrations of atrazine and acetochlor in these samples were analyzed, that showed different patterns in each sampled area. Atrazine had 2–3 times higher concentrations in coastal areas and bays compared to the estuary, indicating that it had a higher residence time in the marine environment. In contrast, acetochlor concentration decreased with an increase in the depth of seawater. Both the spatial distributions and the vertical concentrations in water, SPS, and sediment proved that these two herbicides had different responses during transportation from the estuary to the bay. Despite the significant difference in concentration of the two herbicides in the water and sediment, their spatially averaged value in SPS was very close, indicating that the particles had saturated sorption capability. The organic carbon normalized partition coefficient (LogKoc) was used to explain the partitioning of the herbicides between water and sediment. The LogKoc difference between herbicides demonstrated that acetochlor was strongly phase partitioned in the coastal and the bay areas, thereby causing similar distributions of acetochlor in the three matrices. Atrazine had a higher LogKoc value in the estuary, which explained its higher concentration in the estuary SPS. The correlation and redundancy analyses both demonstrated that the concentrations of the herbicides in water were sensitive to dissolved organic carbon and dissolved oxygen. The current tides and bathymetry were the critical factors in determining the spatial distribution of herbicides in the water and sediment, resulting in a low herbicide load in the river mouth area.","author":[{"dropping-particle":"","family":"Ouyang","given":"Wei","non-dropping-particle":"","parse-names":false,"suffix":""},{"dropping-particle":"","family":"Zhang","given":"Yu","non-dropping-particle":"","parse-names":false,"suffix":""},{"dropping-particle":"","family":"Gu","given":"Xiang","non-dropping-particle":"","parse-names":false,"suffix":""},{"dropping-particle":"","family":"Tysklind","given":"Mats","non-dropping-particle":"","parse-names":false,"suffix":""},{"dropping-particle":"","family":"Lin","given":"Chunye","non-dropping-particle":"","parse-names":false,"suffix":""},{"dropping-particle":"","family":"Wang","given":"Baodong","non-dropping-particle":"","parse-names":false,"suffix":""},{"dropping-particle":"","family":"Xin","given":"Ming","non-dropping-particle":"","parse-names":false,"suffix":""}],"container-title":"Environment International","id":"ITEM-1","issue":"June","issued":{"date-parts":[["2019"]]},"page":"104858","publisher":"Elsevier","title":"Occurrence, transportation, and distribution difference of typical herbicides from estuary to bay","type":"article-journal","volume":"130"},"uris":["http://www.mendeley.com/documents/?uuid=351893ef-50ac-4bc5-8755-c08dbf751fd4"]}],"mendeley":{"formattedCitation":"&lt;sup&gt;21&lt;/sup&gt;","plainTextFormattedCitation":"21","previouslyFormattedCitation":"&lt;sup&gt;21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21</w:t>
            </w:r>
            <w:r w:rsidRPr="00E547AD">
              <w:rPr>
                <w:color w:val="0070C0"/>
                <w:sz w:val="22"/>
              </w:rPr>
              <w:fldChar w:fldCharType="end"/>
            </w:r>
          </w:p>
        </w:tc>
      </w:tr>
      <w:tr w:rsidR="005E13E8" w:rsidRPr="00E547AD" w14:paraId="5EA2632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001674A"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0E4474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08EDD3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53C839F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Tianjin</w:t>
            </w:r>
          </w:p>
        </w:tc>
        <w:tc>
          <w:tcPr>
            <w:tcW w:w="0" w:type="auto"/>
          </w:tcPr>
          <w:p w14:paraId="436506D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17.3</w:t>
            </w:r>
          </w:p>
          <w:p w14:paraId="15C4F40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(9.7-25.2)</w:t>
            </w:r>
          </w:p>
        </w:tc>
        <w:tc>
          <w:tcPr>
            <w:tcW w:w="0" w:type="auto"/>
          </w:tcPr>
          <w:p w14:paraId="3FD161D1" w14:textId="5287663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rFonts w:hint="eastAsia"/>
                <w:color w:val="0070C0"/>
                <w:sz w:val="22"/>
              </w:rPr>
              <w:instrText>ADDIN CSL_CITATION {"citationItems":[{"id":"ITEM-1","itemData":{"abstract":"</w:instrText>
            </w:r>
            <w:r w:rsidR="00694227">
              <w:rPr>
                <w:rFonts w:hint="eastAsia"/>
                <w:color w:val="0070C0"/>
                <w:sz w:val="22"/>
              </w:rPr>
              <w:instrText>建立了固相萃取－超高效液相色谱－串联质谱法测定海水中１３种三嗪类除草剂，样品抽滤后，经</w:instrText>
            </w:r>
            <w:r w:rsidR="00694227">
              <w:rPr>
                <w:rFonts w:hint="eastAsia"/>
                <w:color w:val="0070C0"/>
                <w:sz w:val="22"/>
              </w:rPr>
              <w:instrText xml:space="preserve"> </w:instrText>
            </w:r>
            <w:r w:rsidR="00694227">
              <w:rPr>
                <w:rFonts w:hint="eastAsia"/>
                <w:color w:val="0070C0"/>
                <w:sz w:val="22"/>
              </w:rPr>
              <w:instrText>ＨＬＢ</w:instrText>
            </w:r>
            <w:r w:rsidR="00694227">
              <w:rPr>
                <w:rFonts w:hint="eastAsia"/>
                <w:color w:val="0070C0"/>
                <w:sz w:val="22"/>
              </w:rPr>
              <w:instrText xml:space="preserve"> </w:instrText>
            </w:r>
            <w:r w:rsidR="00694227">
              <w:rPr>
                <w:rFonts w:hint="eastAsia"/>
                <w:color w:val="0070C0"/>
                <w:sz w:val="22"/>
              </w:rPr>
              <w:instrText>固相萃取柱浓缩净化，洗脱液４０℃下氮气吹至小于１ｍＬ，然后用Ｖ（乙腈）∶Ｖ（水）＝１∶１的溶液定容至</w:instrText>
            </w:r>
            <w:r w:rsidR="00694227">
              <w:rPr>
                <w:rFonts w:hint="eastAsia"/>
                <w:color w:val="0070C0"/>
                <w:sz w:val="22"/>
              </w:rPr>
              <w:instrText xml:space="preserve"> </w:instrText>
            </w:r>
            <w:r w:rsidR="00694227">
              <w:rPr>
                <w:rFonts w:hint="eastAsia"/>
                <w:color w:val="0070C0"/>
                <w:sz w:val="22"/>
              </w:rPr>
              <w:instrText>１ｍＬ，超声振荡１ｍｉｎ，样液经０．２２μｍ滤膜，在ＡｃｑｕｉｔｙＴＭ</w:instrText>
            </w:r>
            <w:r w:rsidR="00694227">
              <w:rPr>
                <w:rFonts w:hint="eastAsia"/>
                <w:color w:val="0070C0"/>
                <w:sz w:val="22"/>
              </w:rPr>
              <w:instrText xml:space="preserve"> </w:instrText>
            </w:r>
            <w:r w:rsidR="00694227">
              <w:rPr>
                <w:rFonts w:hint="eastAsia"/>
                <w:color w:val="0070C0"/>
                <w:sz w:val="22"/>
              </w:rPr>
              <w:instrText>ＵＰＬＣ</w:instrText>
            </w:r>
            <w:r w:rsidR="00694227">
              <w:rPr>
                <w:rFonts w:hint="eastAsia"/>
                <w:color w:val="0070C0"/>
                <w:sz w:val="22"/>
              </w:rPr>
              <w:instrText xml:space="preserve"> </w:instrText>
            </w:r>
            <w:r w:rsidR="00694227">
              <w:rPr>
                <w:rFonts w:hint="eastAsia"/>
                <w:color w:val="0070C0"/>
                <w:sz w:val="22"/>
              </w:rPr>
              <w:instrText>ＨＳＳ</w:instrText>
            </w:r>
            <w:r w:rsidR="00694227">
              <w:rPr>
                <w:rFonts w:hint="eastAsia"/>
                <w:color w:val="0070C0"/>
                <w:sz w:val="22"/>
              </w:rPr>
              <w:instrText xml:space="preserve"> </w:instrText>
            </w:r>
            <w:r w:rsidR="00694227">
              <w:rPr>
                <w:rFonts w:hint="eastAsia"/>
                <w:color w:val="0070C0"/>
                <w:sz w:val="22"/>
              </w:rPr>
              <w:instrText>Ｃ１８（２．１ｍｍ×１００ｍｍ×１．８μｍ）色</w:instrText>
            </w:r>
            <w:r w:rsidR="00694227">
              <w:rPr>
                <w:rFonts w:hint="eastAsia"/>
                <w:color w:val="0070C0"/>
                <w:sz w:val="22"/>
              </w:rPr>
              <w:instrText xml:space="preserve"> </w:instrText>
            </w:r>
            <w:r w:rsidR="00694227">
              <w:rPr>
                <w:rFonts w:hint="eastAsia"/>
                <w:color w:val="0070C0"/>
                <w:sz w:val="22"/>
              </w:rPr>
              <w:instrText>谱柱上进行梯度洗脱分离。流动相为乙腈和含有０．１％甲酸的５ｍｍｏｌ／Ｌ乙酸铵溶液，多反应监测模式下测</w:instrText>
            </w:r>
            <w:r w:rsidR="00694227">
              <w:rPr>
                <w:rFonts w:hint="eastAsia"/>
                <w:color w:val="0070C0"/>
                <w:sz w:val="22"/>
              </w:rPr>
              <w:instrText xml:space="preserve"> </w:instrText>
            </w:r>
            <w:r w:rsidR="00694227">
              <w:rPr>
                <w:rFonts w:hint="eastAsia"/>
                <w:color w:val="0070C0"/>
                <w:sz w:val="22"/>
              </w:rPr>
              <w:instrText>定１３种三嗪类除草剂残留量。１３种三嗪类除草剂的线性范围为１～５０ｎｇ／Ｌ，相关系数为０．９９２～０．９９９；检</w:instrText>
            </w:r>
            <w:r w:rsidR="00694227">
              <w:rPr>
                <w:rFonts w:hint="eastAsia"/>
                <w:color w:val="0070C0"/>
                <w:sz w:val="22"/>
              </w:rPr>
              <w:instrText xml:space="preserve"> </w:instrText>
            </w:r>
            <w:r w:rsidR="00694227">
              <w:rPr>
                <w:rFonts w:hint="eastAsia"/>
                <w:color w:val="0070C0"/>
                <w:sz w:val="22"/>
              </w:rPr>
              <w:instrText>出限为１ｎｇ／Ｌ，定量限为２ｎｇ／Ｌ，在２、５、１０ｎｇ／Ｌ</w:instrText>
            </w:r>
            <w:r w:rsidR="00694227">
              <w:rPr>
                <w:rFonts w:hint="eastAsia"/>
                <w:color w:val="0070C0"/>
                <w:sz w:val="22"/>
              </w:rPr>
              <w:instrText xml:space="preserve"> </w:instrText>
            </w:r>
            <w:r w:rsidR="00694227">
              <w:rPr>
                <w:rFonts w:hint="eastAsia"/>
                <w:color w:val="0070C0"/>
                <w:sz w:val="22"/>
              </w:rPr>
              <w:instrText>３个浓度水平加标平均回收率为６５．８％～１０３％，相对标</w:instrText>
            </w:r>
            <w:r w:rsidR="00694227">
              <w:rPr>
                <w:rFonts w:hint="eastAsia"/>
                <w:color w:val="0070C0"/>
                <w:sz w:val="22"/>
              </w:rPr>
              <w:instrText xml:space="preserve"> </w:instrText>
            </w:r>
            <w:r w:rsidR="00694227">
              <w:rPr>
                <w:rFonts w:hint="eastAsia"/>
                <w:color w:val="0070C0"/>
                <w:sz w:val="22"/>
              </w:rPr>
              <w:instrText>准偏差ＲＳＤ为４．８４％～１５．２％。该方法灵敏度高、准确性好，适用于海水中除草剂类药物的检测</w:instrText>
            </w:r>
            <w:r w:rsidR="00694227">
              <w:rPr>
                <w:rFonts w:hint="eastAsia"/>
                <w:color w:val="0070C0"/>
                <w:sz w:val="22"/>
              </w:rPr>
              <w:instrText>","author":[{"dropping-particle":"","family":"Ren",</w:instrText>
            </w:r>
            <w:r w:rsidR="00694227">
              <w:rPr>
                <w:color w:val="0070C0"/>
                <w:sz w:val="22"/>
              </w:rPr>
              <w:instrText>"given":"Chuanbo","non-dropping-particle":"","parse-names":false,"suffix":""},{"dropping-particle":"","family":"Tian","given":"Xiuhui","non-dropping-particle":"","parse-names":false,"suffix":""},{"dropping-particle":"","family":"Zhang","given":"Huawei","non-dropping-particle":"","parse-names":false,"suffix":""},{"dropping-particle":"","family":"Liu","given":"Yun","non-dropping-particle":"","parse-names":false,"suffix":""},{"dropping-particle":"","family":"Sun","given":"Yan","non-dropping-particle":"","parse-names":false,"suffix":""},{"dropping-particle":"","family":"Xu","given":"Yingjiang","non-dropping-particle":"","parse-names":false,"suffix":""},{"dropping-particle":"","family":"Gong","given":"Xianghong","non-dropping-particle":"","parse-names":false,"suffix":""},{"dropping-particle":"","family":"Wang","given":"Maojian","non-dropping-particle":"","parse-names":false,"suffix":""}],"container-title":"Journal of Chinese Mass Spectrometry Society","id":"ITEM-1","issue":"6","issued":{"date-parts":[["2013"]]},"page":"353-361","title":"Determination of triazine herbicides in seawater using solid phase extraction-UPLC-/MS/MS","type":"article-journal","volume":"34"},"uris":["http://www.mendeley.com/documents/?uuid=f41159a1-6113-4493-b2bb-5fda7358c7e0"]}],"mendeley":{"formattedCitation":"&lt;sup&gt;22&lt;/sup&gt;","plainTextFormattedCitation":"22","previouslyFormattedCitation":"&lt;sup&gt;22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22</w:t>
            </w:r>
            <w:r w:rsidRPr="00E547AD">
              <w:rPr>
                <w:color w:val="0070C0"/>
                <w:sz w:val="22"/>
              </w:rPr>
              <w:fldChar w:fldCharType="end"/>
            </w:r>
          </w:p>
        </w:tc>
      </w:tr>
      <w:tr w:rsidR="002D64E5" w:rsidRPr="00E547AD" w14:paraId="7F80CBD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6C26294"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A4C7CF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2362E83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2012</w:t>
            </w:r>
          </w:p>
        </w:tc>
        <w:tc>
          <w:tcPr>
            <w:tcW w:w="0" w:type="auto"/>
          </w:tcPr>
          <w:p w14:paraId="24739A0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01E9487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31.3</w:t>
            </w:r>
          </w:p>
          <w:p w14:paraId="6D8E37C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lastRenderedPageBreak/>
              <w:t>(6.8-83)</w:t>
            </w:r>
          </w:p>
        </w:tc>
        <w:tc>
          <w:tcPr>
            <w:tcW w:w="0" w:type="auto"/>
          </w:tcPr>
          <w:p w14:paraId="03FF9842" w14:textId="4C141182"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lastRenderedPageBreak/>
              <w:fldChar w:fldCharType="begin" w:fldLock="1"/>
            </w:r>
            <w:r w:rsidR="00694227">
              <w:rPr>
                <w:rFonts w:hint="eastAsia"/>
                <w:color w:val="0070C0"/>
                <w:sz w:val="22"/>
              </w:rPr>
              <w:instrText>ADDIN CSL_CITATION {"citationItems":[{"id":"ITEM-1","itemData":{"abstract":"</w:instrText>
            </w:r>
            <w:r w:rsidR="00694227">
              <w:rPr>
                <w:rFonts w:hint="eastAsia"/>
                <w:color w:val="0070C0"/>
                <w:sz w:val="22"/>
              </w:rPr>
              <w:instrText>采用液相色谱串联质谱法对莱州湾海域</w:instrText>
            </w:r>
            <w:r w:rsidR="00694227">
              <w:rPr>
                <w:rFonts w:hint="eastAsia"/>
                <w:color w:val="0070C0"/>
                <w:sz w:val="22"/>
              </w:rPr>
              <w:instrText xml:space="preserve"> 43 </w:instrText>
            </w:r>
            <w:r w:rsidR="00694227">
              <w:rPr>
                <w:rFonts w:hint="eastAsia"/>
                <w:color w:val="0070C0"/>
                <w:sz w:val="22"/>
              </w:rPr>
              <w:instrText>个站位表层海水中</w:instrText>
            </w:r>
            <w:r w:rsidR="00694227">
              <w:rPr>
                <w:rFonts w:hint="eastAsia"/>
                <w:color w:val="0070C0"/>
                <w:sz w:val="22"/>
              </w:rPr>
              <w:instrText xml:space="preserve">13 </w:instrText>
            </w:r>
            <w:r w:rsidR="00694227">
              <w:rPr>
                <w:rFonts w:hint="eastAsia"/>
                <w:color w:val="0070C0"/>
                <w:sz w:val="22"/>
              </w:rPr>
              <w:instrText>种三嗪类除草剂及脱乙</w:instrText>
            </w:r>
            <w:r w:rsidR="00694227">
              <w:rPr>
                <w:rFonts w:hint="eastAsia"/>
                <w:color w:val="0070C0"/>
                <w:sz w:val="22"/>
              </w:rPr>
              <w:instrText xml:space="preserve"> </w:instrText>
            </w:r>
            <w:r w:rsidR="00694227">
              <w:rPr>
                <w:rFonts w:hint="eastAsia"/>
                <w:color w:val="0070C0"/>
                <w:sz w:val="22"/>
              </w:rPr>
              <w:instrText>基阿特拉津进行了调查研究。</w:instrText>
            </w:r>
            <w:r w:rsidR="00694227">
              <w:rPr>
                <w:rFonts w:hint="eastAsia"/>
                <w:color w:val="0070C0"/>
                <w:sz w:val="22"/>
              </w:rPr>
              <w:instrText xml:space="preserve">14 </w:instrText>
            </w:r>
            <w:r w:rsidR="00694227">
              <w:rPr>
                <w:rFonts w:hint="eastAsia"/>
                <w:color w:val="0070C0"/>
                <w:sz w:val="22"/>
              </w:rPr>
              <w:instrText>种物质中，阿特拉津、扑草净、扑灭津、莠灭净及脱乙基阿特拉津被</w:instrText>
            </w:r>
            <w:r w:rsidR="00694227">
              <w:rPr>
                <w:rFonts w:hint="eastAsia"/>
                <w:color w:val="0070C0"/>
                <w:sz w:val="22"/>
              </w:rPr>
              <w:instrText xml:space="preserve"> </w:instrText>
            </w:r>
            <w:r w:rsidR="00694227">
              <w:rPr>
                <w:rFonts w:hint="eastAsia"/>
                <w:color w:val="0070C0"/>
                <w:sz w:val="22"/>
              </w:rPr>
              <w:instrText>检出，分析了被检出物质的水平分布特征。阿特拉津、扑草净、扑灭津、莠灭净、脱乙基阿特拉津的检</w:instrText>
            </w:r>
            <w:r w:rsidR="00694227">
              <w:rPr>
                <w:rFonts w:hint="eastAsia"/>
                <w:color w:val="0070C0"/>
                <w:sz w:val="22"/>
              </w:rPr>
              <w:instrText xml:space="preserve"> </w:instrText>
            </w:r>
            <w:r w:rsidR="00694227">
              <w:rPr>
                <w:rFonts w:hint="eastAsia"/>
                <w:color w:val="0070C0"/>
                <w:sz w:val="22"/>
              </w:rPr>
              <w:instrText>出率分别为</w:instrText>
            </w:r>
            <w:r w:rsidR="00694227">
              <w:rPr>
                <w:rFonts w:hint="eastAsia"/>
                <w:color w:val="0070C0"/>
                <w:sz w:val="22"/>
              </w:rPr>
              <w:instrText>100%</w:instrText>
            </w:r>
            <w:r w:rsidR="00694227">
              <w:rPr>
                <w:rFonts w:hint="eastAsia"/>
                <w:color w:val="0070C0"/>
                <w:sz w:val="22"/>
              </w:rPr>
              <w:instrText>、</w:instrText>
            </w:r>
            <w:r w:rsidR="00694227">
              <w:rPr>
                <w:rFonts w:hint="eastAsia"/>
                <w:color w:val="0070C0"/>
                <w:sz w:val="22"/>
              </w:rPr>
              <w:instrText>97. 7%</w:instrText>
            </w:r>
            <w:r w:rsidR="00694227">
              <w:rPr>
                <w:rFonts w:hint="eastAsia"/>
                <w:color w:val="0070C0"/>
                <w:sz w:val="22"/>
              </w:rPr>
              <w:instrText>、</w:instrText>
            </w:r>
            <w:r w:rsidR="00694227">
              <w:rPr>
                <w:rFonts w:hint="eastAsia"/>
                <w:color w:val="0070C0"/>
                <w:sz w:val="22"/>
              </w:rPr>
              <w:instrText>51. 2%</w:instrText>
            </w:r>
            <w:r w:rsidR="00694227">
              <w:rPr>
                <w:rFonts w:hint="eastAsia"/>
                <w:color w:val="0070C0"/>
                <w:sz w:val="22"/>
              </w:rPr>
              <w:instrText>、</w:instrText>
            </w:r>
            <w:r w:rsidR="00694227">
              <w:rPr>
                <w:rFonts w:hint="eastAsia"/>
                <w:color w:val="0070C0"/>
                <w:sz w:val="22"/>
              </w:rPr>
              <w:instrText>100%</w:instrText>
            </w:r>
            <w:r w:rsidR="00694227">
              <w:rPr>
                <w:rFonts w:hint="eastAsia"/>
                <w:color w:val="0070C0"/>
                <w:sz w:val="22"/>
              </w:rPr>
              <w:instrText>和</w:instrText>
            </w:r>
            <w:r w:rsidR="00694227">
              <w:rPr>
                <w:rFonts w:hint="eastAsia"/>
                <w:color w:val="0070C0"/>
                <w:sz w:val="22"/>
              </w:rPr>
              <w:instrText xml:space="preserve"> 93. 0%</w:instrText>
            </w:r>
            <w:r w:rsidR="00694227">
              <w:rPr>
                <w:rFonts w:hint="eastAsia"/>
                <w:color w:val="0070C0"/>
                <w:sz w:val="22"/>
              </w:rPr>
              <w:instrText>，平均浓度分别为</w:instrText>
            </w:r>
            <w:r w:rsidR="00694227">
              <w:rPr>
                <w:rFonts w:hint="eastAsia"/>
                <w:color w:val="0070C0"/>
                <w:sz w:val="22"/>
              </w:rPr>
              <w:instrText xml:space="preserve"> 31. 3</w:instrText>
            </w:r>
            <w:r w:rsidR="00694227">
              <w:rPr>
                <w:rFonts w:hint="eastAsia"/>
                <w:color w:val="0070C0"/>
                <w:sz w:val="22"/>
              </w:rPr>
              <w:instrText>、</w:instrText>
            </w:r>
            <w:r w:rsidR="00694227">
              <w:rPr>
                <w:rFonts w:hint="eastAsia"/>
                <w:color w:val="0070C0"/>
                <w:sz w:val="22"/>
              </w:rPr>
              <w:instrText>6. 49</w:instrText>
            </w:r>
            <w:r w:rsidR="00694227">
              <w:rPr>
                <w:rFonts w:hint="eastAsia"/>
                <w:color w:val="0070C0"/>
                <w:sz w:val="22"/>
              </w:rPr>
              <w:instrText>、</w:instrText>
            </w:r>
            <w:r w:rsidR="00694227">
              <w:rPr>
                <w:rFonts w:hint="eastAsia"/>
                <w:color w:val="0070C0"/>
                <w:sz w:val="22"/>
              </w:rPr>
              <w:instrText>1. 57</w:instrText>
            </w:r>
            <w:r w:rsidR="00694227">
              <w:rPr>
                <w:rFonts w:hint="eastAsia"/>
                <w:color w:val="0070C0"/>
                <w:sz w:val="22"/>
              </w:rPr>
              <w:instrText>、</w:instrText>
            </w:r>
            <w:r w:rsidR="00694227">
              <w:rPr>
                <w:rFonts w:hint="eastAsia"/>
                <w:color w:val="0070C0"/>
                <w:sz w:val="22"/>
              </w:rPr>
              <w:instrText xml:space="preserve">12. 4 </w:instrText>
            </w:r>
            <w:r w:rsidR="00694227">
              <w:rPr>
                <w:rFonts w:hint="eastAsia"/>
                <w:color w:val="0070C0"/>
                <w:sz w:val="22"/>
              </w:rPr>
              <w:instrText>和</w:instrText>
            </w:r>
            <w:r w:rsidR="00694227">
              <w:rPr>
                <w:rFonts w:hint="eastAsia"/>
                <w:color w:val="0070C0"/>
                <w:sz w:val="22"/>
              </w:rPr>
              <w:instrText xml:space="preserve"> 9. 14 ng /L</w:instrText>
            </w:r>
            <w:r w:rsidR="00694227">
              <w:rPr>
                <w:rFonts w:hint="eastAsia"/>
                <w:color w:val="0070C0"/>
                <w:sz w:val="22"/>
              </w:rPr>
              <w:instrText>。受陆源输入和海水交换速率的影响，被检出的三嗪类除草剂呈现出湾内高于湾口、湾西部高于</w:instrText>
            </w:r>
            <w:r w:rsidR="00694227">
              <w:rPr>
                <w:rFonts w:hint="eastAsia"/>
                <w:color w:val="0070C0"/>
                <w:sz w:val="22"/>
              </w:rPr>
              <w:instrText xml:space="preserve"> </w:instrText>
            </w:r>
            <w:r w:rsidR="00694227">
              <w:rPr>
                <w:rFonts w:hint="eastAsia"/>
                <w:color w:val="0070C0"/>
                <w:sz w:val="22"/>
              </w:rPr>
              <w:instrText>东部的特点</w:instrText>
            </w:r>
            <w:r w:rsidR="00694227">
              <w:rPr>
                <w:rFonts w:hint="eastAsia"/>
                <w:color w:val="0070C0"/>
                <w:sz w:val="22"/>
              </w:rPr>
              <w:instrText xml:space="preserve">; </w:instrText>
            </w:r>
            <w:r w:rsidR="00694227">
              <w:rPr>
                <w:rFonts w:hint="eastAsia"/>
                <w:color w:val="0070C0"/>
                <w:sz w:val="22"/>
              </w:rPr>
              <w:instrText>脱乙基阿特拉津和阿特拉津的分布呈现显著正相关</w:instrText>
            </w:r>
            <w:r w:rsidR="00694227">
              <w:rPr>
                <w:rFonts w:hint="eastAsia"/>
                <w:color w:val="0070C0"/>
                <w:sz w:val="22"/>
              </w:rPr>
              <w:instrText xml:space="preserve">( </w:instrText>
            </w:r>
            <w:r w:rsidR="00694227">
              <w:rPr>
                <w:rFonts w:hint="eastAsia"/>
                <w:color w:val="0070C0"/>
                <w:sz w:val="22"/>
              </w:rPr>
              <w:instrText>Ｒ</w:instrText>
            </w:r>
            <w:r w:rsidR="00694227">
              <w:rPr>
                <w:rFonts w:hint="eastAsia"/>
                <w:color w:val="0070C0"/>
                <w:sz w:val="22"/>
              </w:rPr>
              <w:instrText xml:space="preserve"> = 0. 336</w:instrText>
            </w:r>
            <w:r w:rsidR="00694227">
              <w:rPr>
                <w:rFonts w:hint="eastAsia"/>
                <w:color w:val="0070C0"/>
                <w:sz w:val="22"/>
              </w:rPr>
              <w:instrText>，</w:instrText>
            </w:r>
            <w:r w:rsidR="00694227">
              <w:rPr>
                <w:rFonts w:hint="eastAsia"/>
                <w:color w:val="0070C0"/>
                <w:sz w:val="22"/>
              </w:rPr>
              <w:instrText>n = 43</w:instrText>
            </w:r>
            <w:r w:rsidR="00694227">
              <w:rPr>
                <w:rFonts w:hint="eastAsia"/>
                <w:color w:val="0070C0"/>
                <w:sz w:val="22"/>
              </w:rPr>
              <w:instrText>，</w:instrText>
            </w:r>
            <w:r w:rsidR="00694227">
              <w:rPr>
                <w:rFonts w:hint="eastAsia"/>
                <w:color w:val="0070C0"/>
                <w:sz w:val="22"/>
              </w:rPr>
              <w:instrText xml:space="preserve">P = 0. 034) </w:instrText>
            </w:r>
            <w:r w:rsidR="00694227">
              <w:rPr>
                <w:rFonts w:hint="eastAsia"/>
                <w:color w:val="0070C0"/>
                <w:sz w:val="22"/>
              </w:rPr>
              <w:instrText>。</w:instrText>
            </w:r>
            <w:r w:rsidR="00694227">
              <w:rPr>
                <w:rFonts w:hint="eastAsia"/>
                <w:color w:val="0070C0"/>
                <w:sz w:val="22"/>
              </w:rPr>
              <w:instrText xml:space="preserve"> </w:instrText>
            </w:r>
            <w:r w:rsidR="00694227">
              <w:rPr>
                <w:rFonts w:hint="eastAsia"/>
                <w:color w:val="0070C0"/>
                <w:sz w:val="22"/>
              </w:rPr>
              <w:instrText>各站位阿特拉津的风险熵值均小于</w:instrText>
            </w:r>
            <w:r w:rsidR="00694227">
              <w:rPr>
                <w:rFonts w:hint="eastAsia"/>
                <w:color w:val="0070C0"/>
                <w:sz w:val="22"/>
              </w:rPr>
              <w:instrText xml:space="preserve"> 0. 01</w:instrText>
            </w:r>
            <w:r w:rsidR="00694227">
              <w:rPr>
                <w:rFonts w:hint="eastAsia"/>
                <w:color w:val="0070C0"/>
                <w:sz w:val="22"/>
              </w:rPr>
              <w:instrText>，生态风险处于可以忽略水平。</w:instrText>
            </w:r>
            <w:r w:rsidR="00694227">
              <w:rPr>
                <w:rFonts w:hint="eastAsia"/>
                <w:color w:val="0070C0"/>
                <w:sz w:val="22"/>
              </w:rPr>
              <w:instrText>","author":[{"dropping-particle":"","family":"Xu","given":"Yingjiang","non-</w:instrText>
            </w:r>
            <w:r w:rsidR="00694227">
              <w:rPr>
                <w:color w:val="0070C0"/>
                <w:sz w:val="22"/>
              </w:rPr>
              <w:instrText>dropping-particle":"","parse-names":false,"suffix":""},{"dropping-particle":"","family":"Huihui Liu","given":"","non-dropping-particle":"","parse-names":false,"suffix":""},{"dropping-particle":"","family":"Ren","given":"Chuanbo","non-dropping-particle":"","parse-names":false,"suffix":""},{"dropping-particle":"","family":"Sun","given":"Yan","non-dropping-particle":"","parse-names":false,"suffix":""},{"dropping-particle":"","family":"Li","given":"Fan","non-dropping-particle":"","parse-names":false,"suffix":""},{"dropping-particle":"","family":"Ren","given":"Bingqing","non-dropping-particle":"","parse-names":false,"suffix":""},{"dropping-particle":"","family":"Deng","given":"Xuxiu","non-dropping-particle":"","parse-names":false,"suffix":""},{"dropping-particle":"","family":"Zhang","given":"Huawei","non-dropping-particle":"","parse-names":false,"suffix":""},{"dropping-particle":"","family":"Wang","given":"Maojian","non-dropping-particle":"","parse-names":false,"suffix":""}],"container-title":"Progress in Fishery Sciences","id":"ITEM-1","issue":"3","issued":{"date-parts":[["2014"]]},"page":"34-39","title":"Distributions of the triazine herbicides in the surface seawater of Laizhou Bay","type":"article-journal","volume":"35"},"uris":["http://www.mendeley.com/documents/?uuid=77853adf-c40b-45d8-b6aa-67e09ee2e49d"]}],"mendeley":{"formattedCitation":"&lt;sup&gt;23&lt;/sup&gt;","plainTextFormattedCitation":"23","previouslyFormattedCitation":"&lt;sup&gt;23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23</w:t>
            </w:r>
            <w:r w:rsidRPr="00E547AD">
              <w:rPr>
                <w:color w:val="0070C0"/>
                <w:sz w:val="22"/>
              </w:rPr>
              <w:fldChar w:fldCharType="end"/>
            </w:r>
          </w:p>
        </w:tc>
      </w:tr>
      <w:tr w:rsidR="005E13E8" w:rsidRPr="00E547AD" w14:paraId="5D29868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B196D0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6978385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44169EE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32D9CA7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Liaoning</w:t>
            </w:r>
          </w:p>
        </w:tc>
        <w:tc>
          <w:tcPr>
            <w:tcW w:w="0" w:type="auto"/>
          </w:tcPr>
          <w:p w14:paraId="6839484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63.7</w:t>
            </w:r>
          </w:p>
          <w:p w14:paraId="789731E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(31.5-97.6)</w:t>
            </w:r>
          </w:p>
        </w:tc>
        <w:tc>
          <w:tcPr>
            <w:tcW w:w="0" w:type="auto"/>
          </w:tcPr>
          <w:p w14:paraId="5B62176D" w14:textId="1DB6F97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{"citationItems":[{"id":"ITEM-1","itemData":{"DOI":"10.13227/j.hjkx.202008125","ISSN":"02503301","PMID":"33742812","abstract":"Fourteen current-use pesticides (CUPs) in the surface seawaters of the typical Liaoning sea areas were analyzed using HPLC-MS/MS. The concentrations, distribution, and ecological risks were studied, as well as their source appointments using principal component analysis (PCA). The results revealed that seven types of CUPs were detected in the surface seawaters of the typical Liaoning sea areas. The total concentrations of these CUPs ranged from 16.7 ng•L-1 to 176.1 ng•L-1. The samples with high concentrations were collected mostly from the estuary, and the concentrations of CUPs in the western Liaodong Bay were generally higher than those in the northeastern Yellow Sea. Atrazine and triadimenol were the predominant CUPs, and their contribution rates accounted for 56.0% and 34.5%, respectively. The PCA results indicated that six types of CUPs might be caused by the runoff from farmlands and the wastewater discharge from the chemical pesticide factory, and fruit planting could be a substantial contributor to the single component acetochlor. Atrazine and acetochlor posed medium-high ecological risks to the microalgae, while all the seven types of CUPs showed relatively lower risks to invertebrates and fish.","author":[{"dropping-particle":"","family":"Du","given":"Jing","non-dropping-particle":"","parse-names":false,"suffix":""},{"dropping-particle":"","family":"Hu","given":"Chaokui","non-dropping-particle":"","parse-names":false,"suffix":""},{"dropping-particle":"","family":"Xie","given":"Huaijun","non-dropping-particle":"","parse-names":false,"suffix":""},{"dropping-particle":"","family":"Tian","given":"Jiashen","non-dropping-particle":"","parse-names":false,"suffix":""},{"dropping-particle":"","family":"Li","given":"Ai","non-dropping-particle":"","parse-names":false,"suffix":""},{"dropping-particle":"","family":"Xie","given":"Qing","non-dropping-particle":"","parse-names":false,"suffix":""},{"dropping-particle":"","family":"Jinghao Wu","given":"","non-dropping-particle":"","parse-names":false,"suffix":""},{"dropping-particle":"","family":"Song","given":"Lun","non-dropping-particle":"","parse-names":false,"suffix":""}],"container-title":"Environmental Science","id":"ITEM-1","issue":"4","issued":{"date-parts":[["2021"]]},"page":"1772-1780","title":"Concentration Levels and Potential Ecological Risks of Current Use Pesticides in the Surface Seawater of Typical Liaoning Sea Areas","type":"article-journal","volume":"42"},"uris":["http://www.mendeley.com/documents/?uuid=d87e71cb-2caa-47a0-8cfe-80103656baaf"]}],"mendeley":{"formattedCitation":"&lt;sup&gt;24&lt;/sup&gt;","plainTextFormattedCitation":"24","previouslyFormattedCitation":"&lt;sup&gt;24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24</w:t>
            </w:r>
            <w:r w:rsidRPr="00E547AD">
              <w:rPr>
                <w:color w:val="0070C0"/>
                <w:sz w:val="22"/>
              </w:rPr>
              <w:fldChar w:fldCharType="end"/>
            </w:r>
          </w:p>
        </w:tc>
      </w:tr>
      <w:tr w:rsidR="002D64E5" w:rsidRPr="00E547AD" w14:paraId="500D873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1B431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9E96C7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4AF4253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2018</w:t>
            </w:r>
          </w:p>
        </w:tc>
        <w:tc>
          <w:tcPr>
            <w:tcW w:w="0" w:type="auto"/>
          </w:tcPr>
          <w:p w14:paraId="1345A4F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71D5C78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352</w:t>
            </w:r>
          </w:p>
          <w:p w14:paraId="3155852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(19-1190)</w:t>
            </w:r>
          </w:p>
        </w:tc>
        <w:tc>
          <w:tcPr>
            <w:tcW w:w="0" w:type="auto"/>
          </w:tcPr>
          <w:p w14:paraId="38E1F8AB" w14:textId="6B3480C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Chen","given":"Xiao","non-dropping-particle":"","parse-names":false,"suffix":""},{"dropping-particle":"","family":"Qian","given":"Zongyao","non-dropping-particle":"","parse-names":false,"suffix":""},{"dropping-particle":"","family":"Zhu","given":"Hete","non-dropping-particle":"","parse-names":false,"suffix":""},{"dropping-particle":"","family":"Kong","given":"Jijie","non-dropping-particle":"","parse-names":false,"suffix":""},{"dropping-particle":"","family":"Feng","given":"Jianfang","non-dropping-particle":"","parse-names":false,"suffix":""},{"dropping-particle":"","family":"Xian","given":"Qiming","non-dropping-particle":"","parse-names":false,"suffix":""}],"container-title":"Environmental Monitoring and Forewarning","id":"ITEM-1","issue":"6","issued":{"date-parts":[["2019"]]},"page":"36-46","title":"Contamination Status of Four Herbicides in Jiuli River from the West Bank of Wangyu River","type":"article-journal","volume":"11"},"uris":["http://www.mendeley.com/documents/?uuid=c65af0b9-09af-45d5-a499-338b3f5fee0f"]}],"mendeley":{"formattedCitation":"&lt;sup&gt;25&lt;/sup&gt;","plainTextFormattedCitation":"25","previouslyFormattedCitation":"&lt;sup&gt;25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25</w:t>
            </w:r>
            <w:r w:rsidRPr="00E547AD">
              <w:rPr>
                <w:color w:val="0070C0"/>
                <w:sz w:val="22"/>
              </w:rPr>
              <w:fldChar w:fldCharType="end"/>
            </w:r>
          </w:p>
        </w:tc>
      </w:tr>
      <w:tr w:rsidR="005E13E8" w:rsidRPr="00E547AD" w14:paraId="265CC30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20A4E89"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50739EA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7E9A786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070A24C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2B315E2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289.3</w:t>
            </w:r>
          </w:p>
          <w:p w14:paraId="1FF4D32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(7-1289.5)</w:t>
            </w:r>
          </w:p>
        </w:tc>
        <w:tc>
          <w:tcPr>
            <w:tcW w:w="0" w:type="auto"/>
          </w:tcPr>
          <w:p w14:paraId="0E567896" w14:textId="356AE29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2D64E5" w:rsidRPr="00E547AD" w14:paraId="65409AB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FB371CF"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221F2D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B6EA18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3E37E6C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Heilongjiang</w:t>
            </w:r>
          </w:p>
        </w:tc>
        <w:tc>
          <w:tcPr>
            <w:tcW w:w="0" w:type="auto"/>
          </w:tcPr>
          <w:p w14:paraId="019D2A4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844.9</w:t>
            </w:r>
          </w:p>
        </w:tc>
        <w:tc>
          <w:tcPr>
            <w:tcW w:w="0" w:type="auto"/>
          </w:tcPr>
          <w:p w14:paraId="056A9772" w14:textId="561A14A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5E13E8" w:rsidRPr="00E547AD" w14:paraId="1DD94A78"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A7D8EC5"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DDB266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1B5D53F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666A67E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Heilongjiang</w:t>
            </w:r>
          </w:p>
        </w:tc>
        <w:tc>
          <w:tcPr>
            <w:tcW w:w="0" w:type="auto"/>
          </w:tcPr>
          <w:p w14:paraId="1B20952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606.5</w:t>
            </w:r>
          </w:p>
        </w:tc>
        <w:tc>
          <w:tcPr>
            <w:tcW w:w="0" w:type="auto"/>
          </w:tcPr>
          <w:p w14:paraId="4C060421" w14:textId="37D4FB5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2D64E5" w:rsidRPr="00E547AD" w14:paraId="5826C0E0"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0AA753"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17C1EAC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0559978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59172D2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692CD8F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352.4</w:t>
            </w:r>
          </w:p>
        </w:tc>
        <w:tc>
          <w:tcPr>
            <w:tcW w:w="0" w:type="auto"/>
          </w:tcPr>
          <w:p w14:paraId="788D19E1" w14:textId="5577A6F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5E13E8" w:rsidRPr="00E547AD" w14:paraId="64776C24"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1C24031"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4258A7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F3CE77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3E87C48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798B26C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247.1</w:t>
            </w:r>
          </w:p>
        </w:tc>
        <w:tc>
          <w:tcPr>
            <w:tcW w:w="0" w:type="auto"/>
          </w:tcPr>
          <w:p w14:paraId="6A5BF29D" w14:textId="44C8D2E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2D64E5" w:rsidRPr="00E547AD" w14:paraId="554DA56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47C8BA0"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9055E3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6DFBCC0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6FCE176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Guangdong</w:t>
            </w:r>
          </w:p>
        </w:tc>
        <w:tc>
          <w:tcPr>
            <w:tcW w:w="0" w:type="auto"/>
          </w:tcPr>
          <w:p w14:paraId="5064D0E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45.7</w:t>
            </w:r>
          </w:p>
        </w:tc>
        <w:tc>
          <w:tcPr>
            <w:tcW w:w="0" w:type="auto"/>
          </w:tcPr>
          <w:p w14:paraId="46AF7CA5" w14:textId="5297373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5E13E8" w:rsidRPr="00E547AD" w14:paraId="3734AA0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ECF23A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0B96AEB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2EB919B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0E1C51A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Henan</w:t>
            </w:r>
          </w:p>
        </w:tc>
        <w:tc>
          <w:tcPr>
            <w:tcW w:w="0" w:type="auto"/>
          </w:tcPr>
          <w:p w14:paraId="6F755B2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10.9</w:t>
            </w:r>
          </w:p>
        </w:tc>
        <w:tc>
          <w:tcPr>
            <w:tcW w:w="0" w:type="auto"/>
          </w:tcPr>
          <w:p w14:paraId="04366E5D" w14:textId="231767E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2D64E5" w:rsidRPr="00E547AD" w14:paraId="2D64930C"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6C540A"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8E100F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5AEFBF6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3A8EB5E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Jiangsu</w:t>
            </w:r>
          </w:p>
        </w:tc>
        <w:tc>
          <w:tcPr>
            <w:tcW w:w="0" w:type="auto"/>
          </w:tcPr>
          <w:p w14:paraId="0FE600F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70.8</w:t>
            </w:r>
          </w:p>
        </w:tc>
        <w:tc>
          <w:tcPr>
            <w:tcW w:w="0" w:type="auto"/>
          </w:tcPr>
          <w:p w14:paraId="05BFE298" w14:textId="63A3E07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5E13E8" w:rsidRPr="00E547AD" w14:paraId="7300DB9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66A052F"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C559D0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6B764E9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34B2CFE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Ningxia</w:t>
            </w:r>
          </w:p>
        </w:tc>
        <w:tc>
          <w:tcPr>
            <w:tcW w:w="0" w:type="auto"/>
          </w:tcPr>
          <w:p w14:paraId="4ADE95E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135.6</w:t>
            </w:r>
          </w:p>
        </w:tc>
        <w:tc>
          <w:tcPr>
            <w:tcW w:w="0" w:type="auto"/>
          </w:tcPr>
          <w:p w14:paraId="582A8A1A" w14:textId="18EAACD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10.7524/AJE.1673","author":[{"dropping-particle":"","family":"Xu","given":"Xiong","non-dropping-particle":"","parse-names":false,"suffix":""},{"dropping-particle":"","family":"Li","given":"Chunmei","non-dropping-particle":"","parse-names":false,"suffix":""},{"dropping-particle":"","family":"Sun","given":"Jing","non-dropping-particle":"","parse-names":false,"suffix":""},{"dropping-particle":"","family":"Wang","given":"Hailiang","non-dropping-particle":"","parse-names":false,"suffix":""},{"dropping-particle":"","family":"Wang","given":"Donghong","non-dropping-particle":"","parse-names":false,"suffix":""},{"dropping-particle":"","family":"Song","given":"Hanwen","non-dropping-particle":"","parse-names":false,"suffix":""},{"dropping-particle":"","family":"Wang","given":"Zijian","non-dropping-particle":"","parse-names":false,"suffix":""}],"container-title":"Asian Journal of Ecotoxicology","id":"ITEM-1","issue":"2","issued":{"date-parts":[["2016"]]},"page":"347-354","title":"Residue Characteristics and Ecological Risk Assessment of Twenty-nine Pesticides in Surface Water of Major River-Basin in China","type":"article-journal","volume":"11"},"uris":["http://www.mendeley.com/documents/?uuid=392ca435-89f1-4727-b773-b31e82047c9e"]}],"mendeley":{"formattedCitation":"&lt;sup&gt;26&lt;/sup&gt;","plainTextFormattedCitation":"26","previouslyFormattedCitation":"&lt;sup&gt;26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26</w:t>
            </w:r>
            <w:r w:rsidRPr="00E547AD">
              <w:rPr>
                <w:color w:val="0070C0"/>
                <w:sz w:val="22"/>
              </w:rPr>
              <w:fldChar w:fldCharType="end"/>
            </w:r>
          </w:p>
        </w:tc>
      </w:tr>
      <w:tr w:rsidR="002D64E5" w:rsidRPr="00E547AD" w14:paraId="5686994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F5090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0D67E4A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China</w:t>
            </w:r>
          </w:p>
        </w:tc>
        <w:tc>
          <w:tcPr>
            <w:tcW w:w="0" w:type="auto"/>
          </w:tcPr>
          <w:p w14:paraId="65BB9A5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691D950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Shandong</w:t>
            </w:r>
          </w:p>
        </w:tc>
        <w:tc>
          <w:tcPr>
            <w:tcW w:w="0" w:type="auto"/>
          </w:tcPr>
          <w:p w14:paraId="2EEB5D6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0.2</w:t>
            </w:r>
          </w:p>
          <w:p w14:paraId="166AF7C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(0.1-0.5)</w:t>
            </w:r>
          </w:p>
        </w:tc>
        <w:tc>
          <w:tcPr>
            <w:tcW w:w="0" w:type="auto"/>
          </w:tcPr>
          <w:p w14:paraId="20B18D4D" w14:textId="537AD7D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{"citationItems":[{"id":"ITEM-1","itemData":{"DOI":"10.1016/j.marpolbul.2022.113946","ISSN":"18793363","PMID":"35870360","abstract":"Organic pollutants are ubiquitous in estuarine areas, nonetheless, the transport mechanisms of herbicides in such areas are limited. Atrazine and acetochlor were analyzed in suspended particle matter (SPM), surface sediment, and surface water from the Yellow River estuary and the surrounding rivers and sea. Among these rivers, the Yellow River contributes the most herbicide flux to the sea annually. The herbicide concentrations in water and sediment decreased from the estuarine areas to the deep sea. The fugacity fraction values of atrazine exceeded 0.5 in the Yellow River estuary, which supported that the herbicides in sediment desorbed at the estuarine areas. The herbicide in the SPM showed high concentration in the outer sea and increased as a power function with decreasing SPM content. The increasing partition capacity indicated that the herbicides tended to sink into sediment, increasing the ecological risk posed by herbicides. The ecological risk of acetochlor deserves continuous attention.","author":[{"dropping-particle":"","family":"Guo","given":"Zewei","non-dropping-particle":"","parse-names":false,"suffix":""},{"dropping-particle":"","family":"Ouyang","given":"Wei","non-dropping-particle":"","parse-names":false,"suffix":""},{"dropping-particle":"","family":"Tulcan","given":"Roberto Xavier Supe","non-dropping-particle":"","parse-names":false,"suffix":""},{"dropping-particle":"","family":"Lin","given":"Chunye","non-dropping-particle":"","parse-names":false,"suffix":""},{"dropping-particle":"","family":"He","given":"Mengchang","non-dropping-particle":"","parse-names":false,"suffix":""},{"dropping-particle":"","family":"Wang","given":"Baodong","non-dropping-particle":"","parse-names":false,"suffix":""},{"dropping-particle":"","family":"Xin","given":"Ming","non-dropping-particle":"","parse-names":false,"suffix":""}],"container-title":"Marine Pollution Bulletin","id":"ITEM-1","issue":"April","issued":{"date-parts":[["2022"]]},"page":"113946","publisher":"Elsevier Ltd","title":"Spatiotemporal partition dynamics of typical herbicides at a turbid river estuary","type":"article-journal","volume":"182"},"uris":["http://www.mendeley.com/documents/?uuid=c8584ba3-6b4b-441a-a9cf-8d918e6e7976"]}],"mendeley":{"formattedCitation":"&lt;sup&gt;14&lt;/sup&gt;","plainTextFormattedCitation":"14","previouslyFormattedCitation":"&lt;sup&gt;14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14</w:t>
            </w:r>
            <w:r w:rsidRPr="00E547AD">
              <w:rPr>
                <w:color w:val="0070C0"/>
                <w:sz w:val="22"/>
              </w:rPr>
              <w:fldChar w:fldCharType="end"/>
            </w:r>
          </w:p>
        </w:tc>
      </w:tr>
      <w:tr w:rsidR="005E13E8" w:rsidRPr="00E547AD" w14:paraId="2EE869FB"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4B38F51"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78DCB5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Korea</w:t>
            </w:r>
          </w:p>
        </w:tc>
        <w:tc>
          <w:tcPr>
            <w:tcW w:w="0" w:type="auto"/>
          </w:tcPr>
          <w:p w14:paraId="15BE122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2010</w:t>
            </w:r>
          </w:p>
        </w:tc>
        <w:tc>
          <w:tcPr>
            <w:tcW w:w="0" w:type="auto"/>
          </w:tcPr>
          <w:p w14:paraId="37CA7A3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Seoul</w:t>
            </w:r>
          </w:p>
        </w:tc>
        <w:tc>
          <w:tcPr>
            <w:tcW w:w="0" w:type="auto"/>
          </w:tcPr>
          <w:p w14:paraId="6DC078D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0.4</w:t>
            </w:r>
          </w:p>
          <w:p w14:paraId="0BE87B3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w:t>
            </w:r>
            <w:proofErr w:type="spellStart"/>
            <w:r w:rsidRPr="00E547AD">
              <w:rPr>
                <w:rFonts w:eastAsia="等线"/>
                <w:color w:val="000000"/>
                <w:sz w:val="22"/>
              </w:rPr>
              <w:t>nd</w:t>
            </w:r>
            <w:proofErr w:type="spellEnd"/>
            <w:r w:rsidRPr="00E547AD">
              <w:rPr>
                <w:rFonts w:eastAsia="等线"/>
                <w:color w:val="000000"/>
                <w:sz w:val="22"/>
              </w:rPr>
              <w:t xml:space="preserve"> - 1)</w:t>
            </w:r>
          </w:p>
        </w:tc>
        <w:tc>
          <w:tcPr>
            <w:tcW w:w="0" w:type="auto"/>
          </w:tcPr>
          <w:p w14:paraId="70CACB5C" w14:textId="6747FEF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{"citationItems":[{"id":"ITEM-1","itemData":{"DOI":"10.1007/s12205-011-0913-6","ISSN":"19763808","abstract":"The occurrence of thirty-one selected Endocrine Disrupting Compounds (EDCs) and Pharmaceuticals and Personal Care Products (PPCPs) was analyzed in eleven major municipal Wastewater Treatment Plants (WWTPs) in Seoul, Korea over two consecutive days. The area was selected since there was a lack of information in the Seoul area on the suspected contamination of wastewater effluents by micropollutants. Discharge from those major WWTPs accounted for approximately 25% of the Han River flow where over 99% of drinking water is produced from surface waters in this area that has a population approximately 15 million inhabitants. Samples collected in WWTP effluents were analyzed by Liquid Chromatography with tandem Mass Spectrometry (LC-MS/MS) with Electrospray Ionization (ESI) and Atmospheric Pressure Chemical Ionization (APCI). Many target compounds were detected in the effluent samples (66%). Atenolol, iopromide, TCPP, TCEP, musk ketone, naproxen, DEET, carbamazepine, trimethoprim, sulfamethoxazole, and benzophenone were frequently detected in effluent samples with mean concentrations ranging from 98 to 663 ng/L (maximum = 230-1,700 ng/L). However, the steroid hormones (17α-ethynylestradiol, progesterone, and testosterone), atrazine (herbicide), and octylphenol (surfactant) were not detected in all the samples. Results of this study can provide evidence that WWTP effluent is one of the major sources contaminating the Han River.","author":[{"dropping-particle":"","family":"Ryu","given":"Jaena","non-dropping-particle":"","parse-names":false,"suffix":""},{"dropping-particle":"","family":"Yoon","given":"Yeomin","non-dropping-particle":"","parse-names":false,"suffix":""},{"dropping-particle":"","family":"Oh","given":"Jeill","non-dropping-particle":"","parse-names":false,"suffix":""}],"container-title":"KSCE Journal of Civil Engineering","id":"ITEM-1","issue":"1","issued":{"date-parts":[["2011"]]},"page":"57-64","title":"Occurrence of endocrine disrupting compounds and pharmaceuticals in 11 WWTPs in Seoul, Korea","type":"article-journal","volume":"15"},"uris":["http://www.mendeley.com/documents/?uuid=da770c6c-36d0-4322-b130-b7d2f15044ef"]}],"mendeley":{"formattedCitation":"&lt;sup&gt;27&lt;/sup&gt;","plainTextFormattedCitation":"27","previouslyFormattedCitation":"&lt;sup&gt;27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27</w:t>
            </w:r>
            <w:r w:rsidRPr="00E547AD">
              <w:rPr>
                <w:color w:val="0070C0"/>
                <w:sz w:val="22"/>
              </w:rPr>
              <w:fldChar w:fldCharType="end"/>
            </w:r>
          </w:p>
        </w:tc>
      </w:tr>
      <w:tr w:rsidR="002D64E5" w:rsidRPr="00E547AD" w14:paraId="2AE9A75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53688D8"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82C84F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Saudi Arabia</w:t>
            </w:r>
          </w:p>
        </w:tc>
        <w:tc>
          <w:tcPr>
            <w:tcW w:w="0" w:type="auto"/>
          </w:tcPr>
          <w:p w14:paraId="1EF5979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4EC4C3C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Jeddah</w:t>
            </w:r>
          </w:p>
        </w:tc>
        <w:tc>
          <w:tcPr>
            <w:tcW w:w="0" w:type="auto"/>
          </w:tcPr>
          <w:p w14:paraId="6D98BB2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2.2</w:t>
            </w:r>
          </w:p>
          <w:p w14:paraId="174FE68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(na-2200)</w:t>
            </w:r>
          </w:p>
        </w:tc>
        <w:tc>
          <w:tcPr>
            <w:tcW w:w="0" w:type="auto"/>
          </w:tcPr>
          <w:p w14:paraId="6F4AFD70" w14:textId="4A1423C6"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{"citationItems":[{"id":"ITEM-1","itemData":{"DOI":"10.1016/j.chemosphere.2017.02.095","ISSN":"18791298","PMID":"28249192","abstract":"The occurrence of selected pharmaceuticals and personal care products (PPCPs) and the pesticide atrazine were investigated in seawater samples collected from stations located at effluent dominated sites in the Saudi Arabian coastal waters of the Red Sea. PPCPs were analysed using solid phase extraction (SPE) followed by high performance liquid chromatography – tandem mass spectrometry (HPLC-MS/MS). A multi component method for the ultra-trace level quantification of 13 target PPCPs in Seawater was developed and validated for the here performed study. The method procedure is described in detail in the supplementary material section. 26 samples from 7 distinct locations (2 directly influenced by continuous sewage release) were chosen for the sampling of surface seawater. Based upon local sales information, 25 target substances (20 PPCPs, 4 pesticides and 1 stimulant) were chosen for the here reported method development. Thirteen PPCPs were detected and quantified in a total of 26 seawater samples. Metformin, diclofenac, acetaminophen, and caffeine were identified as the most abundant PPCPs, detected in maximum concentration higher than 3 μg/L (upper quantification limit for the here developed method). Concentrations were in the range of 7– &gt;3000 (metformin), &lt;LOQ – 2379 ng/L (acetaminophen) and 62– &gt;3000 ng/L (caffeine). The contribution of direct sewage release on the PPCP levels detected was obvious, the target PPCPs were detected in the Al-Arbaeen and Al-Shabab coastal lagoons in high concentrations due to the low water exchange with the open sea and still ongoing sewage releases in the lagoons. Also, substantial amounts of antibiotics were detected in all samples. Levels and distribution profile of the detected PPCPs revealed high level release rates and give raise to concern on potential environmental risks associated with the here document long term exposure on the fragile coastal marine environment of the region but particularly in the nearby protected coral reef environment outside the harbour region of Jeddah.","author":[{"dropping-particle":"","family":"Ali","given":"Aasim M.","non-dropping-particle":"","parse-names":false,"suffix":""},{"dropping-particle":"","family":"Rønning","given":"Helene Thorsen","non-dropping-particle":"","parse-names":false,"suffix":""},{"dropping-particle":"","family":"Arif","given":"Walied M.","non-dropping-particle":"Al","parse-names":false,"suffix":""},{"dropping-particle":"","family":"Kallenborn","given":"Roland","non-dropping-particle":"","parse-names":false,"suffix":""},{"dropping-particle":"","family":"Kallenborn","given":"Roland","non-dropping-particle":"","parse-names":false,"suffix":""}],"container-title":"Chemosphere","id":"ITEM-1","issued":{"date-parts":[["2017"]]},"page":"505-513","publisher":"Elsevier Ltd","title":"Occurrence of pharmaceuticals and personal care products in effluent-dominated Saudi Arabian coastal waters of the Red Sea","type":"article-journal","volume":"175"},"uris":["http://www.mendeley.com/documents/?uuid=4bc58cfd-da4b-4164-a384-8bb830315050"]}],"mendeley":{"formattedCitation":"&lt;sup&gt;28&lt;/sup&gt;","plainTextFormattedCitation":"28","previouslyFormattedCitation":"&lt;sup&gt;28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28</w:t>
            </w:r>
            <w:r w:rsidRPr="00E547AD">
              <w:rPr>
                <w:color w:val="0070C0"/>
                <w:sz w:val="22"/>
              </w:rPr>
              <w:fldChar w:fldCharType="end"/>
            </w:r>
          </w:p>
        </w:tc>
      </w:tr>
      <w:tr w:rsidR="005E13E8" w:rsidRPr="00E547AD" w14:paraId="3EF5A489"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0C4FBE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FFFFA0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Serbia</w:t>
            </w:r>
          </w:p>
        </w:tc>
        <w:tc>
          <w:tcPr>
            <w:tcW w:w="0" w:type="auto"/>
          </w:tcPr>
          <w:p w14:paraId="1A287C3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2011</w:t>
            </w:r>
          </w:p>
        </w:tc>
        <w:tc>
          <w:tcPr>
            <w:tcW w:w="0" w:type="auto"/>
          </w:tcPr>
          <w:p w14:paraId="1E33474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Danube River</w:t>
            </w:r>
          </w:p>
        </w:tc>
        <w:tc>
          <w:tcPr>
            <w:tcW w:w="0" w:type="auto"/>
          </w:tcPr>
          <w:p w14:paraId="3042C9E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104</w:t>
            </w:r>
          </w:p>
          <w:p w14:paraId="0D47C17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(3-188)</w:t>
            </w:r>
          </w:p>
        </w:tc>
        <w:tc>
          <w:tcPr>
            <w:tcW w:w="0" w:type="auto"/>
          </w:tcPr>
          <w:p w14:paraId="14D4B377" w14:textId="26BE7BE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{"citationItems":[{"id":"ITEM-1","itemData":{"DOI":"10.1002/clen.201200360","ISSN":"18630669","abstract":"In this work, a total of 38 pesticides was monitored in the Danube River Basin in Serbia during ten sampling campaigns in 2009, 2010, and 2011. The quantification of analytes was performed using procedures based on solid-phase extraction (SPE) followed by LC-MS/MS or GC-MS. In general, low pesticide levels were found, except for the samples collected during May-June of 2010 and June of 2011. During this period, pesticide application is high and rainfall was described as extremely above normal or above normal, leading to very pronounced runoff and very high detected pesticide levels. At the sampling site Smederevo (the Danube River), high concentrations of terbuthylazine (200ngL-1) and metolachlor (150ngL-1) were found. In the Danube tributary Morava, high concentrations of carbendazim (269ngL-1), atrazine (188ngL-1), terbuthylazine (180ngL-1), and acetochlor (110ngL-1) were detected, while in the tributary Tisa only terbuthylazine was present at high levels (130ngL-1). In other sampling campaigns, pesticides were present at low concentrations. The most frequently found pesticide was carbendazim, probably due to slow degradation rate in environment. Monitoring of the Danube River Basin in Serbia has shown that the highest levels of pesticides were found in May and June of 2010, and June of 2011, coinciding with the high agricultural application and extremely high rainfall leading to very pronounced runoff. The frequency of pesticide detection and concentrations were higher in the Danube tributaries than in the Danube River.","author":[{"dropping-particle":"","family":"Antić","given":"Nikolina","non-dropping-particle":"","parse-names":false,"suffix":""},{"dropping-particle":"","family":"Radišić","given":"Marina","non-dropping-particle":"","parse-names":false,"suffix":""},{"dropping-particle":"","family":"Radović","given":"Tanja","non-dropping-particle":"","parse-names":false,"suffix":""},{"dropping-particle":"","family":"Vasiljević","given":"Tatjana","non-dropping-particle":"","parse-names":false,"suffix":""},{"dropping-particle":"","family":"Grujić","given":"Svetlana","non-dropping-particle":"","parse-names":false,"suffix":""},{"dropping-particle":"","family":"Petković","given":"Andelka","non-dropping-particle":"","parse-names":false,"suffix":""},{"dropping-particle":"","family":"Dimkić","given":"Milan","non-dropping-particle":"","parse-names":false,"suffix":""},{"dropping-particle":"","family":"Laušević","given":"Mila","non-dropping-particle":"","parse-names":false,"suffix":""}],"container-title":"Clean - Soil, Air, Water","id":"ITEM-1","issue":"2","issued":{"date-parts":[["2015"]]},"page":"197-204","title":"Pesticide Residues in the Danube River Basin in Serbia - a Survey during 2009-2011","type":"article-journal","volume":"43"},"uris":["http://www.mendeley.com/documents/?uuid=0aaea67d-8907-49cc-88e7-e0c2ac79383b"]}],"mendeley":{"formattedCitation":"&lt;sup&gt;29&lt;/sup&gt;","plainTextFormattedCitation":"29","previouslyFormattedCitation":"&lt;sup&gt;29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29</w:t>
            </w:r>
            <w:r w:rsidRPr="00E547AD">
              <w:rPr>
                <w:color w:val="0070C0"/>
                <w:sz w:val="22"/>
              </w:rPr>
              <w:fldChar w:fldCharType="end"/>
            </w:r>
          </w:p>
        </w:tc>
      </w:tr>
      <w:tr w:rsidR="002D64E5" w:rsidRPr="00E547AD" w14:paraId="0921460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B60078"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113D009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Serbia</w:t>
            </w:r>
          </w:p>
        </w:tc>
        <w:tc>
          <w:tcPr>
            <w:tcW w:w="0" w:type="auto"/>
          </w:tcPr>
          <w:p w14:paraId="6C4C8A9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2011</w:t>
            </w:r>
          </w:p>
        </w:tc>
        <w:tc>
          <w:tcPr>
            <w:tcW w:w="0" w:type="auto"/>
          </w:tcPr>
          <w:p w14:paraId="4F6D34E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Danube River</w:t>
            </w:r>
          </w:p>
        </w:tc>
        <w:tc>
          <w:tcPr>
            <w:tcW w:w="0" w:type="auto"/>
          </w:tcPr>
          <w:p w14:paraId="2B93FD9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w:t>
            </w:r>
          </w:p>
        </w:tc>
        <w:tc>
          <w:tcPr>
            <w:tcW w:w="0" w:type="auto"/>
          </w:tcPr>
          <w:p w14:paraId="6774DBCD" w14:textId="32D0CF2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{"citationItems":[{"id":"ITEM-1","itemData":{"DOI":"10.1002/clen.201200360","ISSN":"18630669","abstract":"In this work, a total of 38 pesticides was monitored in the Danube River Basin in Serbia during ten sampling campaigns in 2009, 2010, and 2011. The quantification of analytes was performed using procedures based on solid-phase extraction (SPE) followed by LC-MS/MS or GC-MS. In general, low pesticide levels were found, except for the samples collected during May-June of 2010 and June of 2011. During this period, pesticide application is high and rainfall was described as extremely above normal or above normal, leading to very pronounced runoff and very high detected pesticide levels. At the sampling site Smederevo (the Danube River), high concentrations of terbuthylazine (200ngL-1) and metolachlor (150ngL-1) were found. In the Danube tributary Morava, high concentrations of carbendazim (269ngL-1), atrazine (188ngL-1), terbuthylazine (180ngL-1), and acetochlor (110ngL-1) were detected, while in the tributary Tisa only terbuthylazine was present at high levels (130ngL-1). In other sampling campaigns, pesticides were present at low concentrations. The most frequently found pesticide was carbendazim, probably due to slow degradation rate in environment. Monitoring of the Danube River Basin in Serbia has shown that the highest levels of pesticides were found in May and June of 2010, and June of 2011, coinciding with the high agricultural application and extremely high rainfall leading to very pronounced runoff. The frequency of pesticide detection and concentrations were higher in the Danube tributaries than in the Danube River.","author":[{"dropping-particle":"","family":"Antić","given":"Nikolina","non-dropping-particle":"","parse-names":false,"suffix":""},{"dropping-particle":"","family":"Radišić","given":"Marina","non-dropping-particle":"","parse-names":false,"suffix":""},{"dropping-particle":"","family":"Radović","given":"Tanja","non-dropping-particle":"","parse-names":false,"suffix":""},{"dropping-particle":"","family":"Vasiljević","given":"Tatjana","non-dropping-particle":"","parse-names":false,"suffix":""},{"dropping-particle":"","family":"Grujić","given":"Svetlana","non-dropping-particle":"","parse-names":false,"suffix":""},{"dropping-particle":"","family":"Petković","given":"Andelka","non-dropping-particle":"","parse-names":false,"suffix":""},{"dropping-particle":"","family":"Dimkić","given":"Milan","non-dropping-particle":"","parse-names":false,"suffix":""},{"dropping-particle":"","family":"Laušević","given":"Mila","non-dropping-particle":"","parse-names":false,"suffix":""}],"container-title":"Clean - Soil, Air, Water","id":"ITEM-1","issue":"2","issued":{"date-parts":[["2015"]]},"page":"197-204","title":"Pesticide Residues in the Danube River Basin in Serbia - a Survey during 2009-2011","type":"article-journal","volume":"43"},"uris":["http://www.mendeley.com/documents/?uuid=0aaea67d-8907-49cc-88e7-e0c2ac79383b"]}],"mendeley":{"formattedCitation":"&lt;sup&gt;29&lt;/sup&gt;","plainTextFormattedCitation":"29","previouslyFormattedCitation":"&lt;sup&gt;29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29</w:t>
            </w:r>
            <w:r w:rsidRPr="00E547AD">
              <w:rPr>
                <w:color w:val="0070C0"/>
                <w:sz w:val="22"/>
              </w:rPr>
              <w:fldChar w:fldCharType="end"/>
            </w:r>
          </w:p>
        </w:tc>
      </w:tr>
      <w:tr w:rsidR="005E13E8" w:rsidRPr="00E547AD" w14:paraId="6BCF9F9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C884C5D"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3E6731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Thailand</w:t>
            </w:r>
          </w:p>
        </w:tc>
        <w:tc>
          <w:tcPr>
            <w:tcW w:w="0" w:type="auto"/>
          </w:tcPr>
          <w:p w14:paraId="6ADAE58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6AA3EBF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Mondego River</w:t>
            </w:r>
          </w:p>
        </w:tc>
        <w:tc>
          <w:tcPr>
            <w:tcW w:w="0" w:type="auto"/>
          </w:tcPr>
          <w:p w14:paraId="2DA05C0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(25-150)</w:t>
            </w:r>
          </w:p>
        </w:tc>
        <w:tc>
          <w:tcPr>
            <w:tcW w:w="0" w:type="auto"/>
          </w:tcPr>
          <w:p w14:paraId="7BF7C864" w14:textId="5011B15C"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{"citationItems":[{"id":"ITEM-1","itemData":{"DOI":"10.1016/j.ecoenv.2017.12.047","ISSN":"10902414","PMID":"29288903","abstract":"The present study aims to contribute to a better assessment of pesticide environmental and human health (here evaluated in the context of human exposure via food items) risks for the estuarine system by comprehensively studying the spatial and temporal occurrence of the pesticides atrazine, azoxystrobin, bentazon, λ-cyhalothrin, penoxsulam and terbuthylazine in the River Mondego estuary (Portugal). Pesticide quantification was performed in surface water, sediment, macroalgae (Ulva spp., Gracilaria gracilis, Fucus vesiculosus), aquatic plants (Zostera noltii, Spartina maritime, Scirpus maritimus) and bivalves (Scrobicularia plana). Since intense precipitation could promote the runoff of pesticides from the surrounding agricultural fields, a single long-duration flood event was also studied in this estuarine system. Under normal flow conditions, quantified concentrations were determined mostly during summer in agreement with the pesticide application period. Azoxystrobin presented the highest detection frequency and atrazine (an herbicide used globally but banned in the EU) presented the second highest frequency, thus highlighting the need to include legacy pesticides in monitoring programmes. Pesticide concentrations in surface water determined in the present study suggest low risk to estuarine organisms. However, all the pesticides were bioaccumulated by S. plana, leading us to consider that pesticides may not only cause adverse effects on the aquatic organism itself, but should also be an alert for human exposure, for this is an edible species and is considered of economic interest. Concern is also expressed about edible seaweeds, since s-triazine pesticides were found in Ulva spp. and G. gracilis. Acknowledging these concerns, developing and establishing allowable pesticide safety values for edible seaweeds and bivalves is recommended, as well as monitoring bivalve pesticide levels, using the whole animal, as a human health exposure indicator for estuarine systems. During the studied flood event, it appears that no serious pesticide contamination has occurred in the River Mondego estuary.","author":[{"dropping-particle":"","family":"Rodrigues","given":"Elsa Teresa","non-dropping-particle":"","parse-names":false,"suffix":""},{"dropping-particle":"","family":"Alpendurada","given":"Maria Fátima","non-dropping-particle":"","parse-names":false,"suffix":""},{"dropping-particle":"","family":"Ramos","given":"Fernando","non-dropping-particle":"","parse-names":false,"suffix":""},{"dropping-particle":"","family":"Pardal","given":"Miguel Ângelo","non-dropping-particle":"","parse-names":false,"suffix":""}],"container-title":"Ecotoxicology and Environmental Safety","id":"ITEM-1","issue":"December 2017","issued":{"date-parts":[["2018"]]},"page":"224-231","title":"Environmental and human health risk indicators for agricultural pesticides in estuaries","type":"article-journal","volume":"150"},"uris":["http://www.mendeley.com/documents/?uuid=5ccd2fa2-21ee-4d97-a0f6-1b79e3e0dd11"]}],"mendeley":{"formattedCitation":"&lt;sup&gt;30&lt;/sup&gt;","plainTextFormattedCitation":"30","previouslyFormattedCitation":"&lt;sup&gt;30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30</w:t>
            </w:r>
            <w:r w:rsidRPr="00E547AD">
              <w:rPr>
                <w:color w:val="0070C0"/>
                <w:sz w:val="22"/>
              </w:rPr>
              <w:fldChar w:fldCharType="end"/>
            </w:r>
          </w:p>
        </w:tc>
      </w:tr>
      <w:tr w:rsidR="002D64E5" w:rsidRPr="00E547AD" w14:paraId="3B2F1E2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72A0FB1"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3A8B6D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Thailand</w:t>
            </w:r>
          </w:p>
        </w:tc>
        <w:tc>
          <w:tcPr>
            <w:tcW w:w="0" w:type="auto"/>
          </w:tcPr>
          <w:p w14:paraId="3A7A4EA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01278D7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Mondego River</w:t>
            </w:r>
          </w:p>
        </w:tc>
        <w:tc>
          <w:tcPr>
            <w:tcW w:w="0" w:type="auto"/>
          </w:tcPr>
          <w:p w14:paraId="656B0EA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w:t>
            </w:r>
            <w:proofErr w:type="spellStart"/>
            <w:r w:rsidRPr="00E547AD">
              <w:rPr>
                <w:color w:val="000000"/>
                <w:sz w:val="22"/>
              </w:rPr>
              <w:t>nd</w:t>
            </w:r>
            <w:proofErr w:type="spellEnd"/>
            <w:r w:rsidRPr="00E547AD">
              <w:rPr>
                <w:color w:val="000000"/>
                <w:sz w:val="22"/>
              </w:rPr>
              <w:t xml:space="preserve"> - 87)</w:t>
            </w:r>
          </w:p>
        </w:tc>
        <w:tc>
          <w:tcPr>
            <w:tcW w:w="0" w:type="auto"/>
          </w:tcPr>
          <w:p w14:paraId="571E299C" w14:textId="127374E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{"citationItems":[{"id":"ITEM-1","itemData":{"DOI":"10.1016/j.ecoenv.2017.12.047","ISSN":"10902414","PMID":"29288903","abstract":"The present study aims to contribute to a better assessment of pesticide environmental and human health (here evaluated in the context of human exposure via food items) risks for the estuarine system by comprehensively studying the spatial and temporal occurrence of the pesticides atrazine, azoxystrobin, bentazon, λ-cyhalothrin, penoxsulam and terbuthylazine in the River Mondego estuary (Portugal). Pesticide quantification was performed in surface water, sediment, macroalgae (Ulva spp., Gracilaria gracilis, Fucus vesiculosus), aquatic plants (Zostera noltii, Spartina maritime, Scirpus maritimus) and bivalves (Scrobicularia plana). Since intense precipitation could promote the runoff of pesticides from the surrounding agricultural fields, a single long-duration flood event was also studied in this estuarine system. Under normal flow conditions, quantified concentrations were determined mostly during summer in agreement with the pesticide application period. Azoxystrobin presented the highest detection frequency and atrazine (an herbicide used globally but banned in the EU) presented the second highest frequency, thus highlighting the need to include legacy pesticides in monitoring programmes. Pesticide concentrations in surface water determined in the present study suggest low risk to estuarine organisms. However, all the pesticides were bioaccumulated by S. plana, leading us to consider that pesticides may not only cause adverse effects on the aquatic organism itself, but should also be an alert for human exposure, for this is an edible species and is considered of economic interest. Concern is also expressed about edible seaweeds, since s-triazine pesticides were found in Ulva spp. and G. gracilis. Acknowledging these concerns, developing and establishing allowable pesticide safety values for edible seaweeds and bivalves is recommended, as well as monitoring bivalve pesticide levels, using the whole animal, as a human health exposure indicator for estuarine systems. During the studied flood event, it appears that no serious pesticide contamination has occurred in the River Mondego estuary.","author":[{"dropping-particle":"","family":"Rodrigues","given":"Elsa Teresa","non-dropping-particle":"","parse-names":false,"suffix":""},{"dropping-particle":"","family":"Alpendurada","given":"Maria Fátima","non-dropping-particle":"","parse-names":false,"suffix":""},{"dropping-particle":"","family":"Ramos","given":"Fernando","non-dropping-particle":"","parse-names":false,"suffix":""},{"dropping-particle":"","family":"Pardal","given":"Miguel Ângelo","non-dropping-particle":"","parse-names":false,"suffix":""}],"container-title":"Ecotoxicology and Environmental Safety","id":"ITEM-1","issue":"December 2017","issued":{"date-parts":[["2018"]]},"page":"224-231","title":"Environmental and human health risk indicators for agricultural pesticides in estuaries","type":"article-journal","volume":"150"},"uris":["http://www.mendeley.com/documents/?uuid=5ccd2fa2-21ee-4d97-a0f6-1b79e3e0dd11"]}],"mendeley":{"formattedCitation":"&lt;sup&gt;30&lt;/sup&gt;","plainTextFormattedCitation":"30","previouslyFormattedCitation":"&lt;sup&gt;30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30</w:t>
            </w:r>
            <w:r w:rsidRPr="00E547AD">
              <w:rPr>
                <w:color w:val="0070C0"/>
                <w:sz w:val="22"/>
              </w:rPr>
              <w:fldChar w:fldCharType="end"/>
            </w:r>
          </w:p>
        </w:tc>
      </w:tr>
      <w:tr w:rsidR="005E13E8" w:rsidRPr="00E547AD" w14:paraId="0446F574"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9A4F898"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68E18FB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Thailand</w:t>
            </w:r>
          </w:p>
        </w:tc>
        <w:tc>
          <w:tcPr>
            <w:tcW w:w="0" w:type="auto"/>
          </w:tcPr>
          <w:p w14:paraId="30528D8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2007</w:t>
            </w:r>
          </w:p>
        </w:tc>
        <w:tc>
          <w:tcPr>
            <w:tcW w:w="0" w:type="auto"/>
          </w:tcPr>
          <w:p w14:paraId="6A0B990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Mae Sa watershed</w:t>
            </w:r>
          </w:p>
        </w:tc>
        <w:tc>
          <w:tcPr>
            <w:tcW w:w="0" w:type="auto"/>
          </w:tcPr>
          <w:p w14:paraId="59F9A0F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50</w:t>
            </w:r>
          </w:p>
          <w:p w14:paraId="58A1094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w:t>
            </w:r>
            <w:proofErr w:type="spellStart"/>
            <w:r w:rsidRPr="00E547AD">
              <w:rPr>
                <w:rFonts w:eastAsia="等线"/>
                <w:color w:val="000000"/>
                <w:sz w:val="22"/>
              </w:rPr>
              <w:t>na</w:t>
            </w:r>
            <w:proofErr w:type="spellEnd"/>
            <w:r w:rsidRPr="00E547AD">
              <w:rPr>
                <w:rFonts w:eastAsia="等线"/>
                <w:color w:val="000000"/>
                <w:sz w:val="22"/>
              </w:rPr>
              <w:t xml:space="preserve"> - 800)</w:t>
            </w:r>
          </w:p>
        </w:tc>
        <w:tc>
          <w:tcPr>
            <w:tcW w:w="0" w:type="auto"/>
          </w:tcPr>
          <w:p w14:paraId="34ED0789" w14:textId="770C138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{"citationItems":[{"id":"ITEM-1","itemData":{"DOI":"10.1007/s10661-013-3440-8","ISSN":"01676369","PMID":"24078052","abstract":"The increasing application of pesticides in the uplands of northern Thailand has increased the transfer of pesticides to surface water. To assess the risk of pesticide use for stream water quality, we monitored the concentrations of seven pesticides (atrazine, dichlorvos, chlorpyrifos, dimethoate, chlorothalonil, (α-, β-) endosulfan, cypermethrin) frequently used in the Mae Sa watershed (77 km2) in water and sediment samples over a period of one and a half years (2007-2008). All investigated pesticides were recorded in the river. Chlorpyrifos was detected most often in water samples (75 % at the headwater station), while cypermethrin was most often found in riverbed (86 %) and in all suspended sediment samples. The highest concentrations of the pesticides were detected during the rainy season. About 0.002 to 4.1 % by mass of the applied pesticides was lost to surface water. The risk assessment was based on the risk characterization ratio (RCR). The RCRs of dichlorvos in water, (α-, β-) endosulfan, and cypermethrin in water and sediments were higher than unity indicating that they are likely to pose a threat to aquatic ecosystem. Finally, we discuss the role of sampling design on ecotoxicological risk assessment. Our study shows that pesticide contamination of surface waters is an environmental issue in the Mae Sa watershed and that measures need to be undertaken to reduce the loss of pesticides from soil to surface waters. © 2013 Springer Science+Business Media Dordrecht.","author":[{"dropping-particle":"","family":"Sangchan","given":"W.","non-dropping-particle":"","parse-names":false,"suffix":""},{"dropping-particle":"","family":"Bannwarth","given":"M.","non-dropping-particle":"","parse-names":false,"suffix":""},{"dropping-particle":"","family":"Ingwersen","given":"J.","non-dropping-particle":"","parse-names":false,"suffix":""},{"dropping-particle":"","family":"Hugenschmidt","given":"C.","non-dropping-particle":"","parse-names":false,"suffix":""},{"dropping-particle":"","family":"Schwadorf","given":"K.","non-dropping-particle":"","parse-names":false,"suffix":""},{"dropping-particle":"","family":"Thavornyutikarn","given":"P.","non-dropping-particle":"","parse-names":false,"suffix":""},{"dropping-particle":"","family":"Pansombat","given":"K.","non-dropping-particle":"","parse-names":false,"suffix":""},{"dropping-particle":"","family":"Streck","given":"T.","non-dropping-particle":"","parse-names":false,"suffix":""}],"container-title":"Environmental Monitoring and Assessment","id":"ITEM-1","issue":"2","issued":{"date-parts":[["2014"]]},"page":"1083-1099","title":"Monitoring and risk assessment of pesticides in a tropical river of an agricultural watershed in northern Thailand","type":"article-journal","volume":"186"},"uris":["http://www.mendeley.com/documents/?uuid=77d1c5a7-48d8-4621-9545-59e50f1703f7"]}],"mendeley":{"formattedCitation":"&lt;sup&gt;31&lt;/sup&gt;","plainTextFormattedCitation":"31","previouslyFormattedCitation":"&lt;sup&gt;31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31</w:t>
            </w:r>
            <w:r w:rsidRPr="00E547AD">
              <w:rPr>
                <w:color w:val="0070C0"/>
                <w:sz w:val="22"/>
              </w:rPr>
              <w:fldChar w:fldCharType="end"/>
            </w:r>
          </w:p>
        </w:tc>
      </w:tr>
      <w:tr w:rsidR="002D64E5" w:rsidRPr="00E547AD" w14:paraId="6498CD6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431F1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70C4E7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Iran</w:t>
            </w:r>
          </w:p>
        </w:tc>
        <w:tc>
          <w:tcPr>
            <w:tcW w:w="0" w:type="auto"/>
          </w:tcPr>
          <w:p w14:paraId="2E2AB29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2020</w:t>
            </w:r>
          </w:p>
        </w:tc>
        <w:tc>
          <w:tcPr>
            <w:tcW w:w="0" w:type="auto"/>
          </w:tcPr>
          <w:p w14:paraId="371183C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Iran</w:t>
            </w:r>
          </w:p>
        </w:tc>
        <w:tc>
          <w:tcPr>
            <w:tcW w:w="0" w:type="auto"/>
          </w:tcPr>
          <w:p w14:paraId="35F8282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24.9</w:t>
            </w:r>
          </w:p>
          <w:p w14:paraId="0C28497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(20.5-33.1)</w:t>
            </w:r>
          </w:p>
        </w:tc>
        <w:tc>
          <w:tcPr>
            <w:tcW w:w="0" w:type="auto"/>
          </w:tcPr>
          <w:p w14:paraId="00980F8A" w14:textId="49701F70"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{"citationItems":[{"id":"ITEM-1","itemData":{"DOI":"10.1016/j.marpolbul.2020.111569","ISSN":"18793363","PMID":"32861938","abstract":"Recently, atrazine has been increasingly used to control weeds in the corn and sugarcane farms, which affects the water resources and aquatic organisms. In this study, atrazine residual concentrations in water and fish samples of the Shadegan wetland (Iran) were investigated. Furthermore, the health and ecological risk assessment were calculated. A total of fifty water samples were collected from the wetland during three periods with a four-month time interval. Also, ten samples of ten different fish species were analyzed at the same time. The estimation of acceptable daily intake and comparison with international standards indicates danger to adjacent residential areas of wetland. Non-carcinogenic risk analysis showed that total hazard quotient (HQing + HQderm) were below the acceptable limit and there is no danger to the residents of the area. Atrazine concentration in the water and fish samples ranged between 0 and 2175.8 μg/L, and 0 to 35.58 μg/L, respectively. Results showed that 88% of the water samples were higher than EPA and WHO guidelines for drinking water in summer. The concentrations of atrazine in fish samples in summer were more than other seasons. Analysis of ecological risk assessment also showed that considering the average atrazine concentration in three seasons, the risk exposure was very high. This study will be beneficial to the both residents and government officials in management of Shadegan wetland pollution in term of toxic compounds.","author":[{"dropping-particle":"","family":"Almasi","given":"Halime","non-dropping-particle":"","parse-names":false,"suffix":""},{"dropping-particle":"","family":"Takdastan","given":"Afshin","non-dropping-particle":"","parse-names":false,"suffix":""},{"dropping-particle":"","family":"Jaafarzadeh","given":"Nematollah","non-dropping-particle":"","parse-names":false,"suffix":""},{"dropping-particle":"","family":"Babaei","given":"Ali Akbar","non-dropping-particle":"","parse-names":false,"suffix":""},{"dropping-particle":"","family":"Tahmasebi Birgani","given":"Yaser","non-dropping-particle":"","parse-names":false,"suffix":""},{"dropping-particle":"","family":"Cheraghian","given":"Bahman","non-dropping-particle":"","parse-names":false,"suffix":""},{"dropping-particle":"","family":"Saki","given":"Amal","non-dropping-particle":"","parse-names":false,"suffix":""},{"dropping-particle":"","family":"Jorfi","given":"Sahand","non-dropping-particle":"","parse-names":false,"suffix":""}],"container-title":"Marine Pollution Bulletin","id":"ITEM-1","issue":"August","issued":{"date-parts":[["2020"]]},"page":"111569","publisher":"Elsevier","title":"Spatial distribution, ecological and health risk assessment and source identification of atrazine in Shadegan international wetland, Iran","type":"article-journal","volume":"160"},"uris":["http://www.mendeley.com/documents/?uuid=c7ae926b-9e0f-4642-9a75-2e7d54c47620"]}],"mendeley":{"formattedCitation":"&lt;sup&gt;32&lt;/sup&gt;","plainTextFormattedCitation":"32","previouslyFormattedCitation":"&lt;sup&gt;32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32</w:t>
            </w:r>
            <w:r w:rsidRPr="00E547AD">
              <w:rPr>
                <w:color w:val="0070C0"/>
                <w:sz w:val="22"/>
              </w:rPr>
              <w:fldChar w:fldCharType="end"/>
            </w:r>
          </w:p>
        </w:tc>
      </w:tr>
      <w:tr w:rsidR="005E13E8" w:rsidRPr="00E547AD" w14:paraId="66F99CF1"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50D42C2"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8C6FD5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Kazakhstan</w:t>
            </w:r>
          </w:p>
        </w:tc>
        <w:tc>
          <w:tcPr>
            <w:tcW w:w="0" w:type="auto"/>
          </w:tcPr>
          <w:p w14:paraId="04F0FB6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2BE92BF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Kazakhstan</w:t>
            </w:r>
          </w:p>
        </w:tc>
        <w:tc>
          <w:tcPr>
            <w:tcW w:w="0" w:type="auto"/>
          </w:tcPr>
          <w:p w14:paraId="2B49114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1.2</w:t>
            </w:r>
          </w:p>
          <w:p w14:paraId="2D299E0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(1.1-1.2)</w:t>
            </w:r>
          </w:p>
        </w:tc>
        <w:tc>
          <w:tcPr>
            <w:tcW w:w="0" w:type="auto"/>
          </w:tcPr>
          <w:p w14:paraId="309F3679" w14:textId="118F5FE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{"citationItems":[{"id":"ITEM-1","itemData":{"DOI":"10.1016/j.watres.2020.116141","ISSN":"18792448","PMID":"32784075","abstract":"The Syr Darya is one of two major rivers in Central Asia supplying critical fresh water to the Aral Sea. In spite of the river's importance and agriculturally-intensive history, few studies have provided a modern evaluation of and the occurrence of pesticide residues potential effects to aquatic life. The primary goal of this investigation was to determine seasonal variations in ambient concentrations of modern and legacy pesticides in bottom sediment and water of the Syr Darya in Kazakhstan (KZ) downstream from an agriculturally-intensive watershed in Uzbekistan. Grab samples and passive samplers were used at five remote sampling stations during June 2015 to provide a baseline for ecotoxicological evaluation. Results were compared with samples collected during and after the agricultural growing season. Polar organic chemical integrative samplers (POCIS) were used in June and calibrated for time-weighted average concentrations of current use pesticides. Among legacy chlorinated pesticides measured in grab samples from the river, lindane (γ-HCH) was detected most frequently with the highest concentrations occurring during June. For all the sampling events, residues of lindane (γ-HCH) ranged from 0.014 to 0.24 μg/L detected in water samples, are among the highest concentrations reported for rivers globally. Concentrations of γ-HCH, p,p’-DDE and dieldrin were highest in October when dieldrin concentrations approached 0.4 μg/L. Sources of legacy pesticides may be either illicit upstream use or evidence of previous atmospheric contamination of glacial meltwater. Chronic exposure to these residues may lead to ecological risk to lower order organisms in both the sediment and water column.","author":[{"dropping-particle":"","family":"Snow","given":"D. D.","non-dropping-particle":"","parse-names":false,"suffix":""},{"dropping-particle":"","family":"Chakraborty","given":"P.","non-dropping-particle":"","parse-names":false,"suffix":""},{"dropping-particle":"","family":"Uralbekov","given":"B.","non-dropping-particle":"","parse-names":false,"suffix":""},{"dropping-particle":"","family":"Satybaldiev","given":"B.","non-dropping-particle":"","parse-names":false,"suffix":""},{"dropping-particle":"","family":"Sallach","given":"J. B.","non-dropping-particle":"","parse-names":false,"suffix":""},{"dropping-particle":"","family":"Thornton Hampton","given":"L. M.","non-dropping-particle":"","parse-names":false,"suffix":""},{"dropping-particle":"","family":"Jeffries","given":"M.","non-dropping-particle":"","parse-names":false,"suffix":""},{"dropping-particle":"","family":"Kolok","given":"A. S.","non-dropping-particle":"","parse-names":false,"suffix":""},{"dropping-particle":"","family":"Bartelt-Hunt","given":"S. B.","non-dropping-particle":"","parse-names":false,"suffix":""}],"container-title":"Water Research","id":"ITEM-1","issued":{"date-parts":[["2020"]]},"title":"Legacy and current pesticide residues in Syr Darya, Kazakhstan: Contamination status, seasonal variation and preliminary ecological risk assessment","type":"article-journal","volume":"184"},"uris":["http://www.mendeley.com/documents/?uuid=dc01c646-0999-49b5-acf8-0748a002aa10"]}],"mendeley":{"formattedCitation":"&lt;sup&gt;33&lt;/sup&gt;","plainTextFormattedCitation":"33","previouslyFormattedCitation":"&lt;sup&gt;33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33</w:t>
            </w:r>
            <w:r w:rsidRPr="00E547AD">
              <w:rPr>
                <w:color w:val="0070C0"/>
                <w:sz w:val="22"/>
              </w:rPr>
              <w:fldChar w:fldCharType="end"/>
            </w:r>
          </w:p>
        </w:tc>
      </w:tr>
      <w:tr w:rsidR="002D64E5" w:rsidRPr="00E547AD" w14:paraId="75F2513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06B35A"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91B497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Myanmar</w:t>
            </w:r>
          </w:p>
        </w:tc>
        <w:tc>
          <w:tcPr>
            <w:tcW w:w="0" w:type="auto"/>
          </w:tcPr>
          <w:p w14:paraId="36DDC51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74DF47B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Myanmar</w:t>
            </w:r>
          </w:p>
        </w:tc>
        <w:tc>
          <w:tcPr>
            <w:tcW w:w="0" w:type="auto"/>
          </w:tcPr>
          <w:p w14:paraId="34D020E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950</w:t>
            </w:r>
          </w:p>
          <w:p w14:paraId="2F8C53A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(700-2900)</w:t>
            </w:r>
          </w:p>
        </w:tc>
        <w:tc>
          <w:tcPr>
            <w:tcW w:w="0" w:type="auto"/>
          </w:tcPr>
          <w:p w14:paraId="35721DE9" w14:textId="2D5D1926"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{"citationItems":[{"id":"ITEM-1","itemData":{"DOI":"10.1016/j.uclim.2022.101194","ISSN":"22120955","abstract":"Inle Lake is a valuable wetland for local ecosystems and one of Myanmar's freshwater biodiversity hotspot. In this lake, poor management of floating gardens cultivation by some farmers has resulted in leaching of excess nutrients, and then water and sediment were contaminated by chemical residues. This study aims to assess the environmental risk to Lake Ecosystem by investigating the nutrient contamination of water, sediment and monitoring pesticide residues from fish, sediment along with water. Sediment and Water samples have been gathered from non-GAP and GAP floating gardens, including the central lake as a reference point, during the wet season of 2019 and dry season of 2020. Health risk linked with intake of pesticide residues in fish from floating gardens and central lake are assessed. The result showed that the pesticide and fertilizer applications were increased in non-GAP when compared with GAP method. The nutrients (nitrogen, phosphorus) contamination was higher in non-GAP than in GAP for both water and sediment. The presence of pesticide residues in surface sediment shows that the non-GAP farms had higher concentrations than the GAP farms. For the water pollution assessment, the water quality index value was higher in non-GAP than in GAP. Nutrient pollution assessment indicated that nutrient contamination threatens in floating garden sites but non-GAP has potentially influence on Lake Ecosystem. The health risk assessment model resulted that current used pesticide residues are not caused detrimental effects on human health but in long run, low doses exposure has been linked to human health. This study concludes that poor management of agricultural practices by more agrochemicals usage has had a negative effect on the surface water, ecosystem and sediment of the lake.","author":[{"dropping-particle":"","family":"Iwai","given":"Chuleemas Boonthai","non-dropping-particle":"","parse-names":false,"suffix":""},{"dropping-particle":"","family":"Khaung","given":"Theingi","non-dropping-particle":"","parse-names":false,"suffix":""},{"dropping-particle":"","family":"Prasopsuk","given":"Jarupong","non-dropping-particle":"","parse-names":false,"suffix":""},{"dropping-particle":"","family":"Ravindran","given":"Balasubramani","non-dropping-particle":"","parse-names":false,"suffix":""}],"container-title":"Urban Climate","id":"ITEM-1","issue":"June","issued":{"date-parts":[["2022"]]},"page":"101194","publisher":"Elsevier B.V.","title":"Environmental risk assessment of floating gardens in Inle Lake, Myanmar","type":"article-journal","volume":"44"},"uris":["http://www.mendeley.com/documents/?uuid=4bc95293-95fe-4d74-8f26-b2078f97d97f"]}],"mendeley":{"formattedCitation":"&lt;sup&gt;34&lt;/sup&gt;","plainTextFormattedCitation":"34","previouslyFormattedCitation":"&lt;sup&gt;34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34</w:t>
            </w:r>
            <w:r w:rsidRPr="00E547AD">
              <w:rPr>
                <w:color w:val="0070C0"/>
                <w:sz w:val="22"/>
              </w:rPr>
              <w:fldChar w:fldCharType="end"/>
            </w:r>
          </w:p>
        </w:tc>
      </w:tr>
      <w:tr w:rsidR="005E13E8" w:rsidRPr="00E547AD" w14:paraId="0B75443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C231940"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198C9DC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Vietnam</w:t>
            </w:r>
          </w:p>
        </w:tc>
        <w:tc>
          <w:tcPr>
            <w:tcW w:w="0" w:type="auto"/>
          </w:tcPr>
          <w:p w14:paraId="428D493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413F654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Vietnam</w:t>
            </w:r>
          </w:p>
        </w:tc>
        <w:tc>
          <w:tcPr>
            <w:tcW w:w="0" w:type="auto"/>
          </w:tcPr>
          <w:p w14:paraId="381C3C0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10.9</w:t>
            </w:r>
          </w:p>
          <w:p w14:paraId="2E37314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(3.9-21.2)</w:t>
            </w:r>
          </w:p>
        </w:tc>
        <w:tc>
          <w:tcPr>
            <w:tcW w:w="0" w:type="auto"/>
          </w:tcPr>
          <w:p w14:paraId="166A6A1B" w14:textId="594D38B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{"citationItems":[{"id":"ITEM-1","itemData":{"DOI":"10.1016/j.scitotenv.2020.141507","ISSN":"18791026","PMID":"32841807","abstract":"Studies on the occurrence of emerging pesticides in surface and drinking water in Vietnam are limited. In this study, lake water (n = 7), river water (n = 1), tap water (n = 46), and bottled water (n = 3) collected from Hanoi and other four provinces in northern Vietnam were analyzed for selected pesticides (including insecticides such as neonicotinoids, fipronil, and chlorpyrifos; fungicide carbendazim; herbicides such as atrazine, terbuthylazine, simazine, 2,4-dichlorophenoxyacetic acid, 2-methyl-4-chlorophenoxyacetic acid, and bentazon) and some of their degradates by liquid chromatography-tandem mass spectrometry. Carbendazim (median: 86.7 ng/L) and triazines (49.3 ng/L) were the major pesticides found in lake water samples, followed by neonicotinoids and their degradation products (15.1 ng/L), chlorpyrifos and its degradate (13.4 ng/L), fipronil and its degradates (3.76 ng/L), chlorophenoxy acid herbicides (2.10 ng/L), and bentazon (0.62 ng/L). Triazines (164 ng/L) were the major pesticides in river water. Higher concentrations (median: 39.3 ng/L; range: 1.20–127) of selected pesticides were found in tap water from Hanoi than those from four other provinces studied (5.49 ng/L; 4.73–66.8 ng/L). Bottled water samples collected from Hanoi contained lower concentrations of pesticide residues (median: 3.54 ng/L, range: 2.18–8.09) than those of tap water samples. The calculated risks from pesticide exposure through ingestion of tap water by the general populations were low. However, fipronil concentrations in lake water exceeded the benchmark value recommended for freshwater in the United States or the Netherlands. Degradation of acetamiprid into desmethyl-acetamiprid was found in lake water.","author":[{"dropping-particle":"","family":"Wan","given":"Yanjian","non-dropping-particle":"","parse-names":false,"suffix":""},{"dropping-particle":"","family":"Tran","given":"Tri Manh","non-dropping-particle":"","parse-names":false,"suffix":""},{"dropping-particle":"","family":"Nguyen","given":"Vinh Thi","non-dropping-particle":"","parse-names":false,"suffix":""},{"dropping-particle":"","family":"Wang","given":"Aizhen","non-dropping-particle":"","parse-names":false,"suffix":""},{"dropping-particle":"","family":"Wang","given":"Jiawei","non-dropping-particle":"","parse-names":false,"suffix":""},{"dropping-particle":"","family":"Kannan","given":"Kurunthachalam","non-dropping-particle":"","parse-names":false,"suffix":""}],"container-title":"Science of the Total Environment","id":"ITEM-1","issued":{"date-parts":[["2021"]]},"page":"141507","publisher":"Elsevier B.V.","title":"Neonicotinoids, fipronil, chlorpyrifos, carbendazim, chlorotriazines, chlorophenoxy herbicides, bentazon, and selected pesticide transformation products in surface water and drinking water from northern Vietnam","type":"article-journal","volume":"750"},"uris":["http://www.mendeley.com/documents/?uuid=63e0d043-24a8-4f1a-9d52-1312e10d1bea"]}],"mendeley":{"formattedCitation":"&lt;sup&gt;35&lt;/sup&gt;","plainTextFormattedCitation":"35","previouslyFormattedCitation":"&lt;sup&gt;35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35</w:t>
            </w:r>
            <w:r w:rsidRPr="00E547AD">
              <w:rPr>
                <w:color w:val="0070C0"/>
                <w:sz w:val="22"/>
              </w:rPr>
              <w:fldChar w:fldCharType="end"/>
            </w:r>
          </w:p>
        </w:tc>
      </w:tr>
      <w:tr w:rsidR="002D64E5" w:rsidRPr="00E547AD" w14:paraId="51666D73"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C67A26"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5548D5E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Indonesia</w:t>
            </w:r>
          </w:p>
        </w:tc>
        <w:tc>
          <w:tcPr>
            <w:tcW w:w="0" w:type="auto"/>
          </w:tcPr>
          <w:p w14:paraId="6643C1E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2021</w:t>
            </w:r>
          </w:p>
        </w:tc>
        <w:tc>
          <w:tcPr>
            <w:tcW w:w="0" w:type="auto"/>
          </w:tcPr>
          <w:p w14:paraId="5073C9B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Indonesia</w:t>
            </w:r>
          </w:p>
        </w:tc>
        <w:tc>
          <w:tcPr>
            <w:tcW w:w="0" w:type="auto"/>
          </w:tcPr>
          <w:p w14:paraId="050D32F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7.3</w:t>
            </w:r>
          </w:p>
          <w:p w14:paraId="6667FE6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(4.4-9.6)</w:t>
            </w:r>
          </w:p>
        </w:tc>
        <w:tc>
          <w:tcPr>
            <w:tcW w:w="0" w:type="auto"/>
          </w:tcPr>
          <w:p w14:paraId="3E976765" w14:textId="0AC90B0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{"citationItems":[{"id":"ITEM-1","itemData":{"DOI":"10.1088/1755-1315/681/1/012044","ISSN":"17551315","abstract":"The research aimed to analyze the effect of atrazine and Tithonia diversifolia green fertilizer on weed growth and corn productivity. This type of research is an experiment with randomized block design (RBD) factorial pattern with two factors. The first factor is organic material (B), which consists of 4 levels, namely: = Without organic matter (B1), Tithonia diversifolia 5 t ha-1 (B2), Tithonia diversifolia 10 t ha-1 (B3), and Tithonia diversifolia 15 t ha-1(B4). The second factor is the dose of herbicide (H) which consists of 4 levels, namely: = Without herbicide (H1), Atrazine 1 l ba ha-1 = 2.5 l ha-1 (H2), Atrazine 2 l ba ha-1 = 5 l ha-1(H3), and Atrazine 3 l ha ha-1 = 7.5 l ha-1 (H4). The study used Tithonia diversifolia weed pruning as a source of organic material. Each treatment was repeated three times so that this experiment consisted of 48 experimental units. The results of the study are weed closure ranging from 4.5-26% (21 DAP) and 13.42-40.58% (41 DAP). Symptoms of corn poisoning decreased with each addition of organic matter at each dose of atrazine. The highest dry shelled yield was obtained at a dose of 15 t ha-1. Application of Tithonia diversifolia green fertilizer dosage of 10 t ha-1 sprayed with atrazine herbicide 2 l b.a ha-1 resulted in dry shelled corn of 9.61t. The conclusion was that the atrazine herbicide and Tithonia diversifolia green fertilizer in various doses in corn plantations significantly influenced the control of weeds and corn productivity.","author":[{"dropping-particle":"","family":"Laude","given":"S.","non-dropping-particle":"","parse-names":false,"suffix":""},{"dropping-particle":"","family":"Mahfudz","given":"","non-dropping-particle":"","parse-names":false,"suffix":""},{"dropping-particle":"","family":"Fathurrahman","given":"","non-dropping-particle":"","parse-names":false,"suffix":""},{"dropping-particle":"","family":"Samuddin","given":"S.","non-dropping-particle":"","parse-names":false,"suffix":""},{"dropping-particle":"","family":"Rahim","given":"A.","non-dropping-particle":"","parse-names":false,"suffix":""},{"dropping-particle":"","family":"Darwis","given":"","non-dropping-particle":"","parse-names":false,"suffix":""}],"container-title":"IOP Conference Series: Earth and Environmental Science","id":"ITEM-1","issue":"1","issued":{"date-parts":[["2021"]]},"title":"Effect of atrazine and green fertilizer (tithonia diversifolia) on weed growth and corn productivity","type":"article-journal","volume":"681"},"uris":["http://www.mendeley.com/documents/?uuid=0ea0bd04-cf2a-4e1a-ba53-27dd7272ee95"]}],"mendeley":{"formattedCitation":"&lt;sup&gt;36&lt;/sup&gt;","plainTextFormattedCitation":"36","previouslyFormattedCitation":"&lt;sup&gt;36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36</w:t>
            </w:r>
            <w:r w:rsidRPr="00E547AD">
              <w:rPr>
                <w:color w:val="0070C0"/>
                <w:sz w:val="22"/>
              </w:rPr>
              <w:fldChar w:fldCharType="end"/>
            </w:r>
          </w:p>
        </w:tc>
      </w:tr>
      <w:tr w:rsidR="005E13E8" w:rsidRPr="00E547AD" w14:paraId="01BF8B1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181B3DC"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47DDEC0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Korea</w:t>
            </w:r>
          </w:p>
        </w:tc>
        <w:tc>
          <w:tcPr>
            <w:tcW w:w="0" w:type="auto"/>
          </w:tcPr>
          <w:p w14:paraId="27B4414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2011</w:t>
            </w:r>
          </w:p>
        </w:tc>
        <w:tc>
          <w:tcPr>
            <w:tcW w:w="0" w:type="auto"/>
          </w:tcPr>
          <w:p w14:paraId="493902E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Korea</w:t>
            </w:r>
          </w:p>
        </w:tc>
        <w:tc>
          <w:tcPr>
            <w:tcW w:w="0" w:type="auto"/>
          </w:tcPr>
          <w:p w14:paraId="2B30538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0.4</w:t>
            </w:r>
          </w:p>
          <w:p w14:paraId="7800F0B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(0.1-1)</w:t>
            </w:r>
          </w:p>
        </w:tc>
        <w:tc>
          <w:tcPr>
            <w:tcW w:w="0" w:type="auto"/>
          </w:tcPr>
          <w:p w14:paraId="5720007C" w14:textId="6D2905B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{"citationItems":[{"id":"ITEM-1","itemData":{"DOI":"10.1007/s12205-011-0913-6","ISSN":"19763808","abstract":"The occurrence of thirty-one selected Endocrine Disrupting Compounds (EDCs) and Pharmaceuticals and Personal Care Products (PPCPs) was analyzed in eleven major municipal Wastewater Treatment Plants (WWTPs) in Seoul, Korea over two consecutive days. The area was selected since there was a lack of information in the Seoul area on the suspected contamination of wastewater effluents by micropollutants. Discharge from those major WWTPs accounted for approximately 25% of the Han River flow where over 99% of drinking water is produced from surface waters in this area that has a population approximately 15 million inhabitants. Samples collected in WWTP effluents were analyzed by Liquid Chromatography with tandem Mass Spectrometry (LC-MS/MS) with Electrospray Ionization (ESI) and Atmospheric Pressure Chemical Ionization (APCI). Many target compounds were detected in the effluent samples (66%). Atenolol, iopromide, TCPP, TCEP, musk ketone, naproxen, DEET, carbamazepine, trimethoprim, sulfamethoxazole, and benzophenone were frequently detected in effluent samples with mean concentrations ranging from 98 to 663 ng/L (maximum = 230-1,700 ng/L). However, the steroid hormones (17α-ethynylestradiol, progesterone, and testosterone), atrazine (herbicide), and octylphenol (surfactant) were not detected in all the samples. Results of this study can provide evidence that WWTP effluent is one of the major sources contaminating the Han River.","author":[{"dropping-particle":"","family":"Ryu","given":"Jaena","non-dropping-particle":"","parse-names":false,"suffix":""},{"dropping-particle":"","family":"Yoon","given":"Yeomin","non-dropping-particle":"","parse-names":false,"suffix":""},{"dropping-particle":"","family":"Oh","given":"Jeill","non-dropping-particle":"","parse-names":false,"suffix":""}],"container-title":"KSCE Journal of Civil Engineering","id":"ITEM-1","issue":"1","issued":{"date-parts":[["2011"]]},"page":"57-64","title":"Occurrence of endocrine disrupting compounds and pharmaceuticals in 11 WWTPs in Seoul, Korea","type":"article-journal","volume":"15"},"uris":["http://www.mendeley.com/documents/?uuid=da770c6c-36d0-4322-b130-b7d2f15044ef"]}],"mendeley":{"formattedCitation":"&lt;sup&gt;27&lt;/sup&gt;","plainTextFormattedCitation":"27","previouslyFormattedCitation":"&lt;sup&gt;27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27</w:t>
            </w:r>
            <w:r w:rsidRPr="00E547AD">
              <w:rPr>
                <w:color w:val="0070C0"/>
                <w:sz w:val="22"/>
              </w:rPr>
              <w:fldChar w:fldCharType="end"/>
            </w:r>
          </w:p>
        </w:tc>
      </w:tr>
      <w:tr w:rsidR="002D64E5" w:rsidRPr="00E547AD" w14:paraId="1044946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469B83"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2BC8BAF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Australia</w:t>
            </w:r>
          </w:p>
        </w:tc>
        <w:tc>
          <w:tcPr>
            <w:tcW w:w="0" w:type="auto"/>
          </w:tcPr>
          <w:p w14:paraId="4EBAA14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2006</w:t>
            </w:r>
          </w:p>
        </w:tc>
        <w:tc>
          <w:tcPr>
            <w:tcW w:w="0" w:type="auto"/>
          </w:tcPr>
          <w:p w14:paraId="68C9F60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Burdekin</w:t>
            </w:r>
          </w:p>
        </w:tc>
        <w:tc>
          <w:tcPr>
            <w:tcW w:w="0" w:type="auto"/>
          </w:tcPr>
          <w:p w14:paraId="26F1926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rFonts w:eastAsia="等线"/>
                <w:sz w:val="22"/>
              </w:rPr>
              <w:t>(na-1648)</w:t>
            </w:r>
          </w:p>
        </w:tc>
        <w:tc>
          <w:tcPr>
            <w:tcW w:w="0" w:type="auto"/>
          </w:tcPr>
          <w:p w14:paraId="1C8AB4BE" w14:textId="52FB83A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{"citationItems":[{"id":"ITEM-1","itemData":{"DOI":"10.1016/j.marpolbul.2011.08.025","ISSN":"0025326X","PMID":"21937063","abstract":"This study examined the temporal variability in herbicide delivery to the Great Barrier Reef (GBR) lagoon (Australia) from one of the GBR catchment's major sugarcane growing regions. Annual loads of measured herbicides were consistently in the order of 200+. kg. Atrazine, it's degradate desethylatrazine, and diuron contributed approximately 90% of annual herbicide load, with early 'first-flush' events accounting for the majority of herbicide loads leaving the catchment. Assessment of herbicide water-sediment partitioning in flood runoff highlighted the majority of herbicides were transported in predominantly dissolved form, although a considerable fraction of diuron was transported in particulate-bound form (ca. 33%). Diuron was also the herbicide demonstrating the highest concentrations and frequency of detection in sediments collected from catchment waterways and adjacent estuarine-marine environments, an outcome aligning with previous research. Herbicide physico-chemical properties appear to play a crucial role in partitioning between water column and sediment habitat types in GBR receiving ecosystems. </w:instrText>
            </w:r>
            <w:r w:rsidR="00694227">
              <w:rPr>
                <w:rFonts w:hint="eastAsia"/>
                <w:color w:val="0070C0"/>
                <w:sz w:val="22"/>
              </w:rPr>
              <w:instrText>©</w:instrText>
            </w:r>
            <w:r w:rsidR="00694227">
              <w:rPr>
                <w:color w:val="0070C0"/>
                <w:sz w:val="22"/>
              </w:rPr>
              <w:instrText xml:space="preserve"> 2011 Elsevier Ltd.","author":[{"dropping-particle":"","family":"Davis","given":"Aaron M.","non-dropping-particle":"","parse-names":false,"suffix":""},{"dropping-particle":"","family":"Lewis","given":"Stephen E.","non-dropping-particle":"","parse-names":false,"suffix":""},{"dropping-particle":"","family":"Bainbridge","given":"Zoë T.","non-dropping-particle":"","parse-names":false,"suffix":""},{"dropping-particle":"","family":"Glendenning","given":"Lionel","non-dropping-particle":"","parse-names":false,"suffix":""},{"dropping-particle":"","family":"Turner","given":"Ryan D.R.","non-dropping-particle":"","parse-names":false,"suffix":""},{"dropping-particle":"","family":"Brodie","given":"Jon E.","non-dropping-particle":"","parse-names":false,"suffix":""}],"c</w:instrText>
            </w:r>
            <w:r w:rsidR="00694227">
              <w:rPr>
                <w:rFonts w:hint="eastAsia"/>
                <w:color w:val="0070C0"/>
                <w:sz w:val="22"/>
              </w:rPr>
              <w:instrText>ontainer-title":"Marine Pollution Bulletin","id":"ITEM-1","issue":"4-9","issued":{"date-parts":[["2012"]]},"note":"</w:instrText>
            </w:r>
            <w:r w:rsidR="00694227">
              <w:rPr>
                <w:rFonts w:hint="eastAsia"/>
                <w:color w:val="0070C0"/>
                <w:sz w:val="22"/>
              </w:rPr>
              <w:instrText>澳大利亚大堡礁流域的除草剂浓度包括阿特拉津，阿特拉津和狄龙占除草剂年度负荷的</w:instrText>
            </w:r>
            <w:r w:rsidR="00694227">
              <w:rPr>
                <w:rFonts w:hint="eastAsia"/>
                <w:color w:val="0070C0"/>
                <w:sz w:val="22"/>
              </w:rPr>
              <w:instrText>90%</w:instrText>
            </w:r>
            <w:r w:rsidR="00694227">
              <w:rPr>
                <w:rFonts w:hint="eastAsia"/>
                <w:color w:val="0070C0"/>
                <w:sz w:val="22"/>
              </w:rPr>
              <w:instrText>。</w:instrText>
            </w:r>
            <w:r w:rsidR="00694227">
              <w:rPr>
                <w:rFonts w:hint="eastAsia"/>
                <w:color w:val="0070C0"/>
                <w:sz w:val="22"/>
              </w:rPr>
              <w:instrText>","page":"182-193","publisher":"Elsevier Ltd","title":"Dynamics of herbicide transport and partiti</w:instrText>
            </w:r>
            <w:r w:rsidR="00694227">
              <w:rPr>
                <w:color w:val="0070C0"/>
                <w:sz w:val="22"/>
              </w:rPr>
              <w:instrText>oning under event flow conditions in the lower Burdekin region, Australia","type":"article-journal","volume":"65"},"uris":["http://www.mendeley.com/documents/?uuid=a8091517-23e5-44c1-8a53-4a1ce887e200"]}],"mendeley":{"formattedCitation":"&lt;sup&gt;37&lt;/sup&gt;","plainTextFormattedCitation":"37","previouslyFormattedCitation":"&lt;sup&gt;37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37</w:t>
            </w:r>
            <w:r w:rsidRPr="00E547AD">
              <w:rPr>
                <w:color w:val="0070C0"/>
                <w:sz w:val="22"/>
              </w:rPr>
              <w:fldChar w:fldCharType="end"/>
            </w:r>
          </w:p>
        </w:tc>
      </w:tr>
      <w:tr w:rsidR="005E13E8" w:rsidRPr="00E547AD" w14:paraId="459D11C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1FDC973"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702603B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Australia</w:t>
            </w:r>
          </w:p>
        </w:tc>
        <w:tc>
          <w:tcPr>
            <w:tcW w:w="0" w:type="auto"/>
          </w:tcPr>
          <w:p w14:paraId="7D6858A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2007</w:t>
            </w:r>
          </w:p>
        </w:tc>
        <w:tc>
          <w:tcPr>
            <w:tcW w:w="0" w:type="auto"/>
          </w:tcPr>
          <w:p w14:paraId="271D866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Burdekin</w:t>
            </w:r>
          </w:p>
        </w:tc>
        <w:tc>
          <w:tcPr>
            <w:tcW w:w="0" w:type="auto"/>
          </w:tcPr>
          <w:p w14:paraId="32B952B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rFonts w:eastAsia="等线"/>
                <w:sz w:val="22"/>
              </w:rPr>
              <w:t>(na-3838)</w:t>
            </w:r>
          </w:p>
        </w:tc>
        <w:tc>
          <w:tcPr>
            <w:tcW w:w="0" w:type="auto"/>
          </w:tcPr>
          <w:p w14:paraId="0AA70CA7" w14:textId="66808D8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{"citationItems":[{"id":"ITEM-1","itemData":{"DOI":"10.1016/j.marpolbul.2011.08.025","ISSN":"0025326X","PMID":"21937063","abstract":"This study examined the temporal variability in herbicide delivery to the Great Barrier Reef (GBR) lagoon (Australia) from one of the GBR catchment's major sugarcane growing regions. Annual loads of measured herbicides were consistently in the order of 200+. kg. Atrazine, it's degradate desethylatrazine, and diuron contributed approximately 90% of annual herbicide load, with early 'first-flush' events accounting for the majority of herbicide loads leaving the catchment. Assessment of herbicide water-sediment partitioning in flood runoff highlighted the majority of herbicides were transported in predominantly dissolved form, although a considerable fraction of diuron was transported in particulate-bound form (ca. 33%). Diuron was also the herbicide demonstrating the highest concentrations and frequency of detection in sediments collected from catchment waterways and adjacent estuarine-marine environments, an outcome aligning with previous research. Herbicide physico-chemical properties appear to play a crucial role in partitioning between water column and sediment habitat types in GBR receiving ecosystems. </w:instrText>
            </w:r>
            <w:r w:rsidR="00694227">
              <w:rPr>
                <w:rFonts w:hint="eastAsia"/>
                <w:color w:val="0070C0"/>
                <w:sz w:val="22"/>
              </w:rPr>
              <w:instrText>©</w:instrText>
            </w:r>
            <w:r w:rsidR="00694227">
              <w:rPr>
                <w:color w:val="0070C0"/>
                <w:sz w:val="22"/>
              </w:rPr>
              <w:instrText xml:space="preserve"> 2011 Elsevier Ltd.","author":[{"dropping-particle":"","family":"Davis","given":"Aaron M.","non-dropping-particle":"","parse-names":false,"suffix":""},{"dropping-particle":"","family":"Lewis","given":"Stephen E.","non-dropping-particle":"","parse-names":false,"suffix":""},{"dropping-particle":"","family":"Bainbridge","given":"Zoë T.","non-dropping-particle":"","parse-names":false,"suffix":""},{"dropping-particle":"","family":"Glendenning","given":"Lionel","non-dropping-particle":"","parse-names":false,"suffix":""},{"dropping-particle":"","family":"Turner","given":"Ryan D.R.","non-dropping-particle":"","parse-names":false,"suffix":""},{"dropping-particle":"","family":"Brodie","given":"Jon E.","non-dropping-particle":"","parse-names":false,"suffix":""}],"c</w:instrText>
            </w:r>
            <w:r w:rsidR="00694227">
              <w:rPr>
                <w:rFonts w:hint="eastAsia"/>
                <w:color w:val="0070C0"/>
                <w:sz w:val="22"/>
              </w:rPr>
              <w:instrText>ontainer-title":"Marine Pollution Bulletin","id":"ITEM-1","issue":"4-9","issued":{"date-parts":[["2012"]]},"note":"</w:instrText>
            </w:r>
            <w:r w:rsidR="00694227">
              <w:rPr>
                <w:rFonts w:hint="eastAsia"/>
                <w:color w:val="0070C0"/>
                <w:sz w:val="22"/>
              </w:rPr>
              <w:instrText>澳大利亚大堡礁流域的除草剂浓度包括阿特拉津，阿特拉津和狄龙占除草剂年度负荷的</w:instrText>
            </w:r>
            <w:r w:rsidR="00694227">
              <w:rPr>
                <w:rFonts w:hint="eastAsia"/>
                <w:color w:val="0070C0"/>
                <w:sz w:val="22"/>
              </w:rPr>
              <w:instrText>90%</w:instrText>
            </w:r>
            <w:r w:rsidR="00694227">
              <w:rPr>
                <w:rFonts w:hint="eastAsia"/>
                <w:color w:val="0070C0"/>
                <w:sz w:val="22"/>
              </w:rPr>
              <w:instrText>。</w:instrText>
            </w:r>
            <w:r w:rsidR="00694227">
              <w:rPr>
                <w:rFonts w:hint="eastAsia"/>
                <w:color w:val="0070C0"/>
                <w:sz w:val="22"/>
              </w:rPr>
              <w:instrText>","page":"182-193","publisher":"Elsevier Ltd","title":"Dynamics of herbicide transport and partiti</w:instrText>
            </w:r>
            <w:r w:rsidR="00694227">
              <w:rPr>
                <w:color w:val="0070C0"/>
                <w:sz w:val="22"/>
              </w:rPr>
              <w:instrText>oning under event flow conditions in the lower Burdekin region, Australia","type":"article-journal","volume":"65"},"uris":["http://www.mendeley.com/documents/?uuid=a8091517-23e5-44c1-8a53-4a1ce887e200"]}],"mendeley":{"formattedCitation":"&lt;sup&gt;37&lt;/sup&gt;","plainTextFormattedCitation":"37","previouslyFormattedCitation":"&lt;sup&gt;37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37</w:t>
            </w:r>
            <w:r w:rsidRPr="00E547AD">
              <w:rPr>
                <w:color w:val="0070C0"/>
                <w:sz w:val="22"/>
              </w:rPr>
              <w:fldChar w:fldCharType="end"/>
            </w:r>
          </w:p>
        </w:tc>
      </w:tr>
      <w:tr w:rsidR="002D64E5" w:rsidRPr="00E547AD" w14:paraId="079B3BE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C0A29D"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3A2B434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Australia</w:t>
            </w:r>
          </w:p>
        </w:tc>
        <w:tc>
          <w:tcPr>
            <w:tcW w:w="0" w:type="auto"/>
          </w:tcPr>
          <w:p w14:paraId="28C0669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2008</w:t>
            </w:r>
          </w:p>
        </w:tc>
        <w:tc>
          <w:tcPr>
            <w:tcW w:w="0" w:type="auto"/>
          </w:tcPr>
          <w:p w14:paraId="782B7A8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Burdekin</w:t>
            </w:r>
          </w:p>
        </w:tc>
        <w:tc>
          <w:tcPr>
            <w:tcW w:w="0" w:type="auto"/>
          </w:tcPr>
          <w:p w14:paraId="370778B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rFonts w:eastAsia="等线"/>
                <w:sz w:val="22"/>
              </w:rPr>
              <w:t>(na-8750)</w:t>
            </w:r>
          </w:p>
        </w:tc>
        <w:tc>
          <w:tcPr>
            <w:tcW w:w="0" w:type="auto"/>
          </w:tcPr>
          <w:p w14:paraId="34ADB8E7" w14:textId="7D1B50D1"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{"citationItems":[{"id":"ITEM-1","itemData":{"DOI":"10.1016/j.marpolbul.2011.08.025","ISSN":"0025326X","PMID":"21937063","abstract":"This study examined the temporal variability in herbicide delivery to the Great Barrier Reef (GBR) lagoon (Australia) from one of the GBR catchment's major sugarcane growing regions. Annual loads of measured herbicides were consistently in the order of 200+. kg. Atrazine, it's degradate desethylatrazine, and diuron contributed approximately 90% of annual herbicide load, with early 'first-flush' events accounting for the majority of herbicide loads leaving the catchment. Assessment of herbicide water-sediment partitioning in flood runoff highlighted the majority of herbicides were transported in predominantly dissolved form, although a considerable fraction of diuron was transported in particulate-bound form (ca. 33%). Diuron was also the herbicide demonstrating the highest concentrations and frequency of detection in sediments collected from catchment waterways and adjacent estuarine-marine environments, an outcome aligning with previous research. Herbicide physico-chemical properties appear to play a crucial role in partitioning between water column and sediment habitat types in GBR receiving ecosystems. </w:instrText>
            </w:r>
            <w:r w:rsidR="00694227">
              <w:rPr>
                <w:rFonts w:hint="eastAsia"/>
                <w:color w:val="0070C0"/>
                <w:sz w:val="22"/>
              </w:rPr>
              <w:instrText>©</w:instrText>
            </w:r>
            <w:r w:rsidR="00694227">
              <w:rPr>
                <w:color w:val="0070C0"/>
                <w:sz w:val="22"/>
              </w:rPr>
              <w:instrText xml:space="preserve"> 2011 Elsevier Ltd.","author":[{"dropping-particle":"","family":"Davis","given":"Aaron M.","non-dropping-particle":"","parse-names":false,"suffix":""},{"dropping-particle":"","family":"Lewis","given":"Stephen E.","non-dropping-particle":"","parse-names":false,"suffix":""},{"dropping-particle":"","family":"Bainbridge","given":"Zoë T.","non-dropping-particle":"","parse-names":false,"suffix":""},{"dropping-particle":"","family":"Glendenning","given":"Lionel","non-dropping-particle":"","parse-names":false,"suffix":""},{"dropping-particle":"","family":"Turner","given":"Ryan D.R.","non-dropping-particle":"","parse-names":false,"suffix":""},{"dropping-particle":"","family":"Brodie","given":"Jon E.","non-dropping-particle":"","parse-names":false,"suffix":""}],"c</w:instrText>
            </w:r>
            <w:r w:rsidR="00694227">
              <w:rPr>
                <w:rFonts w:hint="eastAsia"/>
                <w:color w:val="0070C0"/>
                <w:sz w:val="22"/>
              </w:rPr>
              <w:instrText>ontainer-title":"Marine Pollution Bulletin","id":"ITEM-1","issue":"4-9","issued":{"date-parts":[["2012"]]},"note":"</w:instrText>
            </w:r>
            <w:r w:rsidR="00694227">
              <w:rPr>
                <w:rFonts w:hint="eastAsia"/>
                <w:color w:val="0070C0"/>
                <w:sz w:val="22"/>
              </w:rPr>
              <w:instrText>澳大利亚大堡礁流域的除草剂浓度包括阿特拉津，阿特拉津和狄龙占除草剂年度负荷的</w:instrText>
            </w:r>
            <w:r w:rsidR="00694227">
              <w:rPr>
                <w:rFonts w:hint="eastAsia"/>
                <w:color w:val="0070C0"/>
                <w:sz w:val="22"/>
              </w:rPr>
              <w:instrText>90%</w:instrText>
            </w:r>
            <w:r w:rsidR="00694227">
              <w:rPr>
                <w:rFonts w:hint="eastAsia"/>
                <w:color w:val="0070C0"/>
                <w:sz w:val="22"/>
              </w:rPr>
              <w:instrText>。</w:instrText>
            </w:r>
            <w:r w:rsidR="00694227">
              <w:rPr>
                <w:rFonts w:hint="eastAsia"/>
                <w:color w:val="0070C0"/>
                <w:sz w:val="22"/>
              </w:rPr>
              <w:instrText>","page":"182-193","publisher":"Elsevier Ltd","title":"Dynamics of herbicide transport and partiti</w:instrText>
            </w:r>
            <w:r w:rsidR="00694227">
              <w:rPr>
                <w:color w:val="0070C0"/>
                <w:sz w:val="22"/>
              </w:rPr>
              <w:instrText>oning under event flow conditions in the lower Burdekin region, Australia","type":"article-journal","volume":"65"},"uris":["http://www.mendeley.com/documents/?uuid=a8091517-23e5-44c1-8a53-4a1ce887e200"]}],"mendeley":{"formattedCitation":"&lt;sup&gt;37&lt;/sup&gt;","plainTextFormattedCitation":"37","previouslyFormattedCitation":"&lt;sup&gt;37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37</w:t>
            </w:r>
            <w:r w:rsidRPr="00E547AD">
              <w:rPr>
                <w:color w:val="0070C0"/>
                <w:sz w:val="22"/>
              </w:rPr>
              <w:fldChar w:fldCharType="end"/>
            </w:r>
          </w:p>
        </w:tc>
      </w:tr>
      <w:tr w:rsidR="005E13E8" w:rsidRPr="00E547AD" w14:paraId="271375A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955D96B" w14:textId="77777777" w:rsidR="005E13E8" w:rsidRPr="00E547AD" w:rsidRDefault="005E13E8" w:rsidP="002D64E5">
            <w:pPr>
              <w:rPr>
                <w:color w:val="000000"/>
                <w:sz w:val="22"/>
              </w:rPr>
            </w:pPr>
            <w:r w:rsidRPr="00E547AD">
              <w:rPr>
                <w:rFonts w:eastAsia="等线"/>
                <w:color w:val="000000"/>
                <w:sz w:val="22"/>
              </w:rPr>
              <w:lastRenderedPageBreak/>
              <w:t>Asia Pacific</w:t>
            </w:r>
          </w:p>
        </w:tc>
        <w:tc>
          <w:tcPr>
            <w:tcW w:w="0" w:type="auto"/>
          </w:tcPr>
          <w:p w14:paraId="1D82C92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Australia</w:t>
            </w:r>
          </w:p>
        </w:tc>
        <w:tc>
          <w:tcPr>
            <w:tcW w:w="0" w:type="auto"/>
          </w:tcPr>
          <w:p w14:paraId="3D6C54A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2009</w:t>
            </w:r>
          </w:p>
        </w:tc>
        <w:tc>
          <w:tcPr>
            <w:tcW w:w="0" w:type="auto"/>
          </w:tcPr>
          <w:p w14:paraId="7FF8894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Burdekin</w:t>
            </w:r>
          </w:p>
        </w:tc>
        <w:tc>
          <w:tcPr>
            <w:tcW w:w="0" w:type="auto"/>
          </w:tcPr>
          <w:p w14:paraId="7CB8016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rFonts w:eastAsia="等线"/>
                <w:sz w:val="22"/>
              </w:rPr>
              <w:t>(na-11066)</w:t>
            </w:r>
          </w:p>
        </w:tc>
        <w:tc>
          <w:tcPr>
            <w:tcW w:w="0" w:type="auto"/>
          </w:tcPr>
          <w:p w14:paraId="3A1A8956" w14:textId="66120DFA"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{"citationItems":[{"id":"ITEM-1","itemData":{"DOI":"10.1016/j.marpolbul.2011.08.025","ISSN":"0025326X","PMID":"21937063","abstract":"This study examined the temporal variability in herbicide delivery to the Great Barrier Reef (GBR) lagoon (Australia) from one of the GBR catchment's major sugarcane growing regions. Annual loads of measured herbicides were consistently in the order of 200+. kg. Atrazine, it's degradate desethylatrazine, and diuron contributed approximately 90% of annual herbicide load, with early 'first-flush' events accounting for the majority of herbicide loads leaving the catchment. Assessment of herbicide water-sediment partitioning in flood runoff highlighted the majority of herbicides were transported in predominantly dissolved form, although a considerable fraction of diuron was transported in particulate-bound form (ca. 33%). Diuron was also the herbicide demonstrating the highest concentrations and frequency of detection in sediments collected from catchment waterways and adjacent estuarine-marine environments, an outcome aligning with previous research. Herbicide physico-chemical properties appear to play a crucial role in partitioning between water column and sediment habitat types in GBR receiving ecosystems. </w:instrText>
            </w:r>
            <w:r w:rsidR="00694227">
              <w:rPr>
                <w:rFonts w:hint="eastAsia"/>
                <w:color w:val="0070C0"/>
                <w:sz w:val="22"/>
              </w:rPr>
              <w:instrText>©</w:instrText>
            </w:r>
            <w:r w:rsidR="00694227">
              <w:rPr>
                <w:color w:val="0070C0"/>
                <w:sz w:val="22"/>
              </w:rPr>
              <w:instrText xml:space="preserve"> 2011 Elsevier Ltd.","author":[{"dropping-particle":"","family":"Davis","given":"Aaron M.","non-dropping-particle":"","parse-names":false,"suffix":""},{"dropping-particle":"","family":"Lewis","given":"Stephen E.","non-dropping-particle":"","parse-names":false,"suffix":""},{"dropping-particle":"","family":"Bainbridge","given":"Zoë T.","non-dropping-particle":"","parse-names":false,"suffix":""},{"dropping-particle":"","family":"Glendenning","given":"Lionel","non-dropping-particle":"","parse-names":false,"suffix":""},{"dropping-particle":"","family":"Turner","given":"Ryan D.R.","non-dropping-particle":"","parse-names":false,"suffix":""},{"dropping-particle":"","family":"Brodie","given":"Jon E.","non-dropping-particle":"","parse-names":false,"suffix":""}],"c</w:instrText>
            </w:r>
            <w:r w:rsidR="00694227">
              <w:rPr>
                <w:rFonts w:hint="eastAsia"/>
                <w:color w:val="0070C0"/>
                <w:sz w:val="22"/>
              </w:rPr>
              <w:instrText>ontainer-title":"Marine Pollution Bulletin","id":"ITEM-1","issue":"4-9","issued":{"date-parts":[["2012"]]},"note":"</w:instrText>
            </w:r>
            <w:r w:rsidR="00694227">
              <w:rPr>
                <w:rFonts w:hint="eastAsia"/>
                <w:color w:val="0070C0"/>
                <w:sz w:val="22"/>
              </w:rPr>
              <w:instrText>澳大利亚大堡礁流域的除草剂浓度包括阿特拉津，阿特拉津和狄龙占除草剂年度负荷的</w:instrText>
            </w:r>
            <w:r w:rsidR="00694227">
              <w:rPr>
                <w:rFonts w:hint="eastAsia"/>
                <w:color w:val="0070C0"/>
                <w:sz w:val="22"/>
              </w:rPr>
              <w:instrText>90%</w:instrText>
            </w:r>
            <w:r w:rsidR="00694227">
              <w:rPr>
                <w:rFonts w:hint="eastAsia"/>
                <w:color w:val="0070C0"/>
                <w:sz w:val="22"/>
              </w:rPr>
              <w:instrText>。</w:instrText>
            </w:r>
            <w:r w:rsidR="00694227">
              <w:rPr>
                <w:rFonts w:hint="eastAsia"/>
                <w:color w:val="0070C0"/>
                <w:sz w:val="22"/>
              </w:rPr>
              <w:instrText>","page":"182-193","publisher":"Elsevier Ltd","title":"Dynamics of herbicide transport and partiti</w:instrText>
            </w:r>
            <w:r w:rsidR="00694227">
              <w:rPr>
                <w:color w:val="0070C0"/>
                <w:sz w:val="22"/>
              </w:rPr>
              <w:instrText>oning under event flow conditions in the lower Burdekin region, Australia","type":"article-journal","volume":"65"},"uris":["http://www.mendeley.com/documents/?uuid=a8091517-23e5-44c1-8a53-4a1ce887e200"]}],"mendeley":{"formattedCitation":"&lt;sup&gt;37&lt;/sup&gt;","plainTextFormattedCitation":"37","previouslyFormattedCitation":"&lt;sup&gt;37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37</w:t>
            </w:r>
            <w:r w:rsidRPr="00E547AD">
              <w:rPr>
                <w:color w:val="0070C0"/>
                <w:sz w:val="22"/>
              </w:rPr>
              <w:fldChar w:fldCharType="end"/>
            </w:r>
          </w:p>
        </w:tc>
      </w:tr>
      <w:tr w:rsidR="002D64E5" w:rsidRPr="00E547AD" w14:paraId="4F0432E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09506C5"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6031868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Australia</w:t>
            </w:r>
          </w:p>
        </w:tc>
        <w:tc>
          <w:tcPr>
            <w:tcW w:w="0" w:type="auto"/>
          </w:tcPr>
          <w:p w14:paraId="67022C5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2005</w:t>
            </w:r>
          </w:p>
        </w:tc>
        <w:tc>
          <w:tcPr>
            <w:tcW w:w="0" w:type="auto"/>
          </w:tcPr>
          <w:p w14:paraId="596C4D9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Burdekin</w:t>
            </w:r>
          </w:p>
        </w:tc>
        <w:tc>
          <w:tcPr>
            <w:tcW w:w="0" w:type="auto"/>
          </w:tcPr>
          <w:p w14:paraId="2AE96BF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(na-3925)</w:t>
            </w:r>
          </w:p>
        </w:tc>
        <w:tc>
          <w:tcPr>
            <w:tcW w:w="0" w:type="auto"/>
          </w:tcPr>
          <w:p w14:paraId="57E032A8" w14:textId="5A584562"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{"citationItems":[{"id":"ITEM-1","itemData":{"DOI":"10.1016/j.marpolbul.2011.08.025","ISSN":"0025326X","PMID":"21937063","abstract":"This study examined the temporal variability in herbicide delivery to the Great Barrier Reef (GBR) lagoon (Australia) from one of the GBR catchment's major sugarcane growing regions. Annual loads of measured herbicides were consistently in the order of 200+. kg. Atrazine, it's degradate desethylatrazine, and diuron contributed approximately 90% of annual herbicide load, with early 'first-flush' events accounting for the majority of herbicide loads leaving the catchment. Assessment of herbicide water-sediment partitioning in flood runoff highlighted the majority of herbicides were transported in predominantly dissolved form, although a considerable fraction of diuron was transported in particulate-bound form (ca. 33%). Diuron was also the herbicide demonstrating the highest concentrations and frequency of detection in sediments collected from catchment waterways and adjacent estuarine-marine environments, an outcome aligning with previous research. Herbicide physico-chemical properties appear to play a crucial role in partitioning between water column and sediment habitat types in GBR receiving ecosystems. </w:instrText>
            </w:r>
            <w:r w:rsidR="00694227">
              <w:rPr>
                <w:rFonts w:hint="eastAsia"/>
                <w:color w:val="0070C0"/>
                <w:sz w:val="22"/>
              </w:rPr>
              <w:instrText>©</w:instrText>
            </w:r>
            <w:r w:rsidR="00694227">
              <w:rPr>
                <w:color w:val="0070C0"/>
                <w:sz w:val="22"/>
              </w:rPr>
              <w:instrText xml:space="preserve"> 2011 Elsevier Ltd.","author":[{"dropping-particle":"","family":"Davis","given":"Aaron M.","non-dropping-particle":"","parse-names":false,"suffix":""},{"dropping-particle":"","family":"Lewis","given":"Stephen E.","non-dropping-particle":"","parse-names":false,"suffix":""},{"dropping-particle":"","family":"Bainbridge","given":"Zoë T.","non-dropping-particle":"","parse-names":false,"suffix":""},{"dropping-particle":"","family":"Glendenning","given":"Lionel","non-dropping-particle":"","parse-names":false,"suffix":""},{"dropping-particle":"","family":"Turner","given":"Ryan D.R.","non-dropping-particle":"","parse-names":false,"suffix":""},{"dropping-particle":"","family":"Brodie","given":"Jon E.","non-dropping-particle":"","parse-names":false,"suffix":""}],"c</w:instrText>
            </w:r>
            <w:r w:rsidR="00694227">
              <w:rPr>
                <w:rFonts w:hint="eastAsia"/>
                <w:color w:val="0070C0"/>
                <w:sz w:val="22"/>
              </w:rPr>
              <w:instrText>ontainer-title":"Marine Pollution Bulletin","id":"ITEM-1","issue":"4-9","issued":{"date-parts":[["2012"]]},"note":"</w:instrText>
            </w:r>
            <w:r w:rsidR="00694227">
              <w:rPr>
                <w:rFonts w:hint="eastAsia"/>
                <w:color w:val="0070C0"/>
                <w:sz w:val="22"/>
              </w:rPr>
              <w:instrText>澳大利亚大堡礁流域的除草剂浓度包括阿特拉津，阿特拉津和狄龙占除草剂年度负荷的</w:instrText>
            </w:r>
            <w:r w:rsidR="00694227">
              <w:rPr>
                <w:rFonts w:hint="eastAsia"/>
                <w:color w:val="0070C0"/>
                <w:sz w:val="22"/>
              </w:rPr>
              <w:instrText>90%</w:instrText>
            </w:r>
            <w:r w:rsidR="00694227">
              <w:rPr>
                <w:rFonts w:hint="eastAsia"/>
                <w:color w:val="0070C0"/>
                <w:sz w:val="22"/>
              </w:rPr>
              <w:instrText>。</w:instrText>
            </w:r>
            <w:r w:rsidR="00694227">
              <w:rPr>
                <w:rFonts w:hint="eastAsia"/>
                <w:color w:val="0070C0"/>
                <w:sz w:val="22"/>
              </w:rPr>
              <w:instrText>","page":"182-193","publisher":"Elsevier Ltd","title":"Dynamics of herbicide transport and partiti</w:instrText>
            </w:r>
            <w:r w:rsidR="00694227">
              <w:rPr>
                <w:color w:val="0070C0"/>
                <w:sz w:val="22"/>
              </w:rPr>
              <w:instrText>oning under event flow conditions in the lower Burdekin region, Australia","type":"article-journal","volume":"65"},"uris":["http://www.mendeley.com/documents/?uuid=a8091517-23e5-44c1-8a53-4a1ce887e200"]}],"mendeley":{"formattedCitation":"&lt;sup&gt;37&lt;/sup&gt;","plainTextFormattedCitation":"37","previouslyFormattedCitation":"&lt;sup&gt;37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37</w:t>
            </w:r>
            <w:r w:rsidRPr="00E547AD">
              <w:rPr>
                <w:color w:val="0070C0"/>
                <w:sz w:val="22"/>
              </w:rPr>
              <w:fldChar w:fldCharType="end"/>
            </w:r>
          </w:p>
        </w:tc>
      </w:tr>
      <w:tr w:rsidR="005E13E8" w:rsidRPr="00E547AD" w14:paraId="1C6A905D"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F214930" w14:textId="77777777" w:rsidR="005E13E8" w:rsidRPr="00E547AD" w:rsidRDefault="005E13E8" w:rsidP="002D64E5">
            <w:pPr>
              <w:rPr>
                <w:color w:val="000000"/>
                <w:sz w:val="22"/>
              </w:rPr>
            </w:pPr>
            <w:r w:rsidRPr="00E547AD">
              <w:rPr>
                <w:rFonts w:eastAsia="等线"/>
                <w:color w:val="000000"/>
                <w:sz w:val="22"/>
              </w:rPr>
              <w:t>Asia Pacific</w:t>
            </w:r>
          </w:p>
        </w:tc>
        <w:tc>
          <w:tcPr>
            <w:tcW w:w="0" w:type="auto"/>
          </w:tcPr>
          <w:p w14:paraId="6B01BA0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Australia</w:t>
            </w:r>
          </w:p>
        </w:tc>
        <w:tc>
          <w:tcPr>
            <w:tcW w:w="0" w:type="auto"/>
          </w:tcPr>
          <w:p w14:paraId="3C49DD6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2010</w:t>
            </w:r>
          </w:p>
        </w:tc>
        <w:tc>
          <w:tcPr>
            <w:tcW w:w="0" w:type="auto"/>
          </w:tcPr>
          <w:p w14:paraId="78C0A4C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Great Barrier Reef</w:t>
            </w:r>
          </w:p>
        </w:tc>
        <w:tc>
          <w:tcPr>
            <w:tcW w:w="0" w:type="auto"/>
          </w:tcPr>
          <w:p w14:paraId="117EE5C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965.5</w:t>
            </w:r>
          </w:p>
          <w:p w14:paraId="4C42AC3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(20-12580)</w:t>
            </w:r>
          </w:p>
        </w:tc>
        <w:tc>
          <w:tcPr>
            <w:tcW w:w="0" w:type="auto"/>
          </w:tcPr>
          <w:p w14:paraId="34D64D91" w14:textId="6F352E4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{"citationItems":[{"id":"ITEM-1","itemData":{"DOI":"10.1016/j.marpolbul.2011.08.010","ISSN":"0025326X","PMID":"21920563","abstract":"The transport and potential toxicity of pesticides in Queensland (QLD) catchments from agricultural areas is a key concern for the Great Barrier Reef (GBR). In 2009, a pesticide monitoring program was established as part of the Australian and QLD Governments' Reef Plan (2009). Samples were collected at eight End of System sites (above the tidal zone) and three sub-catchment sites. At least two pesticides were detected at every site including insecticides, fungicides, herbicides, and the Reef Plan's (2009) five priority photosystem II (PSII) herbicides (diuron, atrazine, hexazinone, tebuthiuron and ametryn). Diuron, atrazine and metolachlor exceeded Australian and New Zealand water quality guideline trigger values (TVs) at eight sites. Accounting for PSII herbicide mixtures increased the estimated toxicity and led to larger exceedances of the TVs at more sites. This study demonstrates the widespread contamination of pesticides, particularly PSII herbicides, across the GBR catchment area which discharges to the GBR. © 2011.","author":[{"dropping-particle":"","family":"Smith","given":"Rachael","non-dropping-particle":"","parse-names":false,"suffix":""},{"dropping-particle":"","family":"Middlebrook","given":"Rachael","non-dropping-particle":"","parse-names":false,"suffix":""},{"dropping-particle":"","family":"Turner","given":"Ryan","non-dropping-particle":"","parse-names":false,"suffix":""},{"dropping-particle":"","family":"Huggins","given":"Rae","non-dropping-particle":"","parse-names":false,"suffix":""},{"dropping-particle":"","family":"Vardy","given":"Suzanne","non-dropping-particle":"","parse-names":false,"suffix":""},{"dropping-particle":"","family":"Warne","given":"Michael","non-dropping-particle":"","parse-names":false,"suffix":""}],"container-title":"Marine Pollution Bulletin","id":"ITEM-1","issue":"4-9","issued":{"date-parts":[["2012"]]},"page":"117-127","publisher":"Elsevier Ltd","title":"Large-scale pesticide monitoring across Great Barrier Reef catchments - Paddock to Reef Integrated Monitoring, Modelling and Reporting Program","type":"article-journal","volume":"65"},"uris":["http://www.mendeley.com/documents/?uuid=ebb7e056-d156-44e0-b708-47c93c6b2105"]}],"mendeley":{"formattedCitation":"&lt;sup&gt;38&lt;/sup&gt;","plainTextFormattedCitation":"38","previouslyFormattedCitation":"&lt;sup&gt;38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38</w:t>
            </w:r>
            <w:r w:rsidRPr="00E547AD">
              <w:rPr>
                <w:color w:val="0070C0"/>
                <w:sz w:val="22"/>
              </w:rPr>
              <w:fldChar w:fldCharType="end"/>
            </w:r>
          </w:p>
        </w:tc>
      </w:tr>
      <w:tr w:rsidR="002D64E5" w:rsidRPr="00E547AD" w14:paraId="06275D2D"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F310DB6" w14:textId="77777777" w:rsidR="005E13E8" w:rsidRPr="00E547AD" w:rsidRDefault="005E13E8" w:rsidP="002D64E5">
            <w:pPr>
              <w:rPr>
                <w:color w:val="000000"/>
                <w:sz w:val="22"/>
              </w:rPr>
            </w:pPr>
            <w:r w:rsidRPr="00E547AD">
              <w:rPr>
                <w:rFonts w:eastAsia="等线"/>
                <w:color w:val="000000"/>
                <w:sz w:val="22"/>
              </w:rPr>
              <w:t>South Asia</w:t>
            </w:r>
          </w:p>
        </w:tc>
        <w:tc>
          <w:tcPr>
            <w:tcW w:w="0" w:type="auto"/>
          </w:tcPr>
          <w:p w14:paraId="57E7D55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India</w:t>
            </w:r>
          </w:p>
        </w:tc>
        <w:tc>
          <w:tcPr>
            <w:tcW w:w="0" w:type="auto"/>
          </w:tcPr>
          <w:p w14:paraId="73F106E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2017</w:t>
            </w:r>
          </w:p>
        </w:tc>
        <w:tc>
          <w:tcPr>
            <w:tcW w:w="0" w:type="auto"/>
          </w:tcPr>
          <w:p w14:paraId="00A1EB7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India</w:t>
            </w:r>
          </w:p>
        </w:tc>
        <w:tc>
          <w:tcPr>
            <w:tcW w:w="0" w:type="auto"/>
          </w:tcPr>
          <w:p w14:paraId="5ED3D6B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52</w:t>
            </w:r>
          </w:p>
          <w:p w14:paraId="7FE17FE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(10-90)</w:t>
            </w:r>
          </w:p>
        </w:tc>
        <w:tc>
          <w:tcPr>
            <w:tcW w:w="0" w:type="auto"/>
          </w:tcPr>
          <w:p w14:paraId="08F3A5AC" w14:textId="3BED3F80"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{"citationItems":[{"id":"ITEM-1","itemData":{"DOI":"10.2166/wpt.2020.017","ISSN":"1751231X","abstract":"Groundwater pollution due to several anthropogenic activities has been a worldwide problem, one such activity being injudicious pesticide usage in agriculture. Assessment of pesticide impact on groundwater is a prerequisite step towards the formulation of regulatory policies related to the pesticides’ application. The present study deals with assessment of the impact of pesticide usage in the groundwater aquifer of an agriculturally dominated area in North West India. The relationship between the pesticide usage and its impact on the quality of groundwater has been established by employing a model named Pesticide Impact Rating Index (PIRI). For illustration, seven farms lying in Nakodar tehsil of Punjab state in India were considered. Based on the frequency of usage of various pesticides in the study area, four pesticides namely atrazine, chlorophyrifos, phorate and monocrotophos were selected for detailed analysis. Groundwater samples were collected and analyzed for observed values of pesticide residues. The observed residues were compared with the PIRI model estimates and results showed that though the observed values were higher corresponding to the estimated values, the ratio seemed to be fluctuating within a consistent range. Therefore multiplicative correction factors were introduced for the model estimates so as to predict realistic pesticide residues in an area.","author":[{"dropping-particle":"","family":"Chaubey","given":"Jyoti","non-dropping-particle":"","parse-names":false,"suffix":""},{"dropping-particle":"","family":"Singh","given":"S. K.","non-dropping-particle":"","parse-names":false,"suffix":""},{"dropping-particle":"","family":"Singh","given":"Sukhwant","non-dropping-particle":"","parse-names":false,"suffix":""},{"dropping-particle":"","family":"Arora","given":"H.","non-dropping-particle":"","parse-names":false,"suffix":""}],"container-title":"Water Practice and Technology","id":"ITEM-1","issue":"2","issued":{"date-parts":[["2020"]]},"page":"327-342","title":"Assessment of the impact of pesticide usage in groundwater aquifer of an agriculturally dominated area in North West India","type":"article-journal","volume":"15"},"uris":["http://www.mendeley.com/documents/?uuid=8abe4378-b121-48ee-9925-51d4e4ea00b7"]}],"mendeley":{"formattedCitation":"&lt;sup&gt;39&lt;/sup&gt;","plainTextFormattedCitation":"39","previouslyFormattedCitation":"&lt;sup&gt;39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39</w:t>
            </w:r>
            <w:r w:rsidRPr="00E547AD">
              <w:rPr>
                <w:color w:val="0070C0"/>
                <w:sz w:val="22"/>
              </w:rPr>
              <w:fldChar w:fldCharType="end"/>
            </w:r>
          </w:p>
        </w:tc>
      </w:tr>
      <w:tr w:rsidR="005E13E8" w:rsidRPr="00E547AD" w14:paraId="05D56E5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F2E48D6" w14:textId="77777777" w:rsidR="005E13E8" w:rsidRPr="00E547AD" w:rsidRDefault="005E13E8" w:rsidP="002D64E5">
            <w:pPr>
              <w:rPr>
                <w:color w:val="000000"/>
                <w:sz w:val="22"/>
              </w:rPr>
            </w:pPr>
            <w:r w:rsidRPr="00E547AD">
              <w:rPr>
                <w:color w:val="000000"/>
                <w:sz w:val="22"/>
              </w:rPr>
              <w:t>North America</w:t>
            </w:r>
          </w:p>
        </w:tc>
        <w:tc>
          <w:tcPr>
            <w:tcW w:w="0" w:type="auto"/>
          </w:tcPr>
          <w:p w14:paraId="1DAD0A2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126ADD1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28B0CFA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Mississippi River</w:t>
            </w:r>
          </w:p>
        </w:tc>
        <w:tc>
          <w:tcPr>
            <w:tcW w:w="0" w:type="auto"/>
          </w:tcPr>
          <w:p w14:paraId="221A8BF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4945</w:t>
            </w:r>
          </w:p>
          <w:p w14:paraId="6F783DD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(50-9840)</w:t>
            </w:r>
          </w:p>
        </w:tc>
        <w:tc>
          <w:tcPr>
            <w:tcW w:w="0" w:type="auto"/>
          </w:tcPr>
          <w:p w14:paraId="72E993BB" w14:textId="5A334C3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{"citationItems":[{"id":"ITEM-1","itemData":{"DOI":"10.2134/jeq2007.0054","ISSN":"00472425","PMID":"18765768","abstract":"Pesticide data for ground water sampled across the United States between 1993-1995 and 2001-2003 by the U.S. Geological Survey National Water-Quality Assessment Program were evaluated for trends in detection frequency and concentration. The data analysis evaluated samples collected from a total of 362 wells located in 12 local well networks characterizing shallow ground water in agricultural areas and six local well networks characterizing the drinking water resource in areas of variable land use. Each well network was sampled once during 1993-1995 and once during 2001-2003. The networks provide an overview of conditions across a wide range of hydrogeologic settings and in major agricultural areas that vary in dominant crop type and pesticide use. Of about 80 pesticide compounds analyzed, only six compounds were detected in ground water from at least 10 wells during both sampling events. These compounds were the triazine herbicides atrazine, simazine, and prometon; the acetanilide herbicide metolachlor; the urea herbicide tebuthiuron; and an atrazine degradate, deethylatrazine (DEA). Observed concentrations of these compounds generally were &lt; 0.12 microg L(-1). At individual wells, changes in concentrations typically were &lt; 0.02 microg L(-1). Data analysis incorporated adjustments for changes in laboratory recovery as assessed through laboratory spikes. In wells yielding detectable concentrations of atrazine, DEA, and prometon, concentrations were significantly lower (alpha = 0.1) in 2001-2003 than in 1993-1995, whereas detection frequency of these compounds did not change significantly. Trends in atrazine concentrations at shallow wells in agricultural areas were found to be consistent overall with recent atrazine use data.","author":[{"dropping-particle":"","family":"Bexfield","given":"Laura M.","non-dropping-particle":"","parse-names":false,"suffix":""}],"container-title":"Journal of Environmental Quality","id":"ITEM-1","issue":"S5","issued":{"date-parts":[["2008"]]},"page":"S-226-S-239","title":"Decadal-Scale Changes of Pesticides in Ground Water of the United States, 1993-2003","type":"article-journal","volume":"37"},"uris":["http://www.mendeley.com/documents/?uuid=bb9bdb15-c344-46ea-a055-0720e2eefeea"]}],"mendeley":{"formattedCitation":"&lt;sup&gt;40&lt;/sup&gt;","plainTextFormattedCitation":"40","previouslyFormattedCitation":"&lt;sup&gt;40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40</w:t>
            </w:r>
            <w:r w:rsidRPr="00E547AD">
              <w:rPr>
                <w:color w:val="0070C0"/>
                <w:sz w:val="22"/>
              </w:rPr>
              <w:fldChar w:fldCharType="end"/>
            </w:r>
          </w:p>
        </w:tc>
      </w:tr>
      <w:tr w:rsidR="002D64E5" w:rsidRPr="00E547AD" w14:paraId="7B42374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7F6A764" w14:textId="77777777" w:rsidR="005E13E8" w:rsidRPr="00E547AD" w:rsidRDefault="005E13E8" w:rsidP="002D64E5">
            <w:pPr>
              <w:rPr>
                <w:color w:val="000000"/>
                <w:sz w:val="22"/>
              </w:rPr>
            </w:pPr>
            <w:r w:rsidRPr="00E547AD">
              <w:rPr>
                <w:color w:val="000000"/>
                <w:sz w:val="22"/>
              </w:rPr>
              <w:t>North America</w:t>
            </w:r>
          </w:p>
        </w:tc>
        <w:tc>
          <w:tcPr>
            <w:tcW w:w="0" w:type="auto"/>
          </w:tcPr>
          <w:p w14:paraId="7C80927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6B80226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2004</w:t>
            </w:r>
          </w:p>
        </w:tc>
        <w:tc>
          <w:tcPr>
            <w:tcW w:w="0" w:type="auto"/>
          </w:tcPr>
          <w:p w14:paraId="2DB5437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Florida</w:t>
            </w:r>
          </w:p>
        </w:tc>
        <w:tc>
          <w:tcPr>
            <w:tcW w:w="0" w:type="auto"/>
          </w:tcPr>
          <w:p w14:paraId="1DE9983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(0.9-108)</w:t>
            </w:r>
          </w:p>
        </w:tc>
        <w:tc>
          <w:tcPr>
            <w:tcW w:w="0" w:type="auto"/>
          </w:tcPr>
          <w:p w14:paraId="2581AFCE" w14:textId="29884CE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{"citationItems":[{"id":"ITEM-1","itemData":{"DOI":"10.1021/jf047803g","ISSN":"00218561","PMID":"16028993","abstract":"Climate and soil conditions in South Florida along with an extensive canal system facilitate movement of agricultural pesticides into surface waters. In a two-year study (2002-2004) of the currently used pesticides in South Florida, atrazine, endosulfan, metolachlor, chlorpyrifos, and chlorothalonil were the most frequently detected in the canals and in Biscayne Bay, with average concentrations of 16, 11, 9.0, 2.6, and 6.0 ng/L, respectively. Concentrations of atrazine and chlorpyrifos were highest near corn production. Chlorothalonil and endosulfan concentrations were highest near vegetable production, with no clear trend for metolachlor, which is used on multiple crops. Concentration data were used to calculate an aquatic life hazard potential for the planting period (November) versus the harvest period (March). This analysis indicated that a higher hazard potential occurs during harvest, primarily from the use of endosulfan. These data will also serve to document canal conditions prior to implementation of the Comprehensive Everglades Restoration Plan (CERP). © 2005 American Chemical Society.","author":[{"dropping-particle":"","family":"Harman-Fetcho","given":"Jennifer A.","non-dropping-particle":"","parse-names":false,"suffix":""},{"dropping-particle":"","family":"Hapeman","given":"Cathleen J.","non-dropping-particle":"","parse-names":false,"suffix":""},{"dropping-particle":"","family":"McConnell","given":"Laura L.","non-dropping-particle":"","parse-names":false,"suffix":""},{"dropping-particle":"","family":"Potter","given":"Thomas L.","non-dropping-particle":"","parse-names":false,"suffix":""},{"dropping-particle":"","family":"Rice","given":"Clifford P.","non-dropping-particle":"","parse-names":false,"suffix":""},{"dropping-particle":"","family":"Sadeghi","given":"Ali M.","non-dropping-particle":"","parse-names":false,"suffix":""},{"dropping-particle":"","family":"Smith","given":"Ramona D.","non-dropping-particle":"","parse-names":false,"suffix":""},{"dropping-particle":"","family":"Bialek","given":"Krystyna","non-dropping-particle":"","parse-names":false,"suffix":""},{"dropping-particle":"","family":"Sefton","given":"Kerry A.","non-dropping-particle":"","parse-names":false,"suffix":""},{"dropping-particle":"","family":"Schaffer","given":"Bruce A.","non-dropping-particle":"","parse-names":false,"suffix":""},{"dropping-particle":"","family":"Curry","given":"Richard","non-dropping-particle":"","parse-names":false,"suffix":""}],"container-title":"Journal of Agricultural and Food Chemistry","id":"ITEM-1","issue":"15","issued":{"date-parts":[["2005"]]},"page":"6040-6048","title":"Pesticide occurrence in selected South Florida canals and Biscayne Bay during high agricultural activity","type":"article-journal","volume":"53"},"uris":["http://www.mendeley.com/documents/?uuid=c901009a-682a-431e-adce-7a88dc5d20cc"]}],"mendeley":{"formattedCitation":"&lt;sup&gt;41&lt;/sup&gt;","plainTextFormattedCitation":"41","previouslyFormattedCitation":"&lt;sup&gt;41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41</w:t>
            </w:r>
            <w:r w:rsidRPr="00E547AD">
              <w:rPr>
                <w:color w:val="0070C0"/>
                <w:sz w:val="22"/>
              </w:rPr>
              <w:fldChar w:fldCharType="end"/>
            </w:r>
          </w:p>
        </w:tc>
      </w:tr>
      <w:tr w:rsidR="005E13E8" w:rsidRPr="00E547AD" w14:paraId="475F905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65020B2" w14:textId="77777777" w:rsidR="005E13E8" w:rsidRPr="00E547AD" w:rsidRDefault="005E13E8" w:rsidP="002D64E5">
            <w:pPr>
              <w:rPr>
                <w:color w:val="000000"/>
                <w:sz w:val="22"/>
              </w:rPr>
            </w:pPr>
            <w:r w:rsidRPr="00E547AD">
              <w:rPr>
                <w:color w:val="000000"/>
                <w:sz w:val="22"/>
              </w:rPr>
              <w:t>North America</w:t>
            </w:r>
          </w:p>
        </w:tc>
        <w:tc>
          <w:tcPr>
            <w:tcW w:w="0" w:type="auto"/>
          </w:tcPr>
          <w:p w14:paraId="3B032E9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41F669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43AEB15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Georgia</w:t>
            </w:r>
          </w:p>
        </w:tc>
        <w:tc>
          <w:tcPr>
            <w:tcW w:w="0" w:type="auto"/>
          </w:tcPr>
          <w:p w14:paraId="1FD69A0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(na-1650)</w:t>
            </w:r>
          </w:p>
        </w:tc>
        <w:tc>
          <w:tcPr>
            <w:tcW w:w="0" w:type="auto"/>
          </w:tcPr>
          <w:p w14:paraId="06DF80DF" w14:textId="5687B4B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{"citationItems":[{"id":"ITEM-1","itemData":{"DOI":"10.1016/j.chemosphere.2018.06.116","ISSN":"18791298","PMID":"29940533","abstract":"To study spray drift contributions to non-targeted habitats, pesticide concentrations in stemflow (water flowing down the trunk of a tree during a rain event), throughfall (water from tree canopy only), and surface water in an agriculturally impacted wetland area near Tifton, Georgia, USA were measured (2015–2016). Agricultural fields and sampling locations were on the University of Georgia's Gibbs Research Farm, Tifton, GA. Samples were screened for more than 160 pesticides, and cumulatively, 32 different pesticides were detected across matrices. Data indicate that herbicides and fungicides were present in all types of environmental samples analyzed while insecticides were only detected in surface water samples. The highest pesticide concentration observed was 10.50 μg/L of metolachlor in an August 2015 surface water sample. Metolachlor, tebuconazole, and fipronil were the most frequently detected herbicide, fungicide, and insecticide, respectively, regardless of sample origin. The most frequently detected pesticide in surface water and stemflow samples was metolachlor (0.09–10.5 μg/L), however, the most commonly detected pesticide in throughfall samples was biphenyl (0.02–0.07 μg/L). These data help determine the importance of indirect chemical exposures to non-targeted habitats by assessing inputs from stemflow and throughfall into surface waters.","author":[{"dropping-particle":"","family":"Glinski","given":"Donna A.","non-dropping-particle":"","parse-names":false,"suffix":""},{"dropping-particle":"","family":"Purucker","given":"S. Thomas","non-dropping-particle":"","parse-names":false,"suffix":""},{"dropping-particle":"","family":"Meter","given":"Robin J.","non-dropping-particle":"Van","parse-names":false,"suffix":""},{"dropping-particle":"","family":"Black","given":"Marsha C.","non-dropping-particle":"","parse-names":false,"suffix":""},{"dropping-particle":"","family":"Henderson","given":"W. Matthew","non-dropping-particle":"","parse-names":false,"suffix":""}],"container-title":"Chemosphere","id":"ITEM-1","issued":{"date-parts":[["2018"]]},"page":"496-507","publisher":"Elsevier Ltd","title":"Analysis of pesticides in surface water, stemflow, and throughfall in an agricultural area in South Georgia, USA","type":"article-journal","volume":"209"},"uris":["http://www.mendeley.com/documents/?uuid=f1d3510f-62ac-46e7-9e31-42ff9dc6ac4b"]}],"mendeley":{"formattedCitation":"&lt;sup&gt;42&lt;/sup&gt;","plainTextFormattedCitation":"42","previouslyFormattedCitation":"&lt;sup&gt;42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42</w:t>
            </w:r>
            <w:r w:rsidRPr="00E547AD">
              <w:rPr>
                <w:color w:val="0070C0"/>
                <w:sz w:val="22"/>
              </w:rPr>
              <w:fldChar w:fldCharType="end"/>
            </w:r>
          </w:p>
        </w:tc>
      </w:tr>
      <w:tr w:rsidR="002D64E5" w:rsidRPr="00E547AD" w14:paraId="455EE1A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30AB86" w14:textId="77777777" w:rsidR="005E13E8" w:rsidRPr="00E547AD" w:rsidRDefault="005E13E8" w:rsidP="002D64E5">
            <w:pPr>
              <w:rPr>
                <w:color w:val="000000"/>
                <w:sz w:val="22"/>
              </w:rPr>
            </w:pPr>
            <w:r w:rsidRPr="00E547AD">
              <w:rPr>
                <w:color w:val="000000"/>
                <w:sz w:val="22"/>
              </w:rPr>
              <w:t>North America</w:t>
            </w:r>
          </w:p>
        </w:tc>
        <w:tc>
          <w:tcPr>
            <w:tcW w:w="0" w:type="auto"/>
          </w:tcPr>
          <w:p w14:paraId="3E3118A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7C8CC5B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3F89FD0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Georgia</w:t>
            </w:r>
          </w:p>
        </w:tc>
        <w:tc>
          <w:tcPr>
            <w:tcW w:w="0" w:type="auto"/>
          </w:tcPr>
          <w:p w14:paraId="2BBC159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19.0</w:t>
            </w:r>
          </w:p>
          <w:p w14:paraId="6993F50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(5-49)</w:t>
            </w:r>
          </w:p>
        </w:tc>
        <w:tc>
          <w:tcPr>
            <w:tcW w:w="0" w:type="auto"/>
          </w:tcPr>
          <w:p w14:paraId="6C2AE9F9" w14:textId="32C5887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{"citationItems":[{"id":"ITEM-1","itemData":{"DOI":"10.1016/j.chemosphere.2018.06.116","ISSN":"18791298","PMID":"29940533","abstract":"To study spray drift contributions to non-targeted habitats, pesticide concentrations in stemflow (water flowing down the trunk of a tree during a rain event), throughfall (water from tree canopy only), and surface water in an agriculturally impacted wetland area near Tifton, Georgia, USA were measured (2015–2016). Agricultural fields and sampling locations were on the University of Georgia's Gibbs Research Farm, Tifton, GA. Samples were screened for more than 160 pesticides, and cumulatively, 32 different pesticides were detected across matrices. Data indicate that herbicides and fungicides were present in all types of environmental samples analyzed while insecticides were only detected in surface water samples. The highest pesticide concentration observed was 10.50 μg/L of metolachlor in an August 2015 surface water sample. Metolachlor, tebuconazole, and fipronil were the most frequently detected herbicide, fungicide, and insecticide, respectively, regardless of sample origin. The most frequently detected pesticide in surface water and stemflow samples was metolachlor (0.09–10.5 μg/L), however, the most commonly detected pesticide in throughfall samples was biphenyl (0.02–0.07 μg/L). These data help determine the importance of indirect chemical exposures to non-targeted habitats by assessing inputs from stemflow and throughfall into surface waters.","author":[{"dropping-particle":"","family":"Glinski","given":"Donna A.","non-dropping-particle":"","parse-names":false,"suffix":""},{"dropping-particle":"","family":"Purucker","given":"S. Thomas","non-dropping-particle":"","parse-names":false,"suffix":""},{"dropping-particle":"","family":"Meter","given":"Robin J.","non-dropping-particle":"Van","parse-names":false,"suffix":""},{"dropping-particle":"","family":"Black","given":"Marsha C.","non-dropping-particle":"","parse-names":false,"suffix":""},{"dropping-particle":"","family":"Henderson","given":"W. Matthew","non-dropping-particle":"","parse-names":false,"suffix":""}],"container-title":"Chemosphere","id":"ITEM-1","issued":{"date-parts":[["2018"]]},"page":"496-507","publisher":"Elsevier Ltd","title":"Analysis of pesticides in surface water, stemflow, and throughfall in an agricultural area in South Georgia, USA","type":"article-journal","volume":"209"},"uris":["http://www.mendeley.com/documents/?uuid=f1d3510f-62ac-46e7-9e31-42ff9dc6ac4b"]}],"mendeley":{"formattedCitation":"&lt;sup&gt;42&lt;/sup&gt;","plainTextFormattedCitation":"42","previouslyFormattedCitation":"&lt;sup&gt;42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42</w:t>
            </w:r>
            <w:r w:rsidRPr="00E547AD">
              <w:rPr>
                <w:color w:val="0070C0"/>
                <w:sz w:val="22"/>
              </w:rPr>
              <w:fldChar w:fldCharType="end"/>
            </w:r>
          </w:p>
        </w:tc>
      </w:tr>
      <w:tr w:rsidR="005E13E8" w:rsidRPr="00E547AD" w14:paraId="77FC710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403A898" w14:textId="77777777" w:rsidR="005E13E8" w:rsidRPr="00E547AD" w:rsidRDefault="005E13E8" w:rsidP="002D64E5">
            <w:pPr>
              <w:rPr>
                <w:color w:val="000000"/>
                <w:sz w:val="22"/>
              </w:rPr>
            </w:pPr>
            <w:r w:rsidRPr="00E547AD">
              <w:rPr>
                <w:color w:val="000000"/>
                <w:sz w:val="22"/>
              </w:rPr>
              <w:t>North America</w:t>
            </w:r>
          </w:p>
        </w:tc>
        <w:tc>
          <w:tcPr>
            <w:tcW w:w="0" w:type="auto"/>
          </w:tcPr>
          <w:p w14:paraId="7B67C2C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56A769C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6F913D3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Rocky Mountain</w:t>
            </w:r>
          </w:p>
        </w:tc>
        <w:tc>
          <w:tcPr>
            <w:tcW w:w="0" w:type="auto"/>
          </w:tcPr>
          <w:p w14:paraId="31E6965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(na-12)</w:t>
            </w:r>
          </w:p>
        </w:tc>
        <w:tc>
          <w:tcPr>
            <w:tcW w:w="0" w:type="auto"/>
          </w:tcPr>
          <w:p w14:paraId="76215666" w14:textId="5EFC43E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{"citationItems":[{"id":"ITEM-1","itemData":{"DOI":"10.1016/j.scitotenv.2018.06.150","ISSN":"18791026","PMID":"29957431","abstract":"Pharmaceuticals, hormones, pesticides, and other bioactive contaminants (BCs) are commonly detected in surface water and bed sediment in urban and suburban areas, but these contaminants are understudied in remote locations. In Rocky Mountain National Park (RMNP), Colorado, USA, BCs may threaten the reproductive success and survival of native aquatic species, benthic communities, and pelagic food webs. In 2012–2013, 67 water, 57 sediment, 63 fish, 10 frog, and 12 quality-control samples (8 water and 4 sediment) were collected from 20 sites in RMNP. Samples were analyzed for 369 parameters including 149 pharmaceuticals, 22 hormones, 137 pesticides, and 61 other chemicals or conditions to provide a representative assessment of BC occurrence within RMNP. Results indicate that BCs were detected in water and/or sediment from both remote and more accessible locations in RMNP. The most commonly detected BCs in water were caffeine, camphor, para-cresol, and DEET; and the most commonly detected BCs in sediment were indole, 3-methyl-1H-indole, para-cresol, and 2,6-dimethyl-naphthalene. Some detected contaminants, including carbaryl, caffeine, and oxycodone, are clearly attributable to direct local human input, whereas others may be transported into the park atmospherically (e.g., atrazine) or have local natural sources (e.g., para-cresol). One or more pharmaceuticals were detected in at least 1 sample from 15 of 20 sites. Most of the 29 detected pharmaceuticals are excreted primarily in human urine, not feces. Elevated net estrogenicity was observed in 18% of water samples, and elevated vitellogenin in blood was observed in 12% of male trout, both evidence of potential endocrine disruption. Hormone concentrations in sediment tended to be greater than concentrations in water. Most BCs were observed at concentrations below those not expected to pose adverse effects to aquatic life. Results indicate that even in remote locations aquatic wildlife can be exposed to pharmaceuticals, hormones, pesticides, and other bioactive contaminants.","author":[{"dropping-particle":"","family":"Battaglin","given":"William A.","non-dropping-particle":"","parse-names":false,"suffix":""},{"dropping-particle":"","family":"Bradley","given":"Paul M.","non-dropping-particle":"","parse-names":false,"suffix":""},{"dropping-particle":"","family":"Iwanowicz","given":"Luke","non-dropping-particle":"","parse-names":false,"suffix":""},{"dropping-particle":"","family":"Journey","given":"Celeste A.","non-dropping-particle":"","parse-names":false,"suffix":""},{"dropping-particle":"","family":"Walsh","given":"Heather L.","non-dropping-particle":"","parse-names":false,"suffix":""},{"dropping-particle":"","family":"Blazer","given":"Vicki S.","non-dropping-particle":"","parse-names":false,"suffix":""}],"container-title":"Science of the Total Environment","id":"ITEM-1","issued":{"date-parts":[["2018"]]},"page":"651-673","publisher":"Elsevier B.V.","title":"Pharmaceuticals, hormones, pesticides, and other bioactive contaminants in water, sediment, and tissue from Rocky Mountain National Park, 2012–2013","type":"article-journal","volume":"643"},"uris":["http://www.mendeley.com/documents/?uuid=219a1aea-41f6-4903-9d8a-1648a50a80fc"]}],"mendeley":{"formattedCitation":"&lt;sup&gt;43&lt;/sup&gt;","plainTextFormattedCitation":"43","previouslyFormattedCitation":"&lt;sup&gt;43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43</w:t>
            </w:r>
            <w:r w:rsidRPr="00E547AD">
              <w:rPr>
                <w:color w:val="0070C0"/>
                <w:sz w:val="22"/>
              </w:rPr>
              <w:fldChar w:fldCharType="end"/>
            </w:r>
          </w:p>
        </w:tc>
      </w:tr>
      <w:tr w:rsidR="002D64E5" w:rsidRPr="00E547AD" w14:paraId="7BC4C8D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880736" w14:textId="77777777" w:rsidR="005E13E8" w:rsidRPr="00E547AD" w:rsidRDefault="005E13E8" w:rsidP="002D64E5">
            <w:pPr>
              <w:rPr>
                <w:color w:val="000000"/>
                <w:sz w:val="22"/>
              </w:rPr>
            </w:pPr>
            <w:r w:rsidRPr="00E547AD">
              <w:rPr>
                <w:color w:val="000000"/>
                <w:sz w:val="22"/>
              </w:rPr>
              <w:t>North America</w:t>
            </w:r>
          </w:p>
        </w:tc>
        <w:tc>
          <w:tcPr>
            <w:tcW w:w="0" w:type="auto"/>
          </w:tcPr>
          <w:p w14:paraId="3F895FF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434175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2004</w:t>
            </w:r>
          </w:p>
        </w:tc>
        <w:tc>
          <w:tcPr>
            <w:tcW w:w="0" w:type="auto"/>
          </w:tcPr>
          <w:p w14:paraId="2D6F774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Maryland</w:t>
            </w:r>
          </w:p>
        </w:tc>
        <w:tc>
          <w:tcPr>
            <w:tcW w:w="0" w:type="auto"/>
          </w:tcPr>
          <w:p w14:paraId="284004D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170</w:t>
            </w:r>
          </w:p>
        </w:tc>
        <w:tc>
          <w:tcPr>
            <w:tcW w:w="0" w:type="auto"/>
          </w:tcPr>
          <w:p w14:paraId="3B064D00" w14:textId="2185E141"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{"citationItems":[{"id":"ITEM-1","itemData":{"DOI":"10.2134/jeq2006.0463","ISSN":"0047-2425","PMID":"18453425","abstract":"Passive sampling methodologies were used to conduct a chemical and toxicologic assessment of organic contaminants in the surface waters of three geographically distinct agricultural watersheds. A selection of current-use agrochemicals and persistent organic pollutants, including polycyclic aromatic hydrocarbons, polychlorinated biphenyls, and organochlorine pesticides, were targeted using the polar organic chemical integrative sampler (POCIS) and the semipermeable membrane device passive samplers. In addition to the chemical analysis, the Microtox assay for acute toxicity and the yeast estrogen screen (YES) were conducted as potential assessment tools in combination with the passive samplers. During the spring of 2004, the passive samplers were deployed for 29 to 65 d at Leary Weber Ditch, IN; Morgan Creek, MD; and DR2 Drain, WA. Chemical analysis of the sampler extracts identified the agrochemicals predominantly used in those areas, including atrazine, simazine, acetochlor, and metolachlor. Other chemicals identified included deethylatrazine and deisopropylatrazine, trifluralin, fluoranthene, pyrene, cis- and trans-nonachlor, and pentachloroanisole. Screening using Microtox resulted in no acutely toxic samples. POCIS samples screened by the YES assay failed to elicit a positive estrogenic response.","author":[{"dropping-particle":"","family":"Alvarez","given":"David A.","non-dropping-particle":"","parse-names":false,"suffix":""},{"dropping-particle":"","family":"Cranor","given":"Walter L.","non-dropping-particle":"","parse-names":false,"suffix":""},{"dropping-particle":"","family":"Perkins","given":"Stephanie D.","non-dropping-particle":"","parse-names":false,"suffix":""},{"dropping-particle":"","family":"Clark","given":"Randal C.","non-dropping-particle":"","parse-names":false,"suffix":""},{"dropping-particle":"","family":"Smith","given":"Steven B.","non-dropping-particle":"","parse-names":false,"suffix":""}],"container-title":"Journal of Environmental Quality","id":"ITEM-1","issue":"3","issued":{"date-parts":[["2008"]]},"page":"1024-1033","title":"Chemical and Toxicologic Assessment of Organic Contaminants in Surface Water Using Passive Samplers","type":"article-journal","volume":"37"},"uris":["http://www.mendeley.com/documents/?uuid=fb683196-0a21-4831-bef9-431625e720ff"]}],"mendeley":{"formattedCitation":"&lt;sup&gt;44&lt;/sup&gt;","plainTextFormattedCitation":"44","previouslyFormattedCitation":"&lt;sup&gt;44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44</w:t>
            </w:r>
            <w:r w:rsidRPr="00E547AD">
              <w:rPr>
                <w:color w:val="0070C0"/>
                <w:sz w:val="22"/>
              </w:rPr>
              <w:fldChar w:fldCharType="end"/>
            </w:r>
          </w:p>
        </w:tc>
      </w:tr>
      <w:tr w:rsidR="005E13E8" w:rsidRPr="00E547AD" w14:paraId="61E73E2D"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75B04FA" w14:textId="77777777" w:rsidR="005E13E8" w:rsidRPr="00E547AD" w:rsidRDefault="005E13E8" w:rsidP="002D64E5">
            <w:pPr>
              <w:rPr>
                <w:color w:val="000000"/>
                <w:sz w:val="22"/>
              </w:rPr>
            </w:pPr>
            <w:r w:rsidRPr="00E547AD">
              <w:rPr>
                <w:color w:val="000000"/>
                <w:sz w:val="22"/>
              </w:rPr>
              <w:t>North America</w:t>
            </w:r>
          </w:p>
        </w:tc>
        <w:tc>
          <w:tcPr>
            <w:tcW w:w="0" w:type="auto"/>
          </w:tcPr>
          <w:p w14:paraId="09DACF4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2A4F86B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2004</w:t>
            </w:r>
          </w:p>
        </w:tc>
        <w:tc>
          <w:tcPr>
            <w:tcW w:w="0" w:type="auto"/>
          </w:tcPr>
          <w:p w14:paraId="47EF770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Indiana</w:t>
            </w:r>
          </w:p>
        </w:tc>
        <w:tc>
          <w:tcPr>
            <w:tcW w:w="0" w:type="auto"/>
          </w:tcPr>
          <w:p w14:paraId="48B697B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350</w:t>
            </w:r>
          </w:p>
        </w:tc>
        <w:tc>
          <w:tcPr>
            <w:tcW w:w="0" w:type="auto"/>
          </w:tcPr>
          <w:p w14:paraId="1FE65212" w14:textId="46F8B04C"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{"citationItems":[{"id":"ITEM-1","itemData":{"DOI":"10.2134/jeq2006.0463","ISSN":"0047-2425","PMID":"18453425","abstract":"Passive sampling methodologies were used to conduct a chemical and toxicologic assessment of organic contaminants in the surface waters of three geographically distinct agricultural watersheds. A selection of current-use agrochemicals and persistent organic pollutants, including polycyclic aromatic hydrocarbons, polychlorinated biphenyls, and organochlorine pesticides, were targeted using the polar organic chemical integrative sampler (POCIS) and the semipermeable membrane device passive samplers. In addition to the chemical analysis, the Microtox assay for acute toxicity and the yeast estrogen screen (YES) were conducted as potential assessment tools in combination with the passive samplers. During the spring of 2004, the passive samplers were deployed for 29 to 65 d at Leary Weber Ditch, IN; Morgan Creek, MD; and DR2 Drain, WA. Chemical analysis of the sampler extracts identified the agrochemicals predominantly used in those areas, including atrazine, simazine, acetochlor, and metolachlor. Other chemicals identified included deethylatrazine and deisopropylatrazine, trifluralin, fluoranthene, pyrene, cis- and trans-nonachlor, and pentachloroanisole. Screening using Microtox resulted in no acutely toxic samples. POCIS samples screened by the YES assay failed to elicit a positive estrogenic response.","author":[{"dropping-particle":"","family":"Alvarez","given":"David A.","non-dropping-particle":"","parse-names":false,"suffix":""},{"dropping-particle":"","family":"Cranor","given":"Walter L.","non-dropping-particle":"","parse-names":false,"suffix":""},{"dropping-particle":"","family":"Perkins","given":"Stephanie D.","non-dropping-particle":"","parse-names":false,"suffix":""},{"dropping-particle":"","family":"Clark","given":"Randal C.","non-dropping-particle":"","parse-names":false,"suffix":""},{"dropping-particle":"","family":"Smith","given":"Steven B.","non-dropping-particle":"","parse-names":false,"suffix":""}],"container-title":"Journal of Environmental Quality","id":"ITEM-1","issue":"3","issued":{"date-parts":[["2008"]]},"page":"1024-1033","title":"Chemical and Toxicologic Assessment of Organic Contaminants in Surface Water Using Passive Samplers","type":"article-journal","volume":"37"},"uris":["http://www.mendeley.com/documents/?uuid=fb683196-0a21-4831-bef9-431625e720ff"]}],"mendeley":{"formattedCitation":"&lt;sup&gt;44&lt;/sup&gt;","plainTextFormattedCitation":"44","previouslyFormattedCitation":"&lt;sup&gt;44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44</w:t>
            </w:r>
            <w:r w:rsidRPr="00E547AD">
              <w:rPr>
                <w:color w:val="0070C0"/>
                <w:sz w:val="22"/>
              </w:rPr>
              <w:fldChar w:fldCharType="end"/>
            </w:r>
          </w:p>
        </w:tc>
      </w:tr>
      <w:tr w:rsidR="002D64E5" w:rsidRPr="00E547AD" w14:paraId="4BB9848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4922AE" w14:textId="77777777" w:rsidR="005E13E8" w:rsidRPr="00E547AD" w:rsidRDefault="005E13E8" w:rsidP="002D64E5">
            <w:pPr>
              <w:rPr>
                <w:color w:val="000000"/>
                <w:sz w:val="22"/>
              </w:rPr>
            </w:pPr>
            <w:r w:rsidRPr="00E547AD">
              <w:rPr>
                <w:color w:val="000000"/>
                <w:sz w:val="22"/>
              </w:rPr>
              <w:t>North America</w:t>
            </w:r>
          </w:p>
        </w:tc>
        <w:tc>
          <w:tcPr>
            <w:tcW w:w="0" w:type="auto"/>
          </w:tcPr>
          <w:p w14:paraId="33C4615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0FD7822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1990</w:t>
            </w:r>
          </w:p>
        </w:tc>
        <w:tc>
          <w:tcPr>
            <w:tcW w:w="0" w:type="auto"/>
          </w:tcPr>
          <w:p w14:paraId="59A8DE7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Midwestern USA</w:t>
            </w:r>
          </w:p>
        </w:tc>
        <w:tc>
          <w:tcPr>
            <w:tcW w:w="0" w:type="auto"/>
          </w:tcPr>
          <w:p w14:paraId="3E6A91C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230</w:t>
            </w:r>
          </w:p>
          <w:p w14:paraId="1968763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(na-3100)</w:t>
            </w:r>
          </w:p>
        </w:tc>
        <w:tc>
          <w:tcPr>
            <w:tcW w:w="0" w:type="auto"/>
          </w:tcPr>
          <w:p w14:paraId="578CB2F0" w14:textId="7CAA578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{"citationItems":[{"id":"ITEM-1","itemData":{"DOI":"10.1021/es00036a016","ISSN":"15205851","abstract":"Preemergent herbicides and their metabolites, particularly atrazine, deethylatrazine, and metolachlor, persisted from 1989 to 1990 in the majority of rivers and streams in the midwestern United States. In spring, after the application of herbicides, the concentrations of atrazine, alachlor, and simazine were frequently 3-10 times greater than the U.S. Environmental Protection Agency maximum contaminant level (MCL). The concentration of herbicides exceeded the MCLs both singly and in combination. Two major degradation products of atrazine (deisopropylatrazine and deethylatrazine) also were found in many of the streams. The order of persistence of the herbicides and their metabolites in surface water was atrazine &gt; deethylatrazine &gt; metolachlor &gt; alachlor &gt; deisopropylatrazine &gt; cyanazine. Storm runoff collected at several sites exceeded the MCL multiple times during the summer months as a function of stream discharge, with increased concentrations during times of increased streamflow. It is proposed that metabolites of atrazine may be used as indicators of surface-water movement into adjacent alluvial aquifers. © 1992, American Chemical Society. All rights reserved.","author":[{"dropping-particle":"","family":"Michael Thurman","given":"E.","non-dropping-particle":"","parse-names":false,"suffix":""},{"dropping-particle":"","family":"Meyer","given":"Michael T.","non-dropping-particle":"","parse-names":false,"suffix":""},{"dropping-particle":"","family":"Mills","given":"Margaret S.","non-dropping-particle":"","parse-names":false,"suffix":""},{"dropping-particle":"","family":"Pomes","given":"Michael L.","non-dropping-particle":"","parse-names":false,"suffix":""},{"dropping-particle":"","family":"Goolsby","given":"Donald A.","non-dropping-particle":"","parse-names":false,"suffix":""},{"dropping-particle":"","family":"Kolpln","given":"Dana W.","non-dropping-particle":"","parse-names":false,"suffix":""}],"container-title":"Environmental Science and Technology","id":"ITEM-1","issue":"12","issued":{"date-parts":[["1992"]]},"page":"2440-2447","title":"A Reconnaissance Study of Herbicides and their Metabolites in Surface Water of the Midwestern United States Using Immunoassay and Gas Chromatography/Mass Spectrometry","type":"article-journal","volume":"26"},"uris":["http://www.mendeley.com/documents/?uuid=531571a7-973b-4baf-953d-cb7827ca27d4"]}],"mendeley":{"formattedCitation":"&lt;sup&gt;45&lt;/sup&gt;","plainTextFormattedCitation":"45","previouslyFormattedCitation":"&lt;sup&gt;45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45</w:t>
            </w:r>
            <w:r w:rsidRPr="00E547AD">
              <w:rPr>
                <w:color w:val="0070C0"/>
                <w:sz w:val="22"/>
              </w:rPr>
              <w:fldChar w:fldCharType="end"/>
            </w:r>
          </w:p>
        </w:tc>
      </w:tr>
      <w:tr w:rsidR="005E13E8" w:rsidRPr="00E547AD" w14:paraId="42040C2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71E9CCB" w14:textId="77777777" w:rsidR="005E13E8" w:rsidRPr="00E547AD" w:rsidRDefault="005E13E8" w:rsidP="002D64E5">
            <w:pPr>
              <w:rPr>
                <w:color w:val="000000"/>
                <w:sz w:val="22"/>
              </w:rPr>
            </w:pPr>
            <w:r w:rsidRPr="00E547AD">
              <w:rPr>
                <w:color w:val="000000"/>
                <w:sz w:val="22"/>
              </w:rPr>
              <w:t>North America</w:t>
            </w:r>
          </w:p>
        </w:tc>
        <w:tc>
          <w:tcPr>
            <w:tcW w:w="0" w:type="auto"/>
          </w:tcPr>
          <w:p w14:paraId="5C71D87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168AE47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696C684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Chesapeake Bay</w:t>
            </w:r>
          </w:p>
        </w:tc>
        <w:tc>
          <w:tcPr>
            <w:tcW w:w="0" w:type="auto"/>
          </w:tcPr>
          <w:p w14:paraId="7EE92F9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420</w:t>
            </w:r>
          </w:p>
          <w:p w14:paraId="52D40F8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(46-3100)</w:t>
            </w:r>
          </w:p>
        </w:tc>
        <w:tc>
          <w:tcPr>
            <w:tcW w:w="0" w:type="auto"/>
          </w:tcPr>
          <w:p w14:paraId="2C653737" w14:textId="2A09BC0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{"citationItems":[{"id":"ITEM-1","itemData":{"DOI":"10.2134/jeq1999.00472425002800030025x","ISSN":"0047-2425","abstract":"The Chesapeake Bay estuarine drainage area receives the highest pesticide application of any coastal area in the USA, however, large gaps exist in information on pesticide residues entering Chesapeake Bay tributaries. Twelve pesticides, one pesticide degradation product, and one formulation by-product were measured in the surface waters of the Patuxent River during spring/summer 1995, pesticide concentrations were compared with river now and estimated use patterns in the watershed. Atrazine, 6-amino-2-chloro-4-isopropylamino-s-triazine (CIAT), simazine, metolachlor, and chlorpyrifos were consistently detected,with maximum concentrations of 3000, 800, 2700, 70, and 190 ng/L, respectively. Concentrations were highest in the upper watershed, an area where 70% of pesticide usage occurs, and decreased with distance down the ri rer. While tidal dilution is an important removal mechanism, degradation appears to be the main factor leading to decreases in atrazine concentrations. Atrazine levels observed st the mouth of the river correlated more strongly with high river flow events compared with the other analytes. This may be due to a local source of atrazine in the lower Patuxent River. Despite similar use rates in the watershed, metolachlor concentrations were 25 to 40 times lower than atrazine. Overall, triazine herbicides appeared to move quickly into the river and persisted longer in surface waters compared with the acetanilide herbicides. Since land use and agricultural crop patterns in the Patuxent watershed are similar to other western shore Chesapeake Bay tributaries, results of this study may be used as a starting </w:instrText>
            </w:r>
            <w:r w:rsidR="00694227">
              <w:rPr>
                <w:rFonts w:hint="eastAsia"/>
                <w:color w:val="0070C0"/>
                <w:sz w:val="22"/>
              </w:rPr>
              <w:instrText>point to predict pesticide fate and transport in this region.","author":[{"dropping-particle":"","family":"Harman</w:instrText>
            </w:r>
            <w:r w:rsidR="00694227">
              <w:rPr>
                <w:rFonts w:hint="eastAsia"/>
                <w:color w:val="0070C0"/>
                <w:sz w:val="22"/>
              </w:rPr>
              <w:instrText>‐</w:instrText>
            </w:r>
            <w:r w:rsidR="00694227">
              <w:rPr>
                <w:rFonts w:hint="eastAsia"/>
                <w:color w:val="0070C0"/>
                <w:sz w:val="22"/>
              </w:rPr>
              <w:instrText xml:space="preserve">Fetcho","given":"J. A.","non-dropping-particle":"","parse-names":false,"suffix":""},{"dropping-particle":"","family":"McConnell","given":"L. </w:instrText>
            </w:r>
            <w:r w:rsidR="00694227">
              <w:rPr>
                <w:color w:val="0070C0"/>
                <w:sz w:val="22"/>
              </w:rPr>
              <w:instrText>L.","non-dropping-particle":"","parse-names":false,"suffix":""},{"dropping-particle":"","family":"Baker","given":"J. E.","non-dropping-particle":"","parse-names":false,"suffix":""}],"container-title":"Journal of Environmental Quality","id":"ITEM-1","issue":"3","issued":{"date-parts":[["1999"]]},"page":"928-938","title":"Agricultural Pesticides in the Patuxent River, a Tributary of the Chesapeake Bay","type":"article-journal","volume":"28"},"uris":["http://www.mendeley.com/documents/?uuid=e505013b-435f-4cfc-87cc-fef3671c78a9"]}],"mendeley":{"formattedCitation":"&lt;sup&gt;46&lt;/sup&gt;","plainTextFormattedCitation":"46","previouslyFormattedCitation":"&lt;sup&gt;46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46</w:t>
            </w:r>
            <w:r w:rsidRPr="00E547AD">
              <w:rPr>
                <w:color w:val="0070C0"/>
                <w:sz w:val="22"/>
              </w:rPr>
              <w:fldChar w:fldCharType="end"/>
            </w:r>
          </w:p>
        </w:tc>
      </w:tr>
      <w:tr w:rsidR="002D64E5" w:rsidRPr="00E547AD" w14:paraId="7BEDB8AD"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052FF79" w14:textId="77777777" w:rsidR="005E13E8" w:rsidRPr="00E547AD" w:rsidRDefault="005E13E8" w:rsidP="002D64E5">
            <w:pPr>
              <w:rPr>
                <w:color w:val="000000"/>
                <w:sz w:val="22"/>
              </w:rPr>
            </w:pPr>
            <w:r w:rsidRPr="00E547AD">
              <w:rPr>
                <w:color w:val="000000"/>
                <w:sz w:val="22"/>
              </w:rPr>
              <w:t>North America</w:t>
            </w:r>
          </w:p>
        </w:tc>
        <w:tc>
          <w:tcPr>
            <w:tcW w:w="0" w:type="auto"/>
          </w:tcPr>
          <w:p w14:paraId="7B1F8D7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0483C7A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4E8F4A6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Susquehanna River</w:t>
            </w:r>
          </w:p>
        </w:tc>
        <w:tc>
          <w:tcPr>
            <w:tcW w:w="0" w:type="auto"/>
          </w:tcPr>
          <w:p w14:paraId="6A25369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81</w:t>
            </w:r>
          </w:p>
        </w:tc>
        <w:tc>
          <w:tcPr>
            <w:tcW w:w="0" w:type="auto"/>
          </w:tcPr>
          <w:p w14:paraId="30AD1AE6" w14:textId="1D1F18F0"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{"citationItems":[{"id":"ITEM-1","itemData":{"DOI":"10.2134/jeq1999.00472425002800030025x","ISSN":"0047-2425","abstract":"The Chesapeake Bay estuarine drainage area receives the highest pesticide application of any coastal area in the USA, however, large gaps exist in information on pesticide residues entering Chesapeake Bay tributaries. Twelve pesticides, one pesticide degradation product, and one formulation by-product were measured in the surface waters of the Patuxent River during spring/summer 1995, pesticide concentrations were compared with river now and estimated use patterns in the watershed. Atrazine, 6-amino-2-chloro-4-isopropylamino-s-triazine (CIAT), simazine, metolachlor, and chlorpyrifos were consistently detected,with maximum concentrations of 3000, 800, 2700, 70, and 190 ng/L, respectively. Concentrations were highest in the upper watershed, an area where 70% of pesticide usage occurs, and decreased with distance down the ri rer. While tidal dilution is an important removal mechanism, degradation appears to be the main factor leading to decreases in atrazine concentrations. Atrazine levels observed st the mouth of the river correlated more strongly with high river flow events compared with the other analytes. This may be due to a local source of atrazine in the lower Patuxent River. Despite similar use rates in the watershed, metolachlor concentrations were 25 to 40 times lower than atrazine. Overall, triazine herbicides appeared to move quickly into the river and persisted longer in surface waters compared with the acetanilide herbicides. Since land use and agricultural crop patterns in the Patuxent watershed are similar to other western shore Chesapeake Bay tributaries, results of this study may be used as a starting </w:instrText>
            </w:r>
            <w:r w:rsidR="00694227">
              <w:rPr>
                <w:rFonts w:hint="eastAsia"/>
                <w:color w:val="0070C0"/>
                <w:sz w:val="22"/>
              </w:rPr>
              <w:instrText>point to predict pesticide fate and transport in this region.","author":[{"dropping-particle":"","family":"Harman</w:instrText>
            </w:r>
            <w:r w:rsidR="00694227">
              <w:rPr>
                <w:rFonts w:hint="eastAsia"/>
                <w:color w:val="0070C0"/>
                <w:sz w:val="22"/>
              </w:rPr>
              <w:instrText>‐</w:instrText>
            </w:r>
            <w:r w:rsidR="00694227">
              <w:rPr>
                <w:rFonts w:hint="eastAsia"/>
                <w:color w:val="0070C0"/>
                <w:sz w:val="22"/>
              </w:rPr>
              <w:instrText xml:space="preserve">Fetcho","given":"J. A.","non-dropping-particle":"","parse-names":false,"suffix":""},{"dropping-particle":"","family":"McConnell","given":"L. </w:instrText>
            </w:r>
            <w:r w:rsidR="00694227">
              <w:rPr>
                <w:color w:val="0070C0"/>
                <w:sz w:val="22"/>
              </w:rPr>
              <w:instrText>L.","non-dropping-particle":"","parse-names":false,"suffix":""},{"dropping-particle":"","family":"Baker","given":"J. E.","non-dropping-particle":"","parse-names":false,"suffix":""}],"container-title":"Journal of Environmental Quality","id":"ITEM-1","issue":"3","issued":{"date-parts":[["1999"]]},"page":"928-938","title":"Agricultural Pesticides in the Patuxent River, a Tributary of the Chesapeake Bay","type":"article-journal","volume":"28"},"uris":["http://www.mendeley.com/documents/?uuid=e505013b-435f-4cfc-87cc-fef3671c78a9"]}],"mendeley":{"formattedCitation":"&lt;sup&gt;46&lt;/sup&gt;","plainTextFormattedCitation":"46","previouslyFormattedCitation":"&lt;sup&gt;46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46</w:t>
            </w:r>
            <w:r w:rsidRPr="00E547AD">
              <w:rPr>
                <w:color w:val="0070C0"/>
                <w:sz w:val="22"/>
              </w:rPr>
              <w:fldChar w:fldCharType="end"/>
            </w:r>
          </w:p>
        </w:tc>
      </w:tr>
      <w:tr w:rsidR="005E13E8" w:rsidRPr="00E547AD" w14:paraId="0C28747D"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9D2BDDB" w14:textId="77777777" w:rsidR="005E13E8" w:rsidRPr="00E547AD" w:rsidRDefault="005E13E8" w:rsidP="002D64E5">
            <w:pPr>
              <w:rPr>
                <w:color w:val="000000"/>
                <w:sz w:val="22"/>
              </w:rPr>
            </w:pPr>
            <w:r w:rsidRPr="00E547AD">
              <w:rPr>
                <w:color w:val="000000"/>
                <w:sz w:val="22"/>
              </w:rPr>
              <w:t>North America</w:t>
            </w:r>
          </w:p>
        </w:tc>
        <w:tc>
          <w:tcPr>
            <w:tcW w:w="0" w:type="auto"/>
          </w:tcPr>
          <w:p w14:paraId="54CA61E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731A077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489C934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Susquehanna River</w:t>
            </w:r>
          </w:p>
        </w:tc>
        <w:tc>
          <w:tcPr>
            <w:tcW w:w="0" w:type="auto"/>
          </w:tcPr>
          <w:p w14:paraId="39CAF62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160</w:t>
            </w:r>
          </w:p>
        </w:tc>
        <w:tc>
          <w:tcPr>
            <w:tcW w:w="0" w:type="auto"/>
          </w:tcPr>
          <w:p w14:paraId="3A528E43" w14:textId="00E2CC05"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{"citationItems":[{"id":"ITEM-1","itemData":{"DOI":"10.2134/jeq1999.00472425002800030025x","ISSN":"0047-2425","abstract":"The Chesapeake Bay estuarine drainage area receives the highest pesticide application of any coastal area in the USA, however, large gaps exist in information on pesticide residues entering Chesapeake Bay tributaries. Twelve pesticides, one pesticide degradation product, and one formulation by-product were measured in the surface waters of the Patuxent River during spring/summer 1995, pesticide concentrations were compared with river now and estimated use patterns in the watershed. Atrazine, 6-amino-2-chloro-4-isopropylamino-s-triazine (CIAT), simazine, metolachlor, and chlorpyrifos were consistently detected,with maximum concentrations of 3000, 800, 2700, 70, and 190 ng/L, respectively. Concentrations were highest in the upper watershed, an area where 70% of pesticide usage occurs, and decreased with distance down the ri rer. While tidal dilution is an important removal mechanism, degradation appears to be the main factor leading to decreases in atrazine concentrations. Atrazine levels observed st the mouth of the river correlated more strongly with high river flow events compared with the other analytes. This may be due to a local source of atrazine in the lower Patuxent River. Despite similar use rates in the watershed, metolachlor concentrations were 25 to 40 times lower than atrazine. Overall, triazine herbicides appeared to move quickly into the river and persisted longer in surface waters compared with the acetanilide herbicides. Since land use and agricultural crop patterns in the Patuxent watershed are similar to other western shore Chesapeake Bay tributaries, results of this study may be used as a starting </w:instrText>
            </w:r>
            <w:r w:rsidR="00694227">
              <w:rPr>
                <w:rFonts w:hint="eastAsia"/>
                <w:color w:val="0070C0"/>
                <w:sz w:val="22"/>
              </w:rPr>
              <w:instrText>point to predict pesticide fate and transport in this region.","author":[{"dropping-particle":"","family":"Harman</w:instrText>
            </w:r>
            <w:r w:rsidR="00694227">
              <w:rPr>
                <w:rFonts w:hint="eastAsia"/>
                <w:color w:val="0070C0"/>
                <w:sz w:val="22"/>
              </w:rPr>
              <w:instrText>‐</w:instrText>
            </w:r>
            <w:r w:rsidR="00694227">
              <w:rPr>
                <w:rFonts w:hint="eastAsia"/>
                <w:color w:val="0070C0"/>
                <w:sz w:val="22"/>
              </w:rPr>
              <w:instrText xml:space="preserve">Fetcho","given":"J. A.","non-dropping-particle":"","parse-names":false,"suffix":""},{"dropping-particle":"","family":"McConnell","given":"L. </w:instrText>
            </w:r>
            <w:r w:rsidR="00694227">
              <w:rPr>
                <w:color w:val="0070C0"/>
                <w:sz w:val="22"/>
              </w:rPr>
              <w:instrText>L.","non-dropping-particle":"","parse-names":false,"suffix":""},{"dropping-particle":"","family":"Baker","given":"J. E.","non-dropping-particle":"","parse-names":false,"suffix":""}],"container-title":"Journal of Environmental Quality","id":"ITEM-1","issue":"3","issued":{"date-parts":[["1999"]]},"page":"928-938","title":"Agricultural Pesticides in the Patuxent River, a Tributary of the Chesapeake Bay","type":"article-journal","volume":"28"},"uris":["http://www.mendeley.com/documents/?uuid=e505013b-435f-4cfc-87cc-fef3671c78a9"]}],"mendeley":{"formattedCitation":"&lt;sup&gt;46&lt;/sup&gt;","plainTextFormattedCitation":"46","previouslyFormattedCitation":"&lt;sup&gt;46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46</w:t>
            </w:r>
            <w:r w:rsidRPr="00E547AD">
              <w:rPr>
                <w:color w:val="0070C0"/>
                <w:sz w:val="22"/>
              </w:rPr>
              <w:fldChar w:fldCharType="end"/>
            </w:r>
          </w:p>
        </w:tc>
      </w:tr>
      <w:tr w:rsidR="002D64E5" w:rsidRPr="00E547AD" w14:paraId="034F0F0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099237" w14:textId="77777777" w:rsidR="005E13E8" w:rsidRPr="00E547AD" w:rsidRDefault="005E13E8" w:rsidP="002D64E5">
            <w:pPr>
              <w:rPr>
                <w:color w:val="000000"/>
                <w:sz w:val="22"/>
              </w:rPr>
            </w:pPr>
            <w:r w:rsidRPr="00E547AD">
              <w:rPr>
                <w:color w:val="000000"/>
                <w:sz w:val="22"/>
              </w:rPr>
              <w:t>North America</w:t>
            </w:r>
          </w:p>
        </w:tc>
        <w:tc>
          <w:tcPr>
            <w:tcW w:w="0" w:type="auto"/>
          </w:tcPr>
          <w:p w14:paraId="153B014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3ADBF1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0B88A03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Susquehanna River</w:t>
            </w:r>
          </w:p>
        </w:tc>
        <w:tc>
          <w:tcPr>
            <w:tcW w:w="0" w:type="auto"/>
          </w:tcPr>
          <w:p w14:paraId="1376FCB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61</w:t>
            </w:r>
          </w:p>
        </w:tc>
        <w:tc>
          <w:tcPr>
            <w:tcW w:w="0" w:type="auto"/>
          </w:tcPr>
          <w:p w14:paraId="56C94AFF" w14:textId="4FEC3DF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{"citationItems":[{"id":"ITEM-1","itemData":{"DOI":"10.2134/jeq1999.00472425002800030025x","ISSN":"0047-2425","abstract":"The Chesapeake Bay estuarine drainage area receives the highest pesticide application of any coastal area in the USA, however, large gaps exist in information on pesticide residues entering Chesapeake Bay tributaries. Twelve pesticides, one pesticide degradation product, and one formulation by-product were measured in the surface waters of the Patuxent River during spring/summer 1995, pesticide concentrations were compared with river now and estimated use patterns in the watershed. Atrazine, 6-amino-2-chloro-4-isopropylamino-s-triazine (CIAT), simazine, metolachlor, and chlorpyrifos were consistently detected,with maximum concentrations of 3000, 800, 2700, 70, and 190 ng/L, respectively. Concentrations were highest in the upper watershed, an area where 70% of pesticide usage occurs, and decreased with distance down the ri rer. While tidal dilution is an important removal mechanism, degradation appears to be the main factor leading to decreases in atrazine concentrations. Atrazine levels observed st the mouth of the river correlated more strongly with high river flow events compared with the other analytes. This may be due to a local source of atrazine in the lower Patuxent River. Despite similar use rates in the watershed, metolachlor concentrations were 25 to 40 times lower than atrazine. Overall, triazine herbicides appeared to move quickly into the river and persisted longer in surface waters compared with the acetanilide herbicides. Since land use and agricultural crop patterns in the Patuxent watershed are similar to other western shore Chesapeake Bay tributaries, results of this study may be used as a starting </w:instrText>
            </w:r>
            <w:r w:rsidR="00694227">
              <w:rPr>
                <w:rFonts w:hint="eastAsia"/>
                <w:color w:val="0070C0"/>
                <w:sz w:val="22"/>
              </w:rPr>
              <w:instrText>point to predict pesticide fate and transport in this region.","author":[{"dropping-particle":"","family":"Harman</w:instrText>
            </w:r>
            <w:r w:rsidR="00694227">
              <w:rPr>
                <w:rFonts w:hint="eastAsia"/>
                <w:color w:val="0070C0"/>
                <w:sz w:val="22"/>
              </w:rPr>
              <w:instrText>‐</w:instrText>
            </w:r>
            <w:r w:rsidR="00694227">
              <w:rPr>
                <w:rFonts w:hint="eastAsia"/>
                <w:color w:val="0070C0"/>
                <w:sz w:val="22"/>
              </w:rPr>
              <w:instrText xml:space="preserve">Fetcho","given":"J. A.","non-dropping-particle":"","parse-names":false,"suffix":""},{"dropping-particle":"","family":"McConnell","given":"L. </w:instrText>
            </w:r>
            <w:r w:rsidR="00694227">
              <w:rPr>
                <w:color w:val="0070C0"/>
                <w:sz w:val="22"/>
              </w:rPr>
              <w:instrText>L.","non-dropping-particle":"","parse-names":false,"suffix":""},{"dropping-particle":"","family":"Baker","given":"J. E.","non-dropping-particle":"","parse-names":false,"suffix":""}],"container-title":"Journal of Environmental Quality","id":"ITEM-1","issue":"3","issued":{"date-parts":[["1999"]]},"page":"928-938","title":"Agricultural Pesticides in the Patuxent River, a Tributary of the Chesapeake Bay","type":"article-journal","volume":"28"},"uris":["http://www.mendeley.com/documents/?uuid=e505013b-435f-4cfc-87cc-fef3671c78a9"]}],"mendeley":{"formattedCitation":"&lt;sup&gt;46&lt;/sup&gt;","plainTextFormattedCitation":"46","previouslyFormattedCitation":"&lt;sup&gt;46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46</w:t>
            </w:r>
            <w:r w:rsidRPr="00E547AD">
              <w:rPr>
                <w:color w:val="0070C0"/>
                <w:sz w:val="22"/>
              </w:rPr>
              <w:fldChar w:fldCharType="end"/>
            </w:r>
          </w:p>
        </w:tc>
      </w:tr>
      <w:tr w:rsidR="005E13E8" w:rsidRPr="00E547AD" w14:paraId="23C761C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B0032B9" w14:textId="77777777" w:rsidR="005E13E8" w:rsidRPr="00E547AD" w:rsidRDefault="005E13E8" w:rsidP="002D64E5">
            <w:pPr>
              <w:rPr>
                <w:color w:val="000000"/>
                <w:sz w:val="22"/>
              </w:rPr>
            </w:pPr>
            <w:r w:rsidRPr="00E547AD">
              <w:rPr>
                <w:color w:val="000000"/>
                <w:sz w:val="22"/>
              </w:rPr>
              <w:t>North America</w:t>
            </w:r>
          </w:p>
        </w:tc>
        <w:tc>
          <w:tcPr>
            <w:tcW w:w="0" w:type="auto"/>
          </w:tcPr>
          <w:p w14:paraId="21A6990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F48BC3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7469FE3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Louisiana</w:t>
            </w:r>
          </w:p>
        </w:tc>
        <w:tc>
          <w:tcPr>
            <w:tcW w:w="0" w:type="auto"/>
          </w:tcPr>
          <w:p w14:paraId="214A267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33</w:t>
            </w:r>
          </w:p>
          <w:p w14:paraId="34B3429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(3.3-104)</w:t>
            </w:r>
          </w:p>
        </w:tc>
        <w:tc>
          <w:tcPr>
            <w:tcW w:w="0" w:type="auto"/>
          </w:tcPr>
          <w:p w14:paraId="5C0E184E" w14:textId="77814D7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{"citationItems":[{"id":"ITEM-1","itemData":{"DOI":"10.1016/j.microc.2019.01.060","ISSN":"0026265X","abstract":"The pesticides atrazine, chlorothalonil, and fipronil are common surface water contaminants due to their high rates of application and their chemical properties. This study investigates the introduction of contaminants into coastal wetlands via the Bayou Lamoque Mississippi River control structure in Plaquemines Parish, Louisiana; results serve as a model for future studies regarding contaminant introduction from freshwater diversions aimed at Gulf Coast restoration. A protocol for environmental sampling using Continuous Low-level Aquatic Monitoring (C.L.A.M.) C-18 disks is described, along with effective solid phase extraction (SPE) and gas chromatography mass spectrometry (GC/MS) methodology for the determination of atrazine, chlorothalonil, and fipronil in surface water. Average concentrations of atrazine and chlorothalonil inside the Bayou Lamoque freshwater diversion structure for the months of June – October 2016, were 33.3 ng l −1 and 3.5 ng l −1 , respectively. Fipronil was not detected in concentrations exceeding its method detection limit of 1.26 ng l −1 . The detected concentrations are innocuous to non-target organisms based on current ecotoxicity data, and are likely a result of runoff from nearby upstream agricultural and residential land.","author":[{"dropping-particle":"","family":"Callicott","given":"Kara","non-dropping-particle":"","parse-names":false,"suffix":""},{"dropping-particle":"","family":"Hooper-Bùi","given":"Linda","non-dropping-particle":"","parse-names":false,"suffix":""}],"container-title":"Microchemical Journal","id":"ITEM-1","issue":"July 2018","issued":{"date-parts":[["2019"]]},"page":"1241-1248","publisher":"Elsevier","title":"An investigation of environmental concentrations of atrazine, chlorothalonil, and fipronil in a Mississippi River-influenced marsh in southern Louisiana","type":"article-journal","volume":"146"},"uris":["http://www.mendeley.com/documents/?uuid=76f22e7c-8b8f-4055-b1ee-59c122f64415"]}],"mendeley":{"formattedCitation":"&lt;sup&gt;47&lt;/sup&gt;","plainTextFormattedCitation":"47","previouslyFormattedCitation":"&lt;sup&gt;47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47</w:t>
            </w:r>
            <w:r w:rsidRPr="00E547AD">
              <w:rPr>
                <w:color w:val="0070C0"/>
                <w:sz w:val="22"/>
              </w:rPr>
              <w:fldChar w:fldCharType="end"/>
            </w:r>
          </w:p>
        </w:tc>
      </w:tr>
      <w:tr w:rsidR="002D64E5" w:rsidRPr="00E547AD" w14:paraId="2F6BA1B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FF9372" w14:textId="77777777" w:rsidR="005E13E8" w:rsidRPr="00E547AD" w:rsidRDefault="005E13E8" w:rsidP="002D64E5">
            <w:pPr>
              <w:rPr>
                <w:color w:val="000000"/>
                <w:sz w:val="22"/>
              </w:rPr>
            </w:pPr>
            <w:r w:rsidRPr="00E547AD">
              <w:rPr>
                <w:color w:val="000000"/>
                <w:sz w:val="22"/>
              </w:rPr>
              <w:t>North America</w:t>
            </w:r>
          </w:p>
        </w:tc>
        <w:tc>
          <w:tcPr>
            <w:tcW w:w="0" w:type="auto"/>
          </w:tcPr>
          <w:p w14:paraId="11C8491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4BA7E40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02E4762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USA</w:t>
            </w:r>
          </w:p>
        </w:tc>
        <w:tc>
          <w:tcPr>
            <w:tcW w:w="0" w:type="auto"/>
          </w:tcPr>
          <w:p w14:paraId="11958F3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28</w:t>
            </w:r>
          </w:p>
          <w:p w14:paraId="31A2CFD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(1-2600)</w:t>
            </w:r>
          </w:p>
        </w:tc>
        <w:tc>
          <w:tcPr>
            <w:tcW w:w="0" w:type="auto"/>
          </w:tcPr>
          <w:p w14:paraId="4E0BA2A6" w14:textId="7BCA8F40"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{"citationItems":[{"id":"ITEM-1","itemData":{"DOI":"10.2134/jeq2007.0054","ISSN":"00472425","PMID":"18765768","abstract":"Pesticide data for ground water sampled across the United States between 1993-1995 and 2001-2003 by the U.S. Geological Survey National Water-Quality Assessment Program were evaluated for trends in detection frequency and concentration. The data analysis evaluated samples collected from a total of 362 wells located in 12 local well networks characterizing shallow ground water in agricultural areas and six local well networks characterizing the drinking water resource in areas of variable land use. Each well network was sampled once during 1993-1995 and once during 2001-2003. The networks provide an overview of conditions across a wide range of hydrogeologic settings and in major agricultural areas that vary in dominant crop type and pesticide use. Of about 80 pesticide compounds analyzed, only six compounds were detected in ground water from at least 10 wells during both sampling events. These compounds were the triazine herbicides atrazine, simazine, and prometon; the acetanilide herbicide metolachlor; the urea herbicide tebuthiuron; and an atrazine degradate, deethylatrazine (DEA). Observed concentrations of these compounds generally were &lt; 0.12 microg L(-1). At individual wells, changes in concentrations typically were &lt; 0.02 microg L(-1). Data analysis incorporated adjustments for changes in laboratory recovery as assessed through laboratory spikes. In wells yielding detectable concentrations of atrazine, DEA, and prometon, concentrations were significantly lower (alpha = 0.1) in 2001-2003 than in 1993-1995, whereas detection frequency of these compounds did not change significantly. Trends in atrazine concentrations at shallow wells in agricultural areas were found to be consistent overall with recent atrazine use data.","author":[{"dropping-particle":"","family":"Bexfield","given":"Laura M.","non-dropping-particle":"","parse-names":false,"suffix":""}],"container-title":"Journal of Environmental Quality","id":"ITEM-1","issue":"S5","issued":{"date-parts":[["2008"]]},"page":"S-226-S-239","title":"Decadal-Scale Changes of Pesticides in Ground Water of the United States, 1993-2003","type":"article-journal","volume":"37"},"uris":["http://www.mendeley.com/documents/?uuid=bb9bdb15-c344-46ea-a055-0720e2eefeea"]}],"mendeley":{"formattedCitation":"&lt;sup&gt;40&lt;/sup&gt;","plainTextFormattedCitation":"40","previouslyFormattedCitation":"&lt;sup&gt;40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40</w:t>
            </w:r>
            <w:r w:rsidRPr="00E547AD">
              <w:rPr>
                <w:color w:val="0070C0"/>
                <w:sz w:val="22"/>
              </w:rPr>
              <w:fldChar w:fldCharType="end"/>
            </w:r>
          </w:p>
        </w:tc>
      </w:tr>
      <w:tr w:rsidR="005E13E8" w:rsidRPr="00E547AD" w14:paraId="3B3DA11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F2769B4" w14:textId="77777777" w:rsidR="005E13E8" w:rsidRPr="00E547AD" w:rsidRDefault="005E13E8" w:rsidP="002D64E5">
            <w:pPr>
              <w:rPr>
                <w:color w:val="000000"/>
                <w:sz w:val="22"/>
              </w:rPr>
            </w:pPr>
            <w:r w:rsidRPr="00E547AD">
              <w:rPr>
                <w:color w:val="000000"/>
                <w:sz w:val="22"/>
              </w:rPr>
              <w:t>North America</w:t>
            </w:r>
          </w:p>
        </w:tc>
        <w:tc>
          <w:tcPr>
            <w:tcW w:w="0" w:type="auto"/>
          </w:tcPr>
          <w:p w14:paraId="360F0D2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7A77BD0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2003</w:t>
            </w:r>
          </w:p>
        </w:tc>
        <w:tc>
          <w:tcPr>
            <w:tcW w:w="0" w:type="auto"/>
          </w:tcPr>
          <w:p w14:paraId="5E9B69B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USA</w:t>
            </w:r>
          </w:p>
        </w:tc>
        <w:tc>
          <w:tcPr>
            <w:tcW w:w="0" w:type="auto"/>
          </w:tcPr>
          <w:p w14:paraId="0B32955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21</w:t>
            </w:r>
          </w:p>
          <w:p w14:paraId="2E976BD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(1-1930)</w:t>
            </w:r>
          </w:p>
        </w:tc>
        <w:tc>
          <w:tcPr>
            <w:tcW w:w="0" w:type="auto"/>
          </w:tcPr>
          <w:p w14:paraId="02100287" w14:textId="71EFB626"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{"citationItems":[{"id":"ITEM-1","itemData":{"DOI":"10.2134/jeq2007.0054","ISSN":"00472425","PMID":"18765768","abstract":"Pesticide data for ground water sampled across the United States between 1993-1995 and 2001-2003 by the U.S. Geological Survey National Water-Quality Assessment Program were evaluated for trends in detection frequency and concentration. The data analysis evaluated samples collected from a total of 362 wells located in 12 local well networks characterizing shallow ground water in agricultural areas and six local well networks characterizing the drinking water resource in areas of variable land use. Each well network was sampled once during 1993-1995 and once during 2001-2003. The networks provide an overview of conditions across a wide range of hydrogeologic settings and in major agricultural areas that vary in dominant crop type and pesticide use. Of about 80 pesticide compounds analyzed, only six compounds were detected in ground water from at least 10 wells during both sampling events. These compounds were the triazine herbicides atrazine, simazine, and prometon; the acetanilide herbicide metolachlor; the urea herbicide tebuthiuron; and an atrazine degradate, deethylatrazine (DEA). Observed concentrations of these compounds generally were &lt; 0.12 microg L(-1). At individual wells, changes in concentrations typically were &lt; 0.02 microg L(-1). Data analysis incorporated adjustments for changes in laboratory recovery as assessed through laboratory spikes. In wells yielding detectable concentrations of atrazine, DEA, and prometon, concentrations were significantly lower (alpha = 0.1) in 2001-2003 than in 1993-1995, whereas detection frequency of these compounds did not change significantly. Trends in atrazine concentrations at shallow wells in agricultural areas were found to be consistent overall with recent atrazine use data.","author":[{"dropping-particle":"","family":"Bexfield","given":"Laura M.","non-dropping-particle":"","parse-names":false,"suffix":""}],"container-title":"Journal of Environmental Quality","id":"ITEM-1","issue":"S5","issued":{"date-parts":[["2008"]]},"page":"S-226-S-239","title":"Decadal-Scale Changes of Pesticides in Ground Water of the United States, 1993-2003","type":"article-journal","volume":"37"},"uris":["http://www.mendeley.com/documents/?uuid=bb9bdb15-c344-46ea-a055-0720e2eefeea"]}],"mendeley":{"formattedCitation":"&lt;sup&gt;40&lt;/sup&gt;","plainTextFormattedCitation":"40","previouslyFormattedCitation":"&lt;sup&gt;40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40</w:t>
            </w:r>
            <w:r w:rsidRPr="00E547AD">
              <w:rPr>
                <w:color w:val="0070C0"/>
                <w:sz w:val="22"/>
              </w:rPr>
              <w:fldChar w:fldCharType="end"/>
            </w:r>
          </w:p>
        </w:tc>
      </w:tr>
      <w:tr w:rsidR="002D64E5" w:rsidRPr="00E547AD" w14:paraId="15348981"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5A34CB" w14:textId="77777777" w:rsidR="005E13E8" w:rsidRPr="00E547AD" w:rsidRDefault="005E13E8" w:rsidP="002D64E5">
            <w:pPr>
              <w:rPr>
                <w:color w:val="000000"/>
                <w:sz w:val="22"/>
              </w:rPr>
            </w:pPr>
            <w:r w:rsidRPr="00E547AD">
              <w:rPr>
                <w:color w:val="000000"/>
                <w:sz w:val="22"/>
              </w:rPr>
              <w:t>North America</w:t>
            </w:r>
          </w:p>
        </w:tc>
        <w:tc>
          <w:tcPr>
            <w:tcW w:w="0" w:type="auto"/>
          </w:tcPr>
          <w:p w14:paraId="0DA8322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0897E26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45D6192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Beasley Lake</w:t>
            </w:r>
          </w:p>
        </w:tc>
        <w:tc>
          <w:tcPr>
            <w:tcW w:w="0" w:type="auto"/>
          </w:tcPr>
          <w:p w14:paraId="4190F2A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1836</w:t>
            </w:r>
          </w:p>
          <w:p w14:paraId="70B9843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(132-3539)</w:t>
            </w:r>
          </w:p>
        </w:tc>
        <w:tc>
          <w:tcPr>
            <w:tcW w:w="0" w:type="auto"/>
          </w:tcPr>
          <w:p w14:paraId="18126835" w14:textId="4A11DDC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{"citationItems":[{"id":"ITEM-1","itemData":{"DOI":"10.1007/s00128-016-2020-3","ISBN":"0123456789","ISSN":"14320800","PMID":"28078369","abstract":"The study examined the influence of land-use (cropping patterns) and integrated agricultural best management practices (BMPs) on spring herbicide levels in an agricultural watershed. Atrazine and metolachlor were applied for weed control during spring of 1998–2002, 2005, and 2007–2013. Watershed-wide mass of applied herbicides ranged from 12.7 to 209.2 g atrazine and 10.9–302.2 g metolachlor with greatest application during 1998, 2009–2010 (atrazine) and 2007–2013 (metolachlor). Spring herbicide concentrations in Beasley Lake water ranged from below detection to 3.54 μg atrazine/L and 3.01 μg metolachlor/L. Multiple linear regression analyses with cropping patterns, BMPs, rainfall and time as independent variables, showed atrazine applications were associated with increases in cotton acreage and quail buffer, while metolachlor applications increased over time. Multiple linear regressions showed lake atrazine concentrations were associated with conservation tillage, rainfall, and corn, while lake metolachlor concentrations were associated with the cumulative metolachlor application and sediment retention pond installation.","author":[{"dropping-particle":"","family":"Lizotte","given":"Richard","non-dropping-particle":"","parse-names":false,"suffix":""},{"dropping-particle":"","family":"Locke","given":"Martin","non-dropping-particle":"","parse-names":false,"suffix":""},{"dropping-particle":"","family":"Bingner","given":"Ronald","non-dropping-particle":"","parse-names":false,"suffix":""},{"dropping-particle":"","family":"Steinriede","given":"R. Wade","non-dropping-particle":"","parse-names":false,"suffix":""},{"dropping-particle":"","family":"Smith","given":"Sammie","non-dropping-particle":"","parse-names":false,"suffix":""}],"container-title":"Bulletin of Environmental Contamination and Toxicology","id":"ITEM-1","issue":"4","issued":{"date-parts":[["2017"]]},"page":"447-453","publisher":"Springer US","title":"Effectiveness of Integrated Best Management Practices on Mitigation of Atrazine and Metolachlor in an Agricultural Lake Watershed","type":"article-journal","volume":"98"},"uris":["http://www.mendeley.com/documents/?uuid=3f2fb982-a275-4222-ad8e-d8be4e974891"]}],"mendeley":{"formattedCitation":"&lt;sup&gt;48&lt;/sup&gt;","plainTextFormattedCitation":"48","previouslyFormattedCitation":"&lt;sup&gt;48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48</w:t>
            </w:r>
            <w:r w:rsidRPr="00E547AD">
              <w:rPr>
                <w:color w:val="0070C0"/>
                <w:sz w:val="22"/>
              </w:rPr>
              <w:fldChar w:fldCharType="end"/>
            </w:r>
          </w:p>
        </w:tc>
      </w:tr>
      <w:tr w:rsidR="005E13E8" w:rsidRPr="00E547AD" w14:paraId="59AC541F"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B8BE1F2" w14:textId="77777777" w:rsidR="005E13E8" w:rsidRPr="00E547AD" w:rsidRDefault="005E13E8" w:rsidP="002D64E5">
            <w:pPr>
              <w:rPr>
                <w:color w:val="000000"/>
                <w:sz w:val="22"/>
              </w:rPr>
            </w:pPr>
            <w:r w:rsidRPr="00E547AD">
              <w:rPr>
                <w:color w:val="000000"/>
                <w:sz w:val="22"/>
              </w:rPr>
              <w:t>North America</w:t>
            </w:r>
          </w:p>
        </w:tc>
        <w:tc>
          <w:tcPr>
            <w:tcW w:w="0" w:type="auto"/>
          </w:tcPr>
          <w:p w14:paraId="6067D0B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9BEC11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1993</w:t>
            </w:r>
          </w:p>
        </w:tc>
        <w:tc>
          <w:tcPr>
            <w:tcW w:w="0" w:type="auto"/>
          </w:tcPr>
          <w:p w14:paraId="76035E0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Nevada</w:t>
            </w:r>
          </w:p>
        </w:tc>
        <w:tc>
          <w:tcPr>
            <w:tcW w:w="0" w:type="auto"/>
          </w:tcPr>
          <w:p w14:paraId="7A3C4E3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190</w:t>
            </w:r>
          </w:p>
          <w:p w14:paraId="7690D1F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(80-700)</w:t>
            </w:r>
          </w:p>
        </w:tc>
        <w:tc>
          <w:tcPr>
            <w:tcW w:w="0" w:type="auto"/>
          </w:tcPr>
          <w:p w14:paraId="2CD3F009" w14:textId="3A2224E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{"citationItems":[{"id":"ITEM-1","itemData":{"DOI":"10.2136/sssaj1997.03615995006100010038x","ISSN":"0361-5995","abstract":"Soil and nutrient losses are tolerable when corn (Zea mays L.) and soybean [Glycine max (L.) Merr.] are grown in rotation on steep slopes in northern Appalachia if conservation tillage is used and a rye (Secale cereale L.) cover crop follows soybean harvest. Herbicide losses and concentrations in runoff resulting from this rotation, however, may be unacceptable. Th</w:instrText>
            </w:r>
            <w:r w:rsidR="00694227">
              <w:rPr>
                <w:rFonts w:hint="eastAsia"/>
                <w:color w:val="0070C0"/>
                <w:sz w:val="22"/>
              </w:rPr>
              <w:instrText>erefore, runoff from two chiseled and two no-till watersheds was monitored for 4 yr to determine the effect of this cropping sequence on losses of four commonly used herbicides: alachlor [2-chloro-2</w:instrText>
            </w:r>
            <w:r w:rsidR="00694227">
              <w:rPr>
                <w:rFonts w:hint="eastAsia"/>
                <w:color w:val="0070C0"/>
                <w:sz w:val="22"/>
              </w:rPr>
              <w:instrText>′</w:instrText>
            </w:r>
            <w:r w:rsidR="00694227">
              <w:rPr>
                <w:rFonts w:hint="eastAsia"/>
                <w:color w:val="0070C0"/>
                <w:sz w:val="22"/>
              </w:rPr>
              <w:instrText>,6</w:instrText>
            </w:r>
            <w:r w:rsidR="00694227">
              <w:rPr>
                <w:rFonts w:hint="eastAsia"/>
                <w:color w:val="0070C0"/>
                <w:sz w:val="22"/>
              </w:rPr>
              <w:instrText>′</w:instrText>
            </w:r>
            <w:r w:rsidR="00694227">
              <w:rPr>
                <w:rFonts w:hint="eastAsia"/>
                <w:color w:val="0070C0"/>
                <w:sz w:val="22"/>
              </w:rPr>
              <w:instrText>-diethyl-N-(methoxymethyl) acetanilide], atrazine [2-</w:instrText>
            </w:r>
            <w:r w:rsidR="00694227">
              <w:rPr>
                <w:color w:val="0070C0"/>
                <w:sz w:val="22"/>
              </w:rPr>
              <w:instrText>chloro-4-(ethylamino)-6-(isopropylamino)-s-triazine], linuron [3-(3,4-dichlorophenyl)-1-methoxy-1-methylurea], and metribuzin [4-amino-6-(1,1-dimethylethyl)-3-(methylthio)-1,2,4-triazin-5(4H)-one]. The spectrum of weeds controlled by linuron is similar to that of atrazine and their losses were compared to determine if substitution of linuron for atrazine would decrease herbicide loss in runoff. As a percentage of applied chemical, average losses were small with atrazine (0.31%) &gt; linuron (0.20%) &gt; metribuzin (0.14%) &gt; alachlor (0.05%). At times, however, herbicide concentrations may be a concern. Atrazine concentrations consistently exceeded the lifetime Health Advisory Level-Maximum Contaminant Level (HAL-MCL) of 3 µg L−1 in the first few runoff events a</w:instrText>
            </w:r>
            <w:r w:rsidR="00694227">
              <w:rPr>
                <w:rFonts w:hint="eastAsia"/>
                <w:color w:val="0070C0"/>
                <w:sz w:val="22"/>
              </w:rPr>
              <w:instrText xml:space="preserve">fter application. In addition, atrazine was detectable in runoff during soybean years, at times above the HAL-MCL. Average linuron loss was significantly less (P </w:instrText>
            </w:r>
            <w:r w:rsidR="00694227">
              <w:rPr>
                <w:rFonts w:hint="eastAsia"/>
                <w:color w:val="0070C0"/>
                <w:sz w:val="22"/>
              </w:rPr>
              <w:instrText>≤</w:instrText>
            </w:r>
            <w:r w:rsidR="00694227">
              <w:rPr>
                <w:rFonts w:hint="eastAsia"/>
                <w:color w:val="0070C0"/>
                <w:sz w:val="22"/>
              </w:rPr>
              <w:instrText xml:space="preserve"> 0.05) than that of atrazine and linuron was rarely detected in runoff following corn harves</w:instrText>
            </w:r>
            <w:r w:rsidR="00694227">
              <w:rPr>
                <w:color w:val="0070C0"/>
                <w:sz w:val="22"/>
              </w:rPr>
              <w:instrText>t or during soybean years. The 2 µg L−1 MCL for alachlor was only exceeded during the first few events after application, whereas metribuzin concentrations never exceeded the HAL of 200 µg L−1.","author":[{"dropping-particle":"","family":"Shipitalo","given":"M. J.","non-dropping-particle":"","parse-names":false,"suffix":""},{"dropping-particle":"","family":"Edwards","given":"W. M.","non-dropping-particle":"","parse-names":false,"suffix":""},{"dropping-particle":"","family":"Owens","given":"L. B.","non-dropping-particle":"","parse-names":false,"suffix":""}],"container-title":"Soil Science Society of America Journal","id":"ITEM-1","issue":"1","issued":{"date-parts":[["1997"]]},"page":"267-272","title":"Herbicide Losses in Runoff from Conservation-Tilled Watersheds in a Corn-Soybean Rotation","type":"article-journal","volume":"61"},"uris":["http://www.mendeley.com/documents/?uuid=a4e87aab-fe8c-4c7f-9ed6-7671ad85cc2d"]}],"mendeley":{"formattedCitation":"&lt;sup&gt;49&lt;/sup&gt;","plainTextFormattedCitation":"49","previouslyFormattedCitation":"&lt;sup&gt;49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49</w:t>
            </w:r>
            <w:r w:rsidRPr="00E547AD">
              <w:rPr>
                <w:color w:val="0070C0"/>
                <w:sz w:val="22"/>
              </w:rPr>
              <w:fldChar w:fldCharType="end"/>
            </w:r>
          </w:p>
        </w:tc>
      </w:tr>
      <w:tr w:rsidR="002D64E5" w:rsidRPr="00E547AD" w14:paraId="173D3179"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2414B6" w14:textId="77777777" w:rsidR="005E13E8" w:rsidRPr="00E547AD" w:rsidRDefault="005E13E8" w:rsidP="002D64E5">
            <w:pPr>
              <w:rPr>
                <w:color w:val="000000"/>
                <w:sz w:val="22"/>
              </w:rPr>
            </w:pPr>
            <w:r w:rsidRPr="00E547AD">
              <w:rPr>
                <w:color w:val="000000"/>
                <w:sz w:val="22"/>
              </w:rPr>
              <w:t>North America</w:t>
            </w:r>
          </w:p>
        </w:tc>
        <w:tc>
          <w:tcPr>
            <w:tcW w:w="0" w:type="auto"/>
          </w:tcPr>
          <w:p w14:paraId="5A3B4FB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306E629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15C93AC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Nebraska</w:t>
            </w:r>
          </w:p>
        </w:tc>
        <w:tc>
          <w:tcPr>
            <w:tcW w:w="0" w:type="auto"/>
          </w:tcPr>
          <w:p w14:paraId="63E000A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1766</w:t>
            </w:r>
          </w:p>
          <w:p w14:paraId="2385571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(860-3010)</w:t>
            </w:r>
          </w:p>
        </w:tc>
        <w:tc>
          <w:tcPr>
            <w:tcW w:w="0" w:type="auto"/>
          </w:tcPr>
          <w:p w14:paraId="4D6ADA15" w14:textId="3EED1DD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{"citationItems":[{"id":"ITEM-1","itemData":{"DOI":"10.2134/jeq1997.00472425002600010018x","ISSN":"0047-2425","abstract":"Elevated levels of herbicides in surface and groundwater are a concern in the Cornbelt in the USA. This study was conducted to interpret the herbicide behavior in a watershed system using data collected from runoff, Recharge Lake, and groundwater influenced by agriculture and lake seepage. The York Ground Water Recharge Project was constructed on a tributary of Beaver Creek, which drains a 3327-ha watershed of primarily row-cropped heavily irrigated farmland. The estimated average runoff is 1.48 x 10 6  ms yr -1  under a precipitation norm of 635 mm yr -1 . Maximum atrazine (2- chloro-4-ethylamino-6-isopropylamino-s-triazine) inputs to Recharge Lake occurred in May and June runoff events and resulted in average lake concentrations of 36 and 17 μg L -1  in 1993 and 1994, respectively. Only about 0.28 and 0.19% of total applied atrazine was lost to runoff in 1993 and 1994, respectively. The deethylatrazine (DEA) to atrazine molar ratio (DAR) decreased rapidly over a period of several hours in runoff samples, which is consistent with inputs from recently atrazine-treated soil. After the spring runoff, herbicide levels in Recharge Lake rose rapidly in response to the runoff event, then diminished gradually over a period of months. Atrazine concentrations in Recharge Lake decreased exponentially with time. Degradation half-lives were 237 d (r = 0.93) in 1993 and 209 d (r = 0.91) in 1994. Adjusted DEA concentrations in Recharge Lake remained relatively constant, indicating little evidence for biotic degradation and suggesting that abiotic degradation of atrazine to hydroxyatrazine (2-hydroxy-4- ethylamino-6-isopropylamino-s-triazine) was the most likely major degradative pathway in Recharge Lake.","author":[{"dropping-particle":"","family":"Ma","given":"L.","non-dropping-particle":"","parse-names":false,"suffix":""},{"dropping-particle":"","family":"Spalding","given":"R. F.","non-dropping-particle":"","parse-names":false,"suffix":""}],"container-title":"Journal of Environmental Quality","id":"ITEM-1","issue":"1","issued":{"date-parts":[["1997"]]},"page":"115-125","title":"Herbicide Persistence and Mobility in Recharge Lake Watershed in York, Nebraska","type":"article-journal","volume":"26"},"uris":["http://www.mendeley.com/documents/?uuid=86806a85-5a49-486a-8d58-575efc150567"]}],"mendeley":{"formattedCitation":"&lt;sup&gt;50&lt;/sup&gt;","plainTextFormattedCitation":"50","previouslyFormattedCitation":"&lt;sup&gt;50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50</w:t>
            </w:r>
            <w:r w:rsidRPr="00E547AD">
              <w:rPr>
                <w:color w:val="0070C0"/>
                <w:sz w:val="22"/>
              </w:rPr>
              <w:fldChar w:fldCharType="end"/>
            </w:r>
          </w:p>
        </w:tc>
      </w:tr>
      <w:tr w:rsidR="005E13E8" w:rsidRPr="00E547AD" w14:paraId="5C804F3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19F9A45" w14:textId="77777777" w:rsidR="005E13E8" w:rsidRPr="00E547AD" w:rsidRDefault="005E13E8" w:rsidP="002D64E5">
            <w:pPr>
              <w:rPr>
                <w:color w:val="000000"/>
                <w:sz w:val="22"/>
              </w:rPr>
            </w:pPr>
            <w:r w:rsidRPr="00E547AD">
              <w:rPr>
                <w:color w:val="000000"/>
                <w:sz w:val="22"/>
              </w:rPr>
              <w:t xml:space="preserve">North </w:t>
            </w:r>
            <w:r w:rsidRPr="00E547AD">
              <w:rPr>
                <w:color w:val="000000"/>
                <w:sz w:val="22"/>
              </w:rPr>
              <w:lastRenderedPageBreak/>
              <w:t>America</w:t>
            </w:r>
          </w:p>
        </w:tc>
        <w:tc>
          <w:tcPr>
            <w:tcW w:w="0" w:type="auto"/>
          </w:tcPr>
          <w:p w14:paraId="02EDFC1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lastRenderedPageBreak/>
              <w:t>USA</w:t>
            </w:r>
          </w:p>
        </w:tc>
        <w:tc>
          <w:tcPr>
            <w:tcW w:w="0" w:type="auto"/>
          </w:tcPr>
          <w:p w14:paraId="7EECF2F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6330F9A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Nebraska</w:t>
            </w:r>
          </w:p>
        </w:tc>
        <w:tc>
          <w:tcPr>
            <w:tcW w:w="0" w:type="auto"/>
          </w:tcPr>
          <w:p w14:paraId="68E6F81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905</w:t>
            </w:r>
          </w:p>
          <w:p w14:paraId="7FC8D54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lastRenderedPageBreak/>
              <w:t>(150-2110)</w:t>
            </w:r>
          </w:p>
        </w:tc>
        <w:tc>
          <w:tcPr>
            <w:tcW w:w="0" w:type="auto"/>
          </w:tcPr>
          <w:p w14:paraId="56AA40AF" w14:textId="7E55540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lastRenderedPageBreak/>
              <w:fldChar w:fldCharType="begin" w:fldLock="1"/>
            </w:r>
            <w:r w:rsidR="00694227">
              <w:rPr>
                <w:color w:val="0070C0"/>
                <w:sz w:val="22"/>
              </w:rPr>
              <w:instrText>ADDIN CSL_CITATION {"citationItems":[{"id":"ITEM-1","itemData":{"DOI":"10.2134/jeq1997.00472425002600010018x","ISSN":"0047-2425","abstract":"Elevated levels of herbicides in surface and groundwater are a concern in the Cornbelt in the USA. This study was conducted to interpret the herbicide behavior in a watershed system using data collected from runoff, Recharge Lake, and groundwater influenced by agriculture and lake seepage. The York Ground Water Recharge Project was constructed on a tributary of Beaver Creek, which drains a 3327-ha watershed of primarily row-cropped heavily irrigated farmland. The estimated average runoff is 1.48 x 10 6  ms yr -1  under a precipitation norm of 635 mm yr -1 . Maximum atrazine (2- chloro-4-ethylamino-6-isopropylamino-s-triazine) inputs to Recharge Lake occurred in May and June runoff events and resulted in average lake concentrations of 36 and 17 μg L -1  in 1993 and 1994, respectively. Only about 0.28 and 0.19% of total applied atrazine was lost to runoff in 1993 and 1994, respectively. The deethylatrazine (DEA) to atrazine molar ratio (DAR) decreased rapidly over a period of several hours in runoff samples, which is consistent with inputs from recently atrazine-treated soil. After the spring runoff, herbicide levels in Recharge Lake rose rapidly in response to the runoff event, then diminished gradually over a period of months. Atrazine concentrations in Recharge Lake decreased exponentially with time. Degradation half-lives were 237 d (r = 0.93) in 1993 and 209 d (r = 0.91) in 1994. Adjusted DEA concentrations in Recharge Lake remained relatively constant, indicating little evidence for biotic degradation and suggesting that abiotic degradation of atrazine to hydroxyatrazine (2-hydroxy-4- ethylamino-6-isopropylamino-s-triazine) was the most likely major degradative pathway in Recharge Lake.","author":[{"dropping-particle":"","family":"Ma","given":"L.","non-dropping-particle":"","parse-names":false,"suffix":""},{"dropping-particle":"","family":"Spalding","given":"R. F.","non-dropping-particle":"","parse-names":false,"suffix":""}],"container-title":"Journal of Environmental Quality","id":"ITEM-1","issue":"1","issued":{"date-parts":[["1997"]]},"page":"115-125","title":"Herbicide Persistence and Mobility in Recharge Lake Watershed in York, Nebraska","type":"article-journal","volume":"26"},"uris":["http://www.mendeley.com/documents/?uuid=86806a85-5a49-486a-8d58-575efc150567"]}],"mendeley":{"formattedCitation":"&lt;sup&gt;50&lt;/sup&gt;","plainTextFormattedCitation":"50","previouslyFormattedCitation":"&lt;sup&gt;50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50</w:t>
            </w:r>
            <w:r w:rsidRPr="00E547AD">
              <w:rPr>
                <w:color w:val="0070C0"/>
                <w:sz w:val="22"/>
              </w:rPr>
              <w:fldChar w:fldCharType="end"/>
            </w:r>
          </w:p>
        </w:tc>
      </w:tr>
      <w:tr w:rsidR="002D64E5" w:rsidRPr="00E547AD" w14:paraId="62A87C69"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6BE26C" w14:textId="77777777" w:rsidR="005E13E8" w:rsidRPr="00E547AD" w:rsidRDefault="005E13E8" w:rsidP="002D64E5">
            <w:pPr>
              <w:rPr>
                <w:color w:val="000000"/>
                <w:sz w:val="22"/>
              </w:rPr>
            </w:pPr>
            <w:r w:rsidRPr="00E547AD">
              <w:rPr>
                <w:color w:val="000000"/>
                <w:sz w:val="22"/>
              </w:rPr>
              <w:t>North America</w:t>
            </w:r>
          </w:p>
        </w:tc>
        <w:tc>
          <w:tcPr>
            <w:tcW w:w="0" w:type="auto"/>
          </w:tcPr>
          <w:p w14:paraId="62DA233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6586215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2006</w:t>
            </w:r>
          </w:p>
        </w:tc>
        <w:tc>
          <w:tcPr>
            <w:tcW w:w="0" w:type="auto"/>
          </w:tcPr>
          <w:p w14:paraId="65B8F19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Salt River Basin</w:t>
            </w:r>
          </w:p>
        </w:tc>
        <w:tc>
          <w:tcPr>
            <w:tcW w:w="0" w:type="auto"/>
          </w:tcPr>
          <w:p w14:paraId="0318636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797</w:t>
            </w:r>
          </w:p>
          <w:p w14:paraId="59A944F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(29-149000)</w:t>
            </w:r>
          </w:p>
        </w:tc>
        <w:tc>
          <w:tcPr>
            <w:tcW w:w="0" w:type="auto"/>
          </w:tcPr>
          <w:p w14:paraId="4DC6E769" w14:textId="72BA1FE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{"citationItems":[{"id":"ITEM-1","itemData":{"DOI":"10.1111/j.1752-1688.2010.00503.x","ISSN":"1093474X","abstract":"Atrazine continues to be the herbicide of greatest concern relative to contamination of surface waters in the United States (U.S.). The objectives of this study were to analyze trends in atrazine concentration and load in Goodwater Creek Experimental Watershed (GCEW) from 1992 to 2006, and to conduct a retrospective assessment of the potential aquatic ecosystem impacts caused by atrazine contamination. Located within the Central Claypan Region of northeastern Missouri, GCEW encompasses 72.5km2 of predominantly agricultural land uses, with an average of 21% of the watershed in corn and sorghum. Flow-weighted runoff and weekly base-flow grab samples were collected at the outlet to GCEW and analyzed for atrazine. Cumulative frequency diagrams and linear regression analyses generally showed no significant time trends for atrazine concentration or load. Relative annual loads varied from 0.56 to 14% of the applied atrazine, with a median of 5.9%. A cumulative vulnerability index, which takes into account the interactions between herbicide application, surface runoff events, and atrazine dissipation kinetics, explained 63% of the variation in annual atrazine loads. Based on criteria established by the U.S. Environmental Protection Agency, atrazine reached concentrations considered harmful to aquatic ecosystems in 10 of 15years. Because of its vulnerability, atrazine registrants will be required to work with farmers in GCEW to implement practices that reduce atrazine transport. © 2010 American Water Resources Association. This article is a US Government work and is in the public domain in the USA.","author":[{"dropping-particle":"","family":"Lerch","given":"R. N.","non-dropping-particle":"","parse-names":false,"suffix":""},{"dropping-particle":"","family":"Sadler","given":"E. J.","non-dropping-particle":"","parse-names":false,"suffix":""},{"dropping-particle":"","family":"Sudduth","given":"K. A.","non-dropping-particle":"","parse-names":false,"suffix":""},{"dropping-particle":"","family":"Baffaut","given":"C.","non-dropping-particle":"","parse-names":false,"suffix":""},{"dropping-particle":"","family":"Kitchen","given":"N. R.","non-dropping-particle":"","parse-names":false,"suffix":""}],"container-title":"Journal of the American Water Resources Association","id":"ITEM-1","issue":"2","issued":{"date-parts":[["2011"]]},"page":"209-223","title":"Herbicide Transport in Goodwater Creek ExperimentalWatershed: I. Long-Term Research on Atrazine","type":"article-journal","volume":"47"},"uris":["http://www.mendeley.com/documents/?uuid=3cc15ff0-2543-4552-a235-ff5d5097fe8a"]}],"mendeley":{"formattedCitation":"&lt;sup&gt;51&lt;/sup&gt;","plainTextFormattedCitation":"51","previouslyFormattedCitation":"&lt;sup&gt;51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51</w:t>
            </w:r>
            <w:r w:rsidRPr="00E547AD">
              <w:rPr>
                <w:color w:val="0070C0"/>
                <w:sz w:val="22"/>
              </w:rPr>
              <w:fldChar w:fldCharType="end"/>
            </w:r>
          </w:p>
        </w:tc>
      </w:tr>
      <w:tr w:rsidR="005E13E8" w:rsidRPr="00E547AD" w14:paraId="3451C13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4B9BD1B" w14:textId="77777777" w:rsidR="005E13E8" w:rsidRPr="00E547AD" w:rsidRDefault="005E13E8" w:rsidP="002D64E5">
            <w:pPr>
              <w:rPr>
                <w:color w:val="000000"/>
                <w:sz w:val="22"/>
              </w:rPr>
            </w:pPr>
            <w:r w:rsidRPr="00E547AD">
              <w:rPr>
                <w:color w:val="000000"/>
                <w:sz w:val="22"/>
              </w:rPr>
              <w:t>North America</w:t>
            </w:r>
          </w:p>
        </w:tc>
        <w:tc>
          <w:tcPr>
            <w:tcW w:w="0" w:type="auto"/>
          </w:tcPr>
          <w:p w14:paraId="1498A36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3EC1842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1997</w:t>
            </w:r>
          </w:p>
        </w:tc>
        <w:tc>
          <w:tcPr>
            <w:tcW w:w="0" w:type="auto"/>
          </w:tcPr>
          <w:p w14:paraId="20F7AEE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Midwestern USA</w:t>
            </w:r>
          </w:p>
        </w:tc>
        <w:tc>
          <w:tcPr>
            <w:tcW w:w="0" w:type="auto"/>
          </w:tcPr>
          <w:p w14:paraId="58FE7D0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170</w:t>
            </w:r>
          </w:p>
          <w:p w14:paraId="360E976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(na-1500)</w:t>
            </w:r>
          </w:p>
        </w:tc>
        <w:tc>
          <w:tcPr>
            <w:tcW w:w="0" w:type="auto"/>
          </w:tcPr>
          <w:p w14:paraId="68D451C4" w14:textId="1201D33A"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{"citationItems":[{"id":"ITEM-1","itemData":{"DOI":"10.1111/j.1752-1688.2003.tb04402.x","ISSN":"1093474X","abstract":"Most herbicides applied to crops are adsorbed by plants or transformed (degraded) in the soil, but small fractions are lost from fields and either move to streams in overland runoff, near surface flow, or subsurface drains, or they infiltrate slowly to ground water. Herbicide transformation products (TPs) can be more or less mobile and more or less toxic in the environment than their source herbicides. To obtain information on the concentrations of selected herbicides and TPs in surface waters of the Midwestern United States, 151 water samples were collected from 71 streams and five reservoir outflows in 1998. These samples were analyzed for 13 herbicides and 10 herbicide TPs. Herbicide TPs were found to occur as frequently or more frequently than source herbicides and at concentrations that were often larger than their source herbicides. Most samples contained a mixture of more than 10 different herbicides or TPs. The ratios of TPs to herbicide concentrations can be used to determine the source of herbicides in streams. Results of a two-component mixing model suggest that on average 90 percent or more of the herbicide mass in Midwestern streams during early summer runoff events originates from the runoff and 10 percent or less comes from increased ground water discharge.","author":[{"dropping-particle":"","family":"Battaglin","given":"William A.","non-dropping-particle":"","parse-names":false,"suffix":""},{"dropping-particle":"","family":"Thurman","given":"Earl M.","non-dropping-particle":"","parse-names":false,"suffix":""},{"dropping-particle":"","family":"Kalkhoff","given":"Stephen J.","non-dropping-particle":"","parse-names":false,"suffix":""},{"dropping-particle":"","family":"Porter","given":"Stephen D.","non-dropping-particle":"","parse-names":false,"suffix":""}],"container-title":"Journal of the American Water Resources Association","id":"ITEM-1","issue":"4","issued":{"date-parts":[["2003"]]},"page":"743-756","title":"Herbicides and transformation products in surface waters of the Midwestern United States","type":"article-journal","volume":"39"},"uris":["http://www.mendeley.com/documents/?uuid=45951422-f876-4419-9448-5a98dd54601f"]}],"mendeley":{"formattedCitation":"&lt;sup&gt;52&lt;/sup&gt;","plainTextFormattedCitation":"52","previouslyFormattedCitation":"&lt;sup&gt;52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52</w:t>
            </w:r>
            <w:r w:rsidRPr="00E547AD">
              <w:rPr>
                <w:color w:val="0070C0"/>
                <w:sz w:val="22"/>
              </w:rPr>
              <w:fldChar w:fldCharType="end"/>
            </w:r>
          </w:p>
        </w:tc>
      </w:tr>
      <w:tr w:rsidR="002D64E5" w:rsidRPr="00E547AD" w14:paraId="540A51F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F6F36B9" w14:textId="77777777" w:rsidR="005E13E8" w:rsidRPr="00E547AD" w:rsidRDefault="005E13E8" w:rsidP="002D64E5">
            <w:pPr>
              <w:rPr>
                <w:color w:val="000000"/>
                <w:sz w:val="22"/>
              </w:rPr>
            </w:pPr>
            <w:r w:rsidRPr="00E547AD">
              <w:rPr>
                <w:color w:val="000000"/>
                <w:sz w:val="22"/>
              </w:rPr>
              <w:t>North America</w:t>
            </w:r>
          </w:p>
        </w:tc>
        <w:tc>
          <w:tcPr>
            <w:tcW w:w="0" w:type="auto"/>
          </w:tcPr>
          <w:p w14:paraId="289330D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31C4CB6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1991</w:t>
            </w:r>
          </w:p>
        </w:tc>
        <w:tc>
          <w:tcPr>
            <w:tcW w:w="0" w:type="auto"/>
          </w:tcPr>
          <w:p w14:paraId="65BCAD9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Illinois</w:t>
            </w:r>
          </w:p>
        </w:tc>
        <w:tc>
          <w:tcPr>
            <w:tcW w:w="0" w:type="auto"/>
          </w:tcPr>
          <w:p w14:paraId="125DA03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290</w:t>
            </w:r>
          </w:p>
          <w:p w14:paraId="2CD8A76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(na-1810)</w:t>
            </w:r>
          </w:p>
        </w:tc>
        <w:tc>
          <w:tcPr>
            <w:tcW w:w="0" w:type="auto"/>
          </w:tcPr>
          <w:p w14:paraId="0E9A6466" w14:textId="31861B1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{"citationItems":[{"id":"ITEM-1","itemData":{"DOI":"10.1111/j.1752-1688.2005.tb03753.x","ISSN":"1093474X","abstract":"During the fall of 2000, the occurrence was examined of 16 herbicides and 13 herbicide degradates in samples from 55 wells in shallow aquifers underlying grain producing regions of Illinois. Herbicide compounds with concentrations above 0.05 μg/L were detected in 56 percent of the samples. No concentrations exceeded regulatory drinking water standards. The six most frequently detected compounds were degradates. Water age was an important factor in determining vulnerability of ground water to transport of herbicide compounds. Unconsolidated aquifers, which were indicated to generally contain younger ground water than bedrock aquifers, had a higher occurrence of herbicides (73 percent of samples) than bedrock aquifers (22 percent). Temporal analysis to determine if changes in concentrations of selected herbicides and degradates could be observed over a near decadal period indicated a decrease in detection frequency (25 to 18 percent) between samplings in 1991 and 2000. Over this period, significant differences in concentrations were observed for atrazine (decrease) and total acetochlor (increase). The increase in acetochlor compound concentrations corresponds to an increase in acetochlor use during the study period, while the decrease in atrazine concentrations corresponds to relatively consistent use of atrazine. Changes in frequency of herbicide detection and concentration do not appear related to changes in land use near sampled wells.","author":[{"dropping-particle":"","family":"Mills","given":"Patrick C.","non-dropping-particle":"","parse-names":false,"suffix":""},{"dropping-particle":"","family":"Kolpin","given":"Dana W.","non-dropping-particle":"","parse-names":false,"suffix":""},{"dropping-particle":"","family":"Scribner","given":"Elisabeth A.","non-dropping-particle":"","parse-names":false,"suffix":""},{"dropping-particle":"","family":"Thurman","given":"E. Michael","non-dropping-particle":"","parse-names":false,"suffix":""}],"container-title":"Journal of the American Water Resources Association","id":"ITEM-1","issue":"3","issued":{"date-parts":[["2005"]]},"page":"537-547","title":"Herbicides and degradates in shallow aquifers of Illinois: Spatial and temporal trends","type":"article-journal","volume":"41"},"uris":["http://www.mendeley.com/documents/?uuid=33486f80-48cc-474e-a041-5c586202ac7d"]}],"mendeley":{"formattedCitation":"&lt;sup&gt;53&lt;/sup&gt;","plainTextFormattedCitation":"53","previouslyFormattedCitation":"&lt;sup&gt;53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53</w:t>
            </w:r>
            <w:r w:rsidRPr="00E547AD">
              <w:rPr>
                <w:color w:val="0070C0"/>
                <w:sz w:val="22"/>
              </w:rPr>
              <w:fldChar w:fldCharType="end"/>
            </w:r>
          </w:p>
        </w:tc>
      </w:tr>
      <w:tr w:rsidR="005E13E8" w:rsidRPr="00E547AD" w14:paraId="30EDA202"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AF6E09F" w14:textId="77777777" w:rsidR="005E13E8" w:rsidRPr="00E547AD" w:rsidRDefault="005E13E8" w:rsidP="002D64E5">
            <w:pPr>
              <w:rPr>
                <w:color w:val="000000"/>
                <w:sz w:val="22"/>
              </w:rPr>
            </w:pPr>
            <w:r w:rsidRPr="00E547AD">
              <w:rPr>
                <w:color w:val="000000"/>
                <w:sz w:val="22"/>
              </w:rPr>
              <w:t>North America</w:t>
            </w:r>
          </w:p>
        </w:tc>
        <w:tc>
          <w:tcPr>
            <w:tcW w:w="0" w:type="auto"/>
          </w:tcPr>
          <w:p w14:paraId="5C140B9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80D021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2000</w:t>
            </w:r>
          </w:p>
        </w:tc>
        <w:tc>
          <w:tcPr>
            <w:tcW w:w="0" w:type="auto"/>
          </w:tcPr>
          <w:p w14:paraId="7616C1B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Illinois</w:t>
            </w:r>
          </w:p>
        </w:tc>
        <w:tc>
          <w:tcPr>
            <w:tcW w:w="0" w:type="auto"/>
          </w:tcPr>
          <w:p w14:paraId="62135A2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110</w:t>
            </w:r>
          </w:p>
          <w:p w14:paraId="1B75A88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(na-140)</w:t>
            </w:r>
          </w:p>
        </w:tc>
        <w:tc>
          <w:tcPr>
            <w:tcW w:w="0" w:type="auto"/>
          </w:tcPr>
          <w:p w14:paraId="0BCF75FA" w14:textId="6FF0701C"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{"citationItems":[{"id":"ITEM-1","itemData":{"DOI":"10.1111/j.1752-1688.2005.tb03753.x","ISSN":"1093474X","abstract":"During the fall of 2000, the occurrence was examined of 16 herbicides and 13 herbicide degradates in samples from 55 wells in shallow aquifers underlying grain producing regions of Illinois. Herbicide compounds with concentrations above 0.05 μg/L were detected in 56 percent of the samples. No concentrations exceeded regulatory drinking water standards. The six most frequently detected compounds were degradates. Water age was an important factor in determining vulnerability of ground water to transport of herbicide compounds. Unconsolidated aquifers, which were indicated to generally contain younger ground water than bedrock aquifers, had a higher occurrence of herbicides (73 percent of samples) than bedrock aquifers (22 percent). Temporal analysis to determine if changes in concentrations of selected herbicides and degradates could be observed over a near decadal period indicated a decrease in detection frequency (25 to 18 percent) between samplings in 1991 and 2000. Over this period, significant differences in concentrations were observed for atrazine (decrease) and total acetochlor (increase). The increase in acetochlor compound concentrations corresponds to an increase in acetochlor use during the study period, while the decrease in atrazine concentrations corresponds to relatively consistent use of atrazine. Changes in frequency of herbicide detection and concentration do not appear related to changes in land use near sampled wells.","author":[{"dropping-particle":"","family":"Mills","given":"Patrick C.","non-dropping-particle":"","parse-names":false,"suffix":""},{"dropping-particle":"","family":"Kolpin","given":"Dana W.","non-dropping-particle":"","parse-names":false,"suffix":""},{"dropping-particle":"","family":"Scribner","given":"Elisabeth A.","non-dropping-particle":"","parse-names":false,"suffix":""},{"dropping-particle":"","family":"Thurman","given":"E. Michael","non-dropping-particle":"","parse-names":false,"suffix":""}],"container-title":"Journal of the American Water Resources Association","id":"ITEM-1","issue":"3","issued":{"date-parts":[["2005"]]},"page":"537-547","title":"Herbicides and degradates in shallow aquifers of Illinois: Spatial and temporal trends","type":"article-journal","volume":"41"},"uris":["http://www.mendeley.com/documents/?uuid=33486f80-48cc-474e-a041-5c586202ac7d"]}],"mendeley":{"formattedCitation":"&lt;sup&gt;53&lt;/sup&gt;","plainTextFormattedCitation":"53","previouslyFormattedCitation":"&lt;sup&gt;53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53</w:t>
            </w:r>
            <w:r w:rsidRPr="00E547AD">
              <w:rPr>
                <w:color w:val="0070C0"/>
                <w:sz w:val="22"/>
              </w:rPr>
              <w:fldChar w:fldCharType="end"/>
            </w:r>
          </w:p>
        </w:tc>
      </w:tr>
      <w:tr w:rsidR="002D64E5" w:rsidRPr="00E547AD" w14:paraId="2BB3EC2D"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76CE452" w14:textId="77777777" w:rsidR="005E13E8" w:rsidRPr="00E547AD" w:rsidRDefault="005E13E8" w:rsidP="002D64E5">
            <w:pPr>
              <w:rPr>
                <w:color w:val="000000"/>
                <w:sz w:val="22"/>
              </w:rPr>
            </w:pPr>
            <w:r w:rsidRPr="00E547AD">
              <w:rPr>
                <w:color w:val="000000"/>
                <w:sz w:val="22"/>
              </w:rPr>
              <w:t>North America</w:t>
            </w:r>
          </w:p>
        </w:tc>
        <w:tc>
          <w:tcPr>
            <w:tcW w:w="0" w:type="auto"/>
          </w:tcPr>
          <w:p w14:paraId="177FDD1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F521AF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2BE069F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Indiana</w:t>
            </w:r>
          </w:p>
        </w:tc>
        <w:tc>
          <w:tcPr>
            <w:tcW w:w="0" w:type="auto"/>
          </w:tcPr>
          <w:p w14:paraId="5B4EF1F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1150</w:t>
            </w:r>
          </w:p>
        </w:tc>
        <w:tc>
          <w:tcPr>
            <w:tcW w:w="0" w:type="auto"/>
          </w:tcPr>
          <w:p w14:paraId="7EA56F83" w14:textId="0D4A5EE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{"citationItems":[{"id":"ITEM-1","itemData":{"DOI":"10.2134/jeq2006.0154","ISSN":"1537-2537","PMID":"17332256","abstract":"One of the major factors contributing to surface water contamination in agricultural areas is the use of pesticides. The Soil and Water Assessment Tool (SWAT) is a hydrologic model capable of simulating the fate and transport of pesticides in an agricultural watershed. The SWAT model was used in this study to estimate stream flow and atrazine (2-chloro-4-(ethylamino)-6-(isopropylamino)-s-triazine) losses to surface water in the Cedar Creek Watershed (CCW) within the St. Joseph River Basin in northeastern Indiana. Model calibration and validation periods consisted of five and two year periods, respectively. The National Agricultural Statistics Survey (NASS) 2001 land cover classification and the Soil Survey Geographic (SSURGO) database were used as model input data layers. Data from the St. Joseph River Watershed Initiative and the Soil and Water Conservation Districts of Allen, Dekalb, and Noble counties were used to represent agricultural practices in the watershed which included the type of crops grown, tillage practices, fertilizer, and pesticide application rates. Model results were evaluated based on efficiency coefficient values, standard statistical measures, and visual inspection of the measured and simulated hydrographs. The Nash and Sutcliffe model efficiency coefficients (E(NS)) for monthly and daily stream flow calibration and validation ranged from 0.51 to 0.66. The E(NS) values for atrazine calibration and validation ranged from 0.43 to 0.59. All E(NS) values were within the range of acceptable model performance standards. The results of this study indicate that the model is an effective tool in capturing the dynamics of stream flow and atrazine concentrations on a large-scale agricultural watershed in the midwestern USA.","author":[{"dropping-particle":"","family":"Larose","given":"M.","non-dropping-particle":"","parse-names":false,"suffix":""},{"dropping-particle":"","family":"Heathman","given":"G. C.","non-dropping-particle":"","parse-names":false,"suffix":""},{"dropping-particle":"","family":"Norton","given":"L. D.","non-dropping-particle":"","parse-names":false,"suffix":""},{"dropping-particle":"","family":"Engel","given":"B.","non-dropping-particle":"","parse-names":false,"suffix":""}],"container-title":"Journal of Environmental Quality","id":"ITEM-1","issue":"2","issued":{"date-parts":[["2007"]]},"page":"521-531","title":"Hydrologic and Atrazine Simulation of the Cedar Creek Watershed Using the SWAT Model","type":"article-journal","volume":"36"},"uris":["http://www.mendeley.com/documents/?uuid=43eaede7-0bf5-4f22-a3d3-45a69aea48ef"]}],"mendeley":{"formattedCitation":"&lt;sup&gt;54&lt;/sup&gt;","plainTextFormattedCitation":"54","previouslyFormattedCitation":"&lt;sup&gt;54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54</w:t>
            </w:r>
            <w:r w:rsidRPr="00E547AD">
              <w:rPr>
                <w:color w:val="0070C0"/>
                <w:sz w:val="22"/>
              </w:rPr>
              <w:fldChar w:fldCharType="end"/>
            </w:r>
          </w:p>
        </w:tc>
      </w:tr>
      <w:tr w:rsidR="005E13E8" w:rsidRPr="00E547AD" w14:paraId="28B338E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078504B" w14:textId="77777777" w:rsidR="005E13E8" w:rsidRPr="00E547AD" w:rsidRDefault="005E13E8" w:rsidP="002D64E5">
            <w:pPr>
              <w:rPr>
                <w:color w:val="000000"/>
                <w:sz w:val="22"/>
              </w:rPr>
            </w:pPr>
            <w:r w:rsidRPr="00E547AD">
              <w:rPr>
                <w:color w:val="000000"/>
                <w:sz w:val="22"/>
              </w:rPr>
              <w:t>North America</w:t>
            </w:r>
          </w:p>
        </w:tc>
        <w:tc>
          <w:tcPr>
            <w:tcW w:w="0" w:type="auto"/>
          </w:tcPr>
          <w:p w14:paraId="12AD0DD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13F8944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2003</w:t>
            </w:r>
          </w:p>
        </w:tc>
        <w:tc>
          <w:tcPr>
            <w:tcW w:w="0" w:type="auto"/>
          </w:tcPr>
          <w:p w14:paraId="425C15F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Indiana</w:t>
            </w:r>
          </w:p>
        </w:tc>
        <w:tc>
          <w:tcPr>
            <w:tcW w:w="0" w:type="auto"/>
          </w:tcPr>
          <w:p w14:paraId="61C49AB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880</w:t>
            </w:r>
          </w:p>
        </w:tc>
        <w:tc>
          <w:tcPr>
            <w:tcW w:w="0" w:type="auto"/>
          </w:tcPr>
          <w:p w14:paraId="4E6F8E4F" w14:textId="4FD0E7D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{"citationItems":[{"id":"ITEM-1","itemData":{"DOI":"10.2134/jeq2006.0154","ISSN":"1537-2537","PMID":"17332256","abstract":"One of the major factors contributing to surface water contamination in agricultural areas is the use of pesticides. The Soil and Water Assessment Tool (SWAT) is a hydrologic model capable of simulating the fate and transport of pesticides in an agricultural watershed. The SWAT model was used in this study to estimate stream flow and atrazine (2-chloro-4-(ethylamino)-6-(isopropylamino)-s-triazine) losses to surface water in the Cedar Creek Watershed (CCW) within the St. Joseph River Basin in northeastern Indiana. Model calibration and validation periods consisted of five and two year periods, respectively. The National Agricultural Statistics Survey (NASS) 2001 land cover classification and the Soil Survey Geographic (SSURGO) database were used as model input data layers. Data from the St. Joseph River Watershed Initiative and the Soil and Water Conservation Districts of Allen, Dekalb, and Noble counties were used to represent agricultural practices in the watershed which included the type of crops grown, tillage practices, fertilizer, and pesticide application rates. Model results were evaluated based on efficiency coefficient values, standard statistical measures, and visual inspection of the measured and simulated hydrographs. The Nash and Sutcliffe model efficiency coefficients (E(NS)) for monthly and daily stream flow calibration and validation ranged from 0.51 to 0.66. The E(NS) values for atrazine calibration and validation ranged from 0.43 to 0.59. All E(NS) values were within the range of acceptable model performance standards. The results of this study indicate that the model is an effective tool in capturing the dynamics of stream flow and atrazine concentrations on a large-scale agricultural watershed in the midwestern USA.","author":[{"dropping-particle":"","family":"Larose","given":"M.","non-dropping-particle":"","parse-names":false,"suffix":""},{"dropping-particle":"","family":"Heathman","given":"G. C.","non-dropping-particle":"","parse-names":false,"suffix":""},{"dropping-particle":"","family":"Norton","given":"L. D.","non-dropping-particle":"","parse-names":false,"suffix":""},{"dropping-particle":"","family":"Engel","given":"B.","non-dropping-particle":"","parse-names":false,"suffix":""}],"container-title":"Journal of Environmental Quality","id":"ITEM-1","issue":"2","issued":{"date-parts":[["2007"]]},"page":"521-531","title":"Hydrologic and Atrazine Simulation of the Cedar Creek Watershed Using the SWAT Model","type":"article-journal","volume":"36"},"uris":["http://www.mendeley.com/documents/?uuid=43eaede7-0bf5-4f22-a3d3-45a69aea48ef"]}],"mendeley":{"formattedCitation":"&lt;sup&gt;54&lt;/sup&gt;","plainTextFormattedCitation":"54","previouslyFormattedCitation":"&lt;sup&gt;54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54</w:t>
            </w:r>
            <w:r w:rsidRPr="00E547AD">
              <w:rPr>
                <w:color w:val="0070C0"/>
                <w:sz w:val="22"/>
              </w:rPr>
              <w:fldChar w:fldCharType="end"/>
            </w:r>
          </w:p>
        </w:tc>
      </w:tr>
      <w:tr w:rsidR="002D64E5" w:rsidRPr="00E547AD" w14:paraId="033C156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9AC557" w14:textId="77777777" w:rsidR="005E13E8" w:rsidRPr="00E547AD" w:rsidRDefault="005E13E8" w:rsidP="002D64E5">
            <w:pPr>
              <w:rPr>
                <w:color w:val="000000"/>
                <w:sz w:val="22"/>
              </w:rPr>
            </w:pPr>
            <w:r w:rsidRPr="00E547AD">
              <w:rPr>
                <w:color w:val="000000"/>
                <w:sz w:val="22"/>
              </w:rPr>
              <w:t>North America</w:t>
            </w:r>
          </w:p>
        </w:tc>
        <w:tc>
          <w:tcPr>
            <w:tcW w:w="0" w:type="auto"/>
          </w:tcPr>
          <w:p w14:paraId="1291892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7446677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2005</w:t>
            </w:r>
          </w:p>
        </w:tc>
        <w:tc>
          <w:tcPr>
            <w:tcW w:w="0" w:type="auto"/>
          </w:tcPr>
          <w:p w14:paraId="4BFC2E1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Superior Lake</w:t>
            </w:r>
          </w:p>
        </w:tc>
        <w:tc>
          <w:tcPr>
            <w:tcW w:w="0" w:type="auto"/>
          </w:tcPr>
          <w:p w14:paraId="248073D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5500</w:t>
            </w:r>
          </w:p>
          <w:p w14:paraId="6EE87F8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(5100-6000)</w:t>
            </w:r>
          </w:p>
        </w:tc>
        <w:tc>
          <w:tcPr>
            <w:tcW w:w="0" w:type="auto"/>
          </w:tcPr>
          <w:p w14:paraId="687247DF" w14:textId="5B7714F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 xml:space="preserve">ADDIN CSL_CITATION {"citationItems":[{"id":"ITEM-1","itemData":{"DOI":"10.1021/es100549v","ISSN":"0013936X","PMID":"20504016","abstract":"Concentrations of atrazine and metolachlor and stereoisomer fractions (SF = herbicidally active/total stereoisomers) of metolachlor were determined in 101 surface water samples collected from the five Laurentian Great Lakes in 2005-2006. Geometric mean (GM) concentrations of atrazine ranged from 5.5 to 61 ng L-1, decreasing from lakes Ontario </w:instrText>
            </w:r>
            <w:r w:rsidR="00694227">
              <w:rPr>
                <w:rFonts w:ascii="Cambria Math" w:hAnsi="Cambria Math" w:cs="Cambria Math"/>
                <w:color w:val="0070C0"/>
                <w:sz w:val="22"/>
              </w:rPr>
              <w:instrText>∼</w:instrText>
            </w:r>
            <w:r w:rsidR="00694227">
              <w:rPr>
                <w:color w:val="0070C0"/>
                <w:sz w:val="22"/>
              </w:rPr>
              <w:instrText xml:space="preserve"> Michigan </w:instrText>
            </w:r>
            <w:r w:rsidR="00694227">
              <w:rPr>
                <w:rFonts w:ascii="Cambria Math" w:hAnsi="Cambria Math" w:cs="Cambria Math"/>
                <w:color w:val="0070C0"/>
                <w:sz w:val="22"/>
              </w:rPr>
              <w:instrText>∼</w:instrText>
            </w:r>
            <w:r w:rsidR="00694227">
              <w:rPr>
                <w:color w:val="0070C0"/>
                <w:sz w:val="22"/>
              </w:rPr>
              <w:instrText xml:space="preserve"> Erie &gt; Huron &gt; Superior, while metolachlor concentrations ranged from 0.28 to 14 ng L-1 and showed similar trends among the lakes. Median SFs ranged from 0.527 (Superior) to 0.844 (Erie) with an overall value of 0.708, and were significantly different among the Great Lakes (p &lt; 0.05), except for Michigan vs Huron and Michigan vs Ontario. The SF in Erie was closest to that of the dominant product in use, S-metolachlor (SF = 0.880), while Superior showed an SF similar to that of racemic metolachlor (SF = 0.500). The median SFs in lakes Ontario, Huron and Erie were significantly lower than the median SF in Ontario stream samples collected in 2006-2007. The lower SFs in lakes suggest in-lake stereoselective processing of metolachlor or hold-up of older racemic metolachlor residues. © Published 2010 by the American Chemical Society.","author":[{"dropping-particle":"","family":"Kurt-Karakus","given":"Perihan B.","non-dropping-particle":"","parse-names":false,"suffix":""},{"dropping-particle":"","family":"Muir","given":"Derek C.G.","non-dropping-particle":"","parse-names":false,"suffix":""},{"dropping-particle":"","family":"Bidleman","given":"Terry F.","non-dropping-particle":"","parse-names":false,"suffix":""},{"dropping-particle":"","family":"Small","given":"Jeff","non-dropping-particle":"","parse-names":false,"suffix":""},{"dropping-particle":"","family":"Backus","given":"Sean","non-dropping-particle":"","parse-names":false,"suffix":""},{"dropping-particle":"","family":"Dove","given":"Alice","non-dropping-particle":"","parse-names":false,"suffix":""}],"container-title":"Environmental Science and Technology","id":"ITEM-1","issue":"12","issued":{"date-parts":[["2010"]]},"page":"4678-4684","title":"Metolachlor and atrazine in the great lakes","type":"article-journal","volume":"44"},"uris":["http://www.mendeley.com/documents/?uuid=993b4fa2-4f5e-464d-ba92-4cbbc5e8778d"]}],"mendeley":{"formattedCitation":"&lt;sup&gt;55&lt;/sup&gt;","plainTextFormattedCitation":"55","previouslyFormattedCitation":"&lt;sup&gt;55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55</w:t>
            </w:r>
            <w:r w:rsidRPr="00E547AD">
              <w:rPr>
                <w:color w:val="0070C0"/>
                <w:sz w:val="22"/>
              </w:rPr>
              <w:fldChar w:fldCharType="end"/>
            </w:r>
          </w:p>
        </w:tc>
      </w:tr>
      <w:tr w:rsidR="005E13E8" w:rsidRPr="00E547AD" w14:paraId="6A7755D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30DA64C" w14:textId="77777777" w:rsidR="005E13E8" w:rsidRPr="00E547AD" w:rsidRDefault="005E13E8" w:rsidP="002D64E5">
            <w:pPr>
              <w:rPr>
                <w:color w:val="000000"/>
                <w:sz w:val="22"/>
              </w:rPr>
            </w:pPr>
            <w:r w:rsidRPr="00E547AD">
              <w:rPr>
                <w:color w:val="000000"/>
                <w:sz w:val="22"/>
              </w:rPr>
              <w:t>North America</w:t>
            </w:r>
          </w:p>
        </w:tc>
        <w:tc>
          <w:tcPr>
            <w:tcW w:w="0" w:type="auto"/>
          </w:tcPr>
          <w:p w14:paraId="2DB18CF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F7920D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34EEAF4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Virginia</w:t>
            </w:r>
          </w:p>
        </w:tc>
        <w:tc>
          <w:tcPr>
            <w:tcW w:w="0" w:type="auto"/>
          </w:tcPr>
          <w:p w14:paraId="43C70D5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2006</w:t>
            </w:r>
          </w:p>
          <w:p w14:paraId="46576E3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(590-6570)</w:t>
            </w:r>
          </w:p>
        </w:tc>
        <w:tc>
          <w:tcPr>
            <w:tcW w:w="0" w:type="auto"/>
          </w:tcPr>
          <w:p w14:paraId="232C02E2" w14:textId="00334B3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{"citationItems":[{"id":"ITEM-1","itemData":{"DOI":"10.1111/j.1752-1688.2005.tb03734.x","ISSN":"1093474X","abstract":"An extensive base of water quality information emphasizing the effects of land use and hydrology was obtained in the karstified Fountain Creek watershed of southwestern Illinois to help resolve local water quality issues. Agrichemicals dominate the loads of most water quality constituents in the streams and shallow karstic ground water. Only calcium (Ca), magnesium (Mg), Aluminum (Al), and sulfate (SO4) ions are predominantly derived from bedrock or soils, while agrichemicals contribute most of the sodium (Na), potassium (K), chlorine (Cl), nitrate (NO3), fluorine (F), phosphorus (P), and atrazine. Concentrations of individual ions correlate with discharge variations in karst springs and surface streams; highly soluble ions supplied by diffuse ground water are diluted by high flows, while less soluble ions increase with flow as they are mobilized from fields to karst conduits under storm conditions. Treated wastewater containing detergent residues dominates the boron load of streams and provides important subordinate loads of several other constituents, including atrazine derived from the Mississippi River via the public water supply. Average surface water concentrations at the watershed outlet closely approximate a 92:8 mixture of karst ground water and treated wastewater, demonstrating the dominance of ground water contributions to streams. Therefore the karst aquifer and watershed streams form a single water quality system that is also affected by wastewater effluent. (JAWRA) (Copyright © 2005).","author":[{"dropping-particle":"","family":"Stueber","given":"Alan M.","non-dropping-particle":"","parse-names":false,"suffix":""},{"dropping-particle":"","family":"Criss","given":"Robert E.","non-dropping-particle":"","parse-names":false,"suffix":""}],"container-title":"Journal of the American Water Resources Association","id":"ITEM-1","issue":"2","issued":{"date-parts":[["2005"]]},"page":"267-290","title":"Origin and transport of dissolved chemicals in a karst watershed, southwestern Illinois","type":"article-journal","volume":"41"},"uris":["http://www.mendeley.com/documents/?uuid=e7df3181-1253-45d8-9be7-d766f5de5663"]}],"mendeley":{"formattedCitation":"&lt;sup&gt;56&lt;/sup&gt;","plainTextFormattedCitation":"56","previouslyFormattedCitation":"&lt;sup&gt;56&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56</w:t>
            </w:r>
            <w:r w:rsidRPr="00E547AD">
              <w:rPr>
                <w:color w:val="0070C0"/>
                <w:sz w:val="22"/>
              </w:rPr>
              <w:fldChar w:fldCharType="end"/>
            </w:r>
          </w:p>
        </w:tc>
      </w:tr>
      <w:tr w:rsidR="002D64E5" w:rsidRPr="00E547AD" w14:paraId="57CDAC9E"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250CB7" w14:textId="77777777" w:rsidR="005E13E8" w:rsidRPr="00E547AD" w:rsidRDefault="005E13E8" w:rsidP="002D64E5">
            <w:pPr>
              <w:rPr>
                <w:color w:val="000000"/>
                <w:sz w:val="22"/>
              </w:rPr>
            </w:pPr>
            <w:r w:rsidRPr="00E547AD">
              <w:rPr>
                <w:color w:val="000000"/>
                <w:sz w:val="22"/>
              </w:rPr>
              <w:t>North America</w:t>
            </w:r>
          </w:p>
        </w:tc>
        <w:tc>
          <w:tcPr>
            <w:tcW w:w="0" w:type="auto"/>
          </w:tcPr>
          <w:p w14:paraId="4B65D31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C60416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1985</w:t>
            </w:r>
          </w:p>
        </w:tc>
        <w:tc>
          <w:tcPr>
            <w:tcW w:w="0" w:type="auto"/>
          </w:tcPr>
          <w:p w14:paraId="33BA8FD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sz w:val="22"/>
              </w:rPr>
              <w:t>Pennsylvania</w:t>
            </w:r>
          </w:p>
        </w:tc>
        <w:tc>
          <w:tcPr>
            <w:tcW w:w="0" w:type="auto"/>
          </w:tcPr>
          <w:p w14:paraId="172C3EF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101</w:t>
            </w:r>
          </w:p>
          <w:p w14:paraId="17791F4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(17-540)</w:t>
            </w:r>
          </w:p>
        </w:tc>
        <w:tc>
          <w:tcPr>
            <w:tcW w:w="0" w:type="auto"/>
          </w:tcPr>
          <w:p w14:paraId="1CB145C1" w14:textId="0E8B6160"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{"citationItems":[{"id":"ITEM-1","itemData":{"DOI":"10.2134/jeq1988.00472425001700010011x","ISSN":"0047-2425","abstract":"Waters from 20 wells in a primarily agricultural Pennsylvania watershed were analyzed for the most heavily and extensively applied pesticides as determined by farm survey. Those analyzed were atrazine, metolachlor, cyanazine, alachlor, terbufos, chlorpyrifos, fonofos, and carbofuran. No metolachlor, alachlor, terbufos, chlorpyrifos, fonofos, or carbofuran were detected. However, atrazine concentrations ranging from 13 to 1110 ng/L were found in 14 of the 20 wells. These findings suggest widespread atrazine contamination of the groundwaters, but at extremely low concentrations. Cyanazine was found above trace concentrations in one well. Although there was only one record of application, simazine was found in seven wells within the range of 10 to 170 ng/L. The degree and spatial distribution of atrazine contamination depended mostly on the frequency and distribution of corn production.","author":[{"dropping-particle":"","family":"Pionke","given":"H. B.","non-dropping-particle":"","parse-names":false,"suffix":""},{"dropping-particle":"","family":"Glotfelty","given":"D. E.","non-dropping-particle":"","parse-names":false,"suffix":""},{"dropping-particle":"","family":"Lucas","given":"A. D.","non-dropping-particle":"","parse-names":false,"suffix":""},{"dropping-particle":"","family":"Urban","given":"J. B.","non-dropping-particle":"","parse-names":false,"suffix":""}],"container-title":"Journal of Environmental Quality","id":"ITEM-1","issue":"1","issued":{"date-parts":[["1988"]]},"page":"76-84","title":"Pesticide Contamination of Groundwaters in the Mahantango Creek Watershed","type":"article-journal","volume":"17"},"uris":["http://www.mendeley.com/documents/?uuid=644da28c-acc1-46e1-a048-7b6037b8f2b7"]}],"mendeley":{"formattedCitation":"&lt;sup&gt;57&lt;/sup&gt;","plainTextFormattedCitation":"57","previouslyFormattedCitation":"&lt;sup&gt;57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57</w:t>
            </w:r>
            <w:r w:rsidRPr="00E547AD">
              <w:rPr>
                <w:color w:val="0070C0"/>
                <w:sz w:val="22"/>
              </w:rPr>
              <w:fldChar w:fldCharType="end"/>
            </w:r>
          </w:p>
        </w:tc>
      </w:tr>
      <w:tr w:rsidR="005E13E8" w:rsidRPr="00E547AD" w14:paraId="470EF44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8640963" w14:textId="77777777" w:rsidR="005E13E8" w:rsidRPr="00E547AD" w:rsidRDefault="005E13E8" w:rsidP="002D64E5">
            <w:pPr>
              <w:rPr>
                <w:color w:val="000000"/>
                <w:sz w:val="22"/>
              </w:rPr>
            </w:pPr>
            <w:r w:rsidRPr="00E547AD">
              <w:rPr>
                <w:color w:val="000000"/>
                <w:sz w:val="22"/>
              </w:rPr>
              <w:t>North America</w:t>
            </w:r>
          </w:p>
        </w:tc>
        <w:tc>
          <w:tcPr>
            <w:tcW w:w="0" w:type="auto"/>
          </w:tcPr>
          <w:p w14:paraId="00C8C23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30D00BC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1985</w:t>
            </w:r>
          </w:p>
        </w:tc>
        <w:tc>
          <w:tcPr>
            <w:tcW w:w="0" w:type="auto"/>
          </w:tcPr>
          <w:p w14:paraId="3861A46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sz w:val="22"/>
              </w:rPr>
              <w:t>Pennsylvania</w:t>
            </w:r>
          </w:p>
        </w:tc>
        <w:tc>
          <w:tcPr>
            <w:tcW w:w="0" w:type="auto"/>
          </w:tcPr>
          <w:p w14:paraId="14ED864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240</w:t>
            </w:r>
          </w:p>
          <w:p w14:paraId="77446AF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(13-1110)</w:t>
            </w:r>
          </w:p>
        </w:tc>
        <w:tc>
          <w:tcPr>
            <w:tcW w:w="0" w:type="auto"/>
          </w:tcPr>
          <w:p w14:paraId="16C96406" w14:textId="4724BCF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{"citationItems":[{"id":"ITEM-1","itemData":{"DOI":"10.2134/jeq1988.00472425001700010011x","ISSN":"0047-2425","abstract":"Waters from 20 wells in a primarily agricultural Pennsylvania watershed were analyzed for the most heavily and extensively applied pesticides as determined by farm survey. Those analyzed were atrazine, metolachlor, cyanazine, alachlor, terbufos, chlorpyrifos, fonofos, and carbofuran. No metolachlor, alachlor, terbufos, chlorpyrifos, fonofos, or carbofuran were detected. However, atrazine concentrations ranging from 13 to 1110 ng/L were found in 14 of the 20 wells. These findings suggest widespread atrazine contamination of the groundwaters, but at extremely low concentrations. Cyanazine was found above trace concentrations in one well. Although there was only one record of application, simazine was found in seven wells within the range of 10 to 170 ng/L. The degree and spatial distribution of atrazine contamination depended mostly on the frequency and distribution of corn production.","author":[{"dropping-particle":"","family":"Pionke","given":"H. B.","non-dropping-particle":"","parse-names":false,"suffix":""},{"dropping-particle":"","family":"Glotfelty","given":"D. E.","non-dropping-particle":"","parse-names":false,"suffix":""},{"dropping-particle":"","family":"Lucas","given":"A. D.","non-dropping-particle":"","parse-names":false,"suffix":""},{"dropping-particle":"","family":"Urban","given":"J. B.","non-dropping-particle":"","parse-names":false,"suffix":""}],"container-title":"Journal of Environmental Quality","id":"ITEM-1","issue":"1","issued":{"date-parts":[["1988"]]},"page":"76-84","title":"Pesticide Contamination of Groundwaters in the Mahantango Creek Watershed","type":"article-journal","volume":"17"},"uris":["http://www.mendeley.com/documents/?uuid=644da28c-acc1-46e1-a048-7b6037b8f2b7"]}],"mendeley":{"formattedCitation":"&lt;sup&gt;57&lt;/sup&gt;","plainTextFormattedCitation":"57","previouslyFormattedCitation":"&lt;sup&gt;57&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57</w:t>
            </w:r>
            <w:r w:rsidRPr="00E547AD">
              <w:rPr>
                <w:color w:val="0070C0"/>
                <w:sz w:val="22"/>
              </w:rPr>
              <w:fldChar w:fldCharType="end"/>
            </w:r>
          </w:p>
        </w:tc>
      </w:tr>
      <w:tr w:rsidR="002D64E5" w:rsidRPr="00E547AD" w14:paraId="0E4AF94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BD0C53" w14:textId="77777777" w:rsidR="005E13E8" w:rsidRPr="00E547AD" w:rsidRDefault="005E13E8" w:rsidP="002D64E5">
            <w:pPr>
              <w:rPr>
                <w:color w:val="000000"/>
                <w:sz w:val="22"/>
              </w:rPr>
            </w:pPr>
            <w:r w:rsidRPr="00E547AD">
              <w:rPr>
                <w:color w:val="000000"/>
                <w:sz w:val="22"/>
              </w:rPr>
              <w:t>North America</w:t>
            </w:r>
          </w:p>
        </w:tc>
        <w:tc>
          <w:tcPr>
            <w:tcW w:w="0" w:type="auto"/>
          </w:tcPr>
          <w:p w14:paraId="268E942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46D6B1B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2003</w:t>
            </w:r>
          </w:p>
        </w:tc>
        <w:tc>
          <w:tcPr>
            <w:tcW w:w="0" w:type="auto"/>
          </w:tcPr>
          <w:p w14:paraId="356CF55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Florida</w:t>
            </w:r>
          </w:p>
        </w:tc>
        <w:tc>
          <w:tcPr>
            <w:tcW w:w="0" w:type="auto"/>
          </w:tcPr>
          <w:p w14:paraId="300C594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33</w:t>
            </w:r>
          </w:p>
          <w:p w14:paraId="64CACB3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(10-56)</w:t>
            </w:r>
          </w:p>
        </w:tc>
        <w:tc>
          <w:tcPr>
            <w:tcW w:w="0" w:type="auto"/>
          </w:tcPr>
          <w:p w14:paraId="52E3F56B" w14:textId="066C7D6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{"citationItems":[{"id":"ITEM-1","itemData":{"DOI":"10.1021/jf047803g","ISSN":"00218561","PMID":"16028993","abstract":"Climate and soil conditions in South Florida along with an extensive canal system facilitate movement of agricultural pesticides into surface waters. In a two-year study (2002-2004) of the currently used pesticides in South Florida, atrazine, endosulfan, metolachlor, chlorpyrifos, and chlorothalonil were the most frequently detected in the canals and in Biscayne Bay, with average concentrations of 16, 11, 9.0, 2.6, and 6.0 ng/L, respectively. Concentrations of atrazine and chlorpyrifos were highest near corn production. Chlorothalonil and endosulfan concentrations were highest near vegetable production, with no clear trend for metolachlor, which is used on multiple crops. Concentration data were used to calculate an aquatic life hazard potential for the planting period (November) versus the harvest period (March). This analysis indicated that a higher hazard potential occurs during harvest, primarily from the use of endosulfan. These data will also serve to document canal conditions prior to implementation of the Comprehensive Everglades Restoration Plan (CERP). © 2005 American Chemical Society.","author":[{"dropping-particle":"","family":"Harman-Fetcho","given":"Jennifer A.","non-dropping-particle":"","parse-names":false,"suffix":""},{"dropping-particle":"","family":"Hapeman","given":"Cathleen J.","non-dropping-particle":"","parse-names":false,"suffix":""},{"dropping-particle":"","family":"McConnell","given":"Laura L.","non-dropping-particle":"","parse-names":false,"suffix":""},{"dropping-particle":"","family":"Potter","given":"Thomas L.","non-dropping-particle":"","parse-names":false,"suffix":""},{"dropping-particle":"","family":"Rice","given":"Clifford P.","non-dropping-particle":"","parse-names":false,"suffix":""},{"dropping-particle":"","family":"Sadeghi","given":"Ali M.","non-dropping-particle":"","parse-names":false,"suffix":""},{"dropping-particle":"","family":"Smith","given":"Ramona D.","non-dropping-particle":"","parse-names":false,"suffix":""},{"dropping-particle":"","family":"Bialek","given":"Krystyna","non-dropping-particle":"","parse-names":false,"suffix":""},{"dropping-particle":"","family":"Sefton","given":"Kerry A.","non-dropping-particle":"","parse-names":false,"suffix":""},{"dropping-particle":"","family":"Schaffer","given":"Bruce A.","non-dropping-particle":"","parse-names":false,"suffix":""},{"dropping-particle":"","family":"Curry","given":"Richard","non-dropping-particle":"","parse-names":false,"suffix":""}],"container-title":"Journal of Agricultural and Food Chemistry","id":"ITEM-1","issue":"15","issued":{"date-parts":[["2005"]]},"page":"6040-6048","title":"Pesticide occurrence in selected South Florida canals and Biscayne Bay during high agricultural activity","type":"article-journal","volume":"53"},"uris":["http://www.mendeley.com/documents/?uuid=60432ed0-1e68-4973-89fc-3edb2cbafd0f"]}],"mendeley":{"formattedCitation":"&lt;sup&gt;41&lt;/sup&gt;","plainTextFormattedCitation":"41","previouslyFormattedCitation":"&lt;sup&gt;41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41</w:t>
            </w:r>
            <w:r w:rsidRPr="00E547AD">
              <w:rPr>
                <w:color w:val="0070C0"/>
                <w:sz w:val="22"/>
              </w:rPr>
              <w:fldChar w:fldCharType="end"/>
            </w:r>
          </w:p>
        </w:tc>
      </w:tr>
      <w:tr w:rsidR="005E13E8" w:rsidRPr="00E547AD" w14:paraId="007A125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D4A698A" w14:textId="77777777" w:rsidR="005E13E8" w:rsidRPr="00E547AD" w:rsidRDefault="005E13E8" w:rsidP="002D64E5">
            <w:pPr>
              <w:rPr>
                <w:color w:val="000000"/>
                <w:sz w:val="22"/>
              </w:rPr>
            </w:pPr>
            <w:r w:rsidRPr="00E547AD">
              <w:rPr>
                <w:color w:val="000000"/>
                <w:sz w:val="22"/>
              </w:rPr>
              <w:t>North America</w:t>
            </w:r>
          </w:p>
        </w:tc>
        <w:tc>
          <w:tcPr>
            <w:tcW w:w="0" w:type="auto"/>
          </w:tcPr>
          <w:p w14:paraId="5ABFD54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C6618A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1999</w:t>
            </w:r>
          </w:p>
        </w:tc>
        <w:tc>
          <w:tcPr>
            <w:tcW w:w="0" w:type="auto"/>
          </w:tcPr>
          <w:p w14:paraId="43CB9A6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Florida</w:t>
            </w:r>
          </w:p>
        </w:tc>
        <w:tc>
          <w:tcPr>
            <w:tcW w:w="0" w:type="auto"/>
          </w:tcPr>
          <w:p w14:paraId="74F01B7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18.8</w:t>
            </w:r>
          </w:p>
          <w:p w14:paraId="3A59A1B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(7.9-29)</w:t>
            </w:r>
          </w:p>
        </w:tc>
        <w:tc>
          <w:tcPr>
            <w:tcW w:w="0" w:type="auto"/>
          </w:tcPr>
          <w:p w14:paraId="1B9D66B6" w14:textId="5FB400D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{"citationItems":[{"id":"ITEM-1","itemData":{"DOI":"10.1021/jf047803g","ISSN":"00218561","PMID":"16028993","abstract":"Climate and soil conditions in South Florida along with an extensive canal system facilitate movement of agricultural pesticides into surface waters. In a two-year study (2002-2004) of the currently used pesticides in South Florida, atrazine, endosulfan, metolachlor, chlorpyrifos, and chlorothalonil were the most frequently detected in the canals and in Biscayne Bay, with average concentrations of 16, 11, 9.0, 2.6, and 6.0 ng/L, respectively. Concentrations of atrazine and chlorpyrifos were highest near corn production. Chlorothalonil and endosulfan concentrations were highest near vegetable production, with no clear trend for metolachlor, which is used on multiple crops. Concentration data were used to calculate an aquatic life hazard potential for the planting period (November) versus the harvest period (March). This analysis indicated that a higher hazard potential occurs during harvest, primarily from the use of endosulfan. These data will also serve to document canal conditions prior to implementation of the Comprehensive Everglades Restoration Plan (CERP). © 2005 American Chemical Society.","author":[{"dropping-particle":"","family":"Harman-Fetcho","given":"Jennifer A.","non-dropping-particle":"","parse-names":false,"suffix":""},{"dropping-particle":"","family":"Hapeman","given":"Cathleen J.","non-dropping-particle":"","parse-names":false,"suffix":""},{"dropping-particle":"","family":"McConnell","given":"Laura L.","non-dropping-particle":"","parse-names":false,"suffix":""},{"dropping-particle":"","family":"Potter","given":"Thomas L.","non-dropping-particle":"","parse-names":false,"suffix":""},{"dropping-particle":"","family":"Rice","given":"Clifford P.","non-dropping-particle":"","parse-names":false,"suffix":""},{"dropping-particle":"","family":"Sadeghi","given":"Ali M.","non-dropping-particle":"","parse-names":false,"suffix":""},{"dropping-particle":"","family":"Smith","given":"Ramona D.","non-dropping-particle":"","parse-names":false,"suffix":""},{"dropping-particle":"","family":"Bialek","given":"Krystyna","non-dropping-particle":"","parse-names":false,"suffix":""},{"dropping-particle":"","family":"Sefton","given":"Kerry A.","non-dropping-particle":"","parse-names":false,"suffix":""},{"dropping-particle":"","family":"Schaffer","given":"Bruce A.","non-dropping-particle":"","parse-names":false,"suffix":""},{"dropping-particle":"","family":"Curry","given":"Richard","non-dropping-particle":"","parse-names":false,"suffix":""}],"container-title":"Journal of Agricultural and Food Chemistry","id":"ITEM-1","issue":"15","issued":{"date-parts":[["2005"]]},"page":"6040-6048","title":"Pesticide occurrence in selected South Florida canals and Biscayne Bay during high agricultural activity","type":"article-journal","volume":"53"},"uris":["http://www.mendeley.com/documents/?uuid=60432ed0-1e68-4973-89fc-3edb2cbafd0f"]}],"mendeley":{"formattedCitation":"&lt;sup&gt;41&lt;/sup&gt;","plainTextFormattedCitation":"41","previouslyFormattedCitation":"&lt;sup&gt;41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41</w:t>
            </w:r>
            <w:r w:rsidRPr="00E547AD">
              <w:rPr>
                <w:color w:val="0070C0"/>
                <w:sz w:val="22"/>
              </w:rPr>
              <w:fldChar w:fldCharType="end"/>
            </w:r>
          </w:p>
        </w:tc>
      </w:tr>
      <w:tr w:rsidR="002D64E5" w:rsidRPr="00E547AD" w14:paraId="1E0C24CC"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61D3165" w14:textId="77777777" w:rsidR="005E13E8" w:rsidRPr="00E547AD" w:rsidRDefault="005E13E8" w:rsidP="002D64E5">
            <w:pPr>
              <w:rPr>
                <w:color w:val="000000"/>
                <w:sz w:val="22"/>
              </w:rPr>
            </w:pPr>
            <w:r w:rsidRPr="00E547AD">
              <w:rPr>
                <w:color w:val="000000"/>
                <w:sz w:val="22"/>
              </w:rPr>
              <w:t>North America</w:t>
            </w:r>
          </w:p>
        </w:tc>
        <w:tc>
          <w:tcPr>
            <w:tcW w:w="0" w:type="auto"/>
          </w:tcPr>
          <w:p w14:paraId="08FCE19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6866FA0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1997</w:t>
            </w:r>
          </w:p>
        </w:tc>
        <w:tc>
          <w:tcPr>
            <w:tcW w:w="0" w:type="auto"/>
          </w:tcPr>
          <w:p w14:paraId="5192C3C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Florida</w:t>
            </w:r>
          </w:p>
        </w:tc>
        <w:tc>
          <w:tcPr>
            <w:tcW w:w="0" w:type="auto"/>
          </w:tcPr>
          <w:p w14:paraId="066D459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24.5</w:t>
            </w:r>
          </w:p>
          <w:p w14:paraId="29148B3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(1-48)</w:t>
            </w:r>
          </w:p>
        </w:tc>
        <w:tc>
          <w:tcPr>
            <w:tcW w:w="0" w:type="auto"/>
          </w:tcPr>
          <w:p w14:paraId="142D0456" w14:textId="6B01D88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{"citationItems":[{"id":"ITEM-1","itemData":{"DOI":"10.1021/jf047803g","ISSN":"00218561","PMID":"16028993","abstract":"Climate and soil conditions in South Florida along with an extensive canal system facilitate movement of agricultural pesticides into surface waters. In a two-year study (2002-2004) of the currently used pesticides in South Florida, atrazine, endosulfan, metolachlor, chlorpyrifos, and chlorothalonil were the most frequently detected in the canals and in Biscayne Bay, with average concentrations of 16, 11, 9.0, 2.6, and 6.0 ng/L, respectively. Concentrations of atrazine and chlorpyrifos were highest near corn production. Chlorothalonil and endosulfan concentrations were highest near vegetable production, with no clear trend for metolachlor, which is used on multiple crops. Concentration data were used to calculate an aquatic life hazard potential for the planting period (November) versus the harvest period (March). This analysis indicated that a higher hazard potential occurs during harvest, primarily from the use of endosulfan. These data will also serve to document canal conditions prior to implementation of the Comprehensive Everglades Restoration Plan (CERP). © 2005 American Chemical Society.","author":[{"dropping-particle":"","family":"Harman-Fetcho","given":"Jennifer A.","non-dropping-particle":"","parse-names":false,"suffix":""},{"dropping-particle":"","family":"Hapeman","given":"Cathleen J.","non-dropping-particle":"","parse-names":false,"suffix":""},{"dropping-particle":"","family":"McConnell","given":"Laura L.","non-dropping-particle":"","parse-names":false,"suffix":""},{"dropping-particle":"","family":"Potter","given":"Thomas L.","non-dropping-particle":"","parse-names":false,"suffix":""},{"dropping-particle":"","family":"Rice","given":"Clifford P.","non-dropping-particle":"","parse-names":false,"suffix":""},{"dropping-particle":"","family":"Sadeghi","given":"Ali M.","non-dropping-particle":"","parse-names":false,"suffix":""},{"dropping-particle":"","family":"Smith","given":"Ramona D.","non-dropping-particle":"","parse-names":false,"suffix":""},{"dropping-particle":"","family":"Bialek","given":"Krystyna","non-dropping-particle":"","parse-names":false,"suffix":""},{"dropping-particle":"","family":"Sefton","given":"Kerry A.","non-dropping-particle":"","parse-names":false,"suffix":""},{"dropping-particle":"","family":"Schaffer","given":"Bruce A.","non-dropping-particle":"","parse-names":false,"suffix":""},{"dropping-particle":"","family":"Curry","given":"Richard","non-dropping-particle":"","parse-names":false,"suffix":""}],"container-title":"Journal of Agricultural and Food Chemistry","id":"ITEM-1","issue":"15","issued":{"date-parts":[["2005"]]},"page":"6040-6048","title":"Pesticide occurrence in selected South Florida canals and Biscayne Bay during high agricultural activity","type":"article-journal","volume":"53"},"uris":["http://www.mendeley.com/documents/?uuid=60432ed0-1e68-4973-89fc-3edb2cbafd0f"]}],"mendeley":{"formattedCitation":"&lt;sup&gt;41&lt;/sup&gt;","plainTextFormattedCitation":"41","previouslyFormattedCitation":"&lt;sup&gt;41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41</w:t>
            </w:r>
            <w:r w:rsidRPr="00E547AD">
              <w:rPr>
                <w:color w:val="0070C0"/>
                <w:sz w:val="22"/>
              </w:rPr>
              <w:fldChar w:fldCharType="end"/>
            </w:r>
          </w:p>
        </w:tc>
      </w:tr>
      <w:tr w:rsidR="005E13E8" w:rsidRPr="00E547AD" w14:paraId="7978D77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2EC5982" w14:textId="77777777" w:rsidR="005E13E8" w:rsidRPr="00E547AD" w:rsidRDefault="005E13E8" w:rsidP="002D64E5">
            <w:pPr>
              <w:rPr>
                <w:color w:val="000000"/>
                <w:sz w:val="22"/>
              </w:rPr>
            </w:pPr>
            <w:r w:rsidRPr="00E547AD">
              <w:rPr>
                <w:color w:val="000000"/>
                <w:sz w:val="22"/>
              </w:rPr>
              <w:t>North America</w:t>
            </w:r>
          </w:p>
        </w:tc>
        <w:tc>
          <w:tcPr>
            <w:tcW w:w="0" w:type="auto"/>
          </w:tcPr>
          <w:p w14:paraId="5032C14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462E37C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761DDB5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Florida</w:t>
            </w:r>
          </w:p>
        </w:tc>
        <w:tc>
          <w:tcPr>
            <w:tcW w:w="0" w:type="auto"/>
          </w:tcPr>
          <w:p w14:paraId="7273F4C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205</w:t>
            </w:r>
          </w:p>
          <w:p w14:paraId="6582CA1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(9.9-400)</w:t>
            </w:r>
          </w:p>
        </w:tc>
        <w:tc>
          <w:tcPr>
            <w:tcW w:w="0" w:type="auto"/>
          </w:tcPr>
          <w:p w14:paraId="6590A78E" w14:textId="11B9475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{"citationItems":[{"id":"ITEM-1","itemData":{"DOI":"10.1021/jf047803g","ISSN":"00218561","PMID":"16028993","abstract":"Climate and soil conditions in South Florida along with an extensive canal system facilitate movement of agricultural pesticides into surface waters. In a two-year study (2002-2004) of the currently used pesticides in South Florida, atrazine, endosulfan, metolachlor, chlorpyrifos, and chlorothalonil were the most frequently detected in the canals and in Biscayne Bay, with average concentrations of 16, 11, 9.0, 2.6, and 6.0 ng/L, respectively. Concentrations of atrazine and chlorpyrifos were highest near corn production. Chlorothalonil and endosulfan concentrations were highest near vegetable production, with no clear trend for metolachlor, which is used on multiple crops. Concentration data were used to calculate an aquatic life hazard potential for the planting period (November) versus the harvest period (March). This analysis indicated that a higher hazard potential occurs during harvest, primarily from the use of endosulfan. These data will also serve to document canal conditions prior to implementation of the Comprehensive Everglades Restoration Plan (CERP). © 2005 American Chemical Society.","author":[{"dropping-particle":"","family":"Harman-Fetcho","given":"Jennifer A.","non-dropping-particle":"","parse-names":false,"suffix":""},{"dropping-particle":"","family":"Hapeman","given":"Cathleen J.","non-dropping-particle":"","parse-names":false,"suffix":""},{"dropping-particle":"","family":"McConnell","given":"Laura L.","non-dropping-particle":"","parse-names":false,"suffix":""},{"dropping-particle":"","family":"Potter","given":"Thomas L.","non-dropping-particle":"","parse-names":false,"suffix":""},{"dropping-particle":"","family":"Rice","given":"Clifford P.","non-dropping-particle":"","parse-names":false,"suffix":""},{"dropping-particle":"","family":"Sadeghi","given":"Ali M.","non-dropping-particle":"","parse-names":false,"suffix":""},{"dropping-particle":"","family":"Smith","given":"Ramona D.","non-dropping-particle":"","parse-names":false,"suffix":""},{"dropping-particle":"","family":"Bialek","given":"Krystyna","non-dropping-particle":"","parse-names":false,"suffix":""},{"dropping-particle":"","family":"Sefton","given":"Kerry A.","non-dropping-particle":"","parse-names":false,"suffix":""},{"dropping-particle":"","family":"Schaffer","given":"Bruce A.","non-dropping-particle":"","parse-names":false,"suffix":""},{"dropping-particle":"","family":"Curry","given":"Richard","non-dropping-particle":"","parse-names":false,"suffix":""}],"container-title":"Journal of Agricultural and Food Chemistry","id":"ITEM-1","issue":"15","issued":{"date-parts":[["2005"]]},"page":"6040-6048","title":"Pesticide occurrence in selected South Florida canals and Biscayne Bay during high agricultural activity","type":"article-journal","volume":"53"},"uris":["http://www.mendeley.com/documents/?uuid=60432ed0-1e68-4973-89fc-3edb2cbafd0f"]}],"mendeley":{"formattedCitation":"&lt;sup&gt;41&lt;/sup&gt;","plainTextFormattedCitation":"41","previouslyFormattedCitation":"&lt;sup&gt;41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41</w:t>
            </w:r>
            <w:r w:rsidRPr="00E547AD">
              <w:rPr>
                <w:color w:val="0070C0"/>
                <w:sz w:val="22"/>
              </w:rPr>
              <w:fldChar w:fldCharType="end"/>
            </w:r>
          </w:p>
        </w:tc>
      </w:tr>
      <w:tr w:rsidR="002D64E5" w:rsidRPr="00E547AD" w14:paraId="25D523F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EDD043" w14:textId="77777777" w:rsidR="005E13E8" w:rsidRPr="00E547AD" w:rsidRDefault="005E13E8" w:rsidP="002D64E5">
            <w:pPr>
              <w:rPr>
                <w:color w:val="000000"/>
                <w:sz w:val="22"/>
              </w:rPr>
            </w:pPr>
            <w:r w:rsidRPr="00E547AD">
              <w:rPr>
                <w:color w:val="000000"/>
                <w:sz w:val="22"/>
              </w:rPr>
              <w:t>North America</w:t>
            </w:r>
          </w:p>
        </w:tc>
        <w:tc>
          <w:tcPr>
            <w:tcW w:w="0" w:type="auto"/>
          </w:tcPr>
          <w:p w14:paraId="5D5B557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3EA4F6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1986</w:t>
            </w:r>
          </w:p>
        </w:tc>
        <w:tc>
          <w:tcPr>
            <w:tcW w:w="0" w:type="auto"/>
          </w:tcPr>
          <w:p w14:paraId="1EF523D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Pennsylvania</w:t>
            </w:r>
          </w:p>
        </w:tc>
        <w:tc>
          <w:tcPr>
            <w:tcW w:w="0" w:type="auto"/>
          </w:tcPr>
          <w:p w14:paraId="3D6BFD5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155</w:t>
            </w:r>
          </w:p>
        </w:tc>
        <w:tc>
          <w:tcPr>
            <w:tcW w:w="0" w:type="auto"/>
          </w:tcPr>
          <w:p w14:paraId="72E3BCF6" w14:textId="6DBC85B6"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{"citationItems":[{"id":"ITEM-1","itemData":{"abstract":"Bassioгni Shaly Sand SP","author":[{"dropping-particle":"","family":"H.B.Pionke","given":"","non-dropping-particle":"","parse-names":false,"suffix":""},{"dropping-particle":"","family":"D.W.Glotfelty","given":"","non-dropping-particle":"","parse-names":false,"suffix":""}],"container-title":"Chemosphere","id":"ITEM-1","issue":"6","issued":{"date-parts":[["1990"]]},"page":"813-822","title":"Contamination of Groundwater by Atrazine and Selected Metabolites","type":"article-journal","volume":"21"},"uris":["http://www.mendeley.com/documents/?uuid=cce79844-2dbc-4d77-9506-b64d4b12d326"]}],"mendeley":{"formattedCitation":"&lt;sup&gt;58&lt;/sup&gt;","plainTextFormattedCitation":"58","previouslyFormattedCitation":"&lt;sup&gt;58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58</w:t>
            </w:r>
            <w:r w:rsidRPr="00E547AD">
              <w:rPr>
                <w:color w:val="0070C0"/>
                <w:sz w:val="22"/>
              </w:rPr>
              <w:fldChar w:fldCharType="end"/>
            </w:r>
          </w:p>
        </w:tc>
      </w:tr>
      <w:tr w:rsidR="005E13E8" w:rsidRPr="00E547AD" w14:paraId="7A37058D"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CD10168" w14:textId="77777777" w:rsidR="005E13E8" w:rsidRPr="00E547AD" w:rsidRDefault="005E13E8" w:rsidP="002D64E5">
            <w:pPr>
              <w:rPr>
                <w:color w:val="000000"/>
                <w:sz w:val="22"/>
              </w:rPr>
            </w:pPr>
            <w:r w:rsidRPr="00E547AD">
              <w:rPr>
                <w:color w:val="000000"/>
                <w:sz w:val="22"/>
              </w:rPr>
              <w:t>North America</w:t>
            </w:r>
          </w:p>
        </w:tc>
        <w:tc>
          <w:tcPr>
            <w:tcW w:w="0" w:type="auto"/>
          </w:tcPr>
          <w:p w14:paraId="792FF4B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3FCB9C6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1987</w:t>
            </w:r>
          </w:p>
        </w:tc>
        <w:tc>
          <w:tcPr>
            <w:tcW w:w="0" w:type="auto"/>
          </w:tcPr>
          <w:p w14:paraId="013BA40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Pennsylvania</w:t>
            </w:r>
          </w:p>
        </w:tc>
        <w:tc>
          <w:tcPr>
            <w:tcW w:w="0" w:type="auto"/>
          </w:tcPr>
          <w:p w14:paraId="6810C2D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36</w:t>
            </w:r>
          </w:p>
        </w:tc>
        <w:tc>
          <w:tcPr>
            <w:tcW w:w="0" w:type="auto"/>
          </w:tcPr>
          <w:p w14:paraId="660F7637" w14:textId="5FFFF5B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{"citationItems":[{"id":"ITEM-1","itemData":{"abstract":"Bassioгni Shaly Sand SP","author":[{"dropping-particle":"","family":"H.B.Pionke","given":"","non-dropping-particle":"","parse-names":false,"suffix":""},{"dropping-particle":"","family":"D.W.Glotfelty","given":"","non-dropping-particle":"","parse-names":false,"suffix":""}],"container-title":"Chemosphere","id":"ITEM-1","issue":"6","issued":{"date-parts":[["1990"]]},"page":"813-822","title":"Contamination of Groundwater by Atrazine and Selected Metabolites","type":"article-journal","volume":"21"},"uris":["http://www.mendeley.com/documents/?uuid=cce79844-2dbc-4d77-9506-b64d4b12d326"]}],"mendeley":{"formattedCitation":"&lt;sup&gt;58&lt;/sup&gt;","plainTextFormattedCitation":"58","previouslyFormattedCitation":"&lt;sup&gt;58&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58</w:t>
            </w:r>
            <w:r w:rsidRPr="00E547AD">
              <w:rPr>
                <w:color w:val="0070C0"/>
                <w:sz w:val="22"/>
              </w:rPr>
              <w:fldChar w:fldCharType="end"/>
            </w:r>
          </w:p>
        </w:tc>
      </w:tr>
      <w:tr w:rsidR="002D64E5" w:rsidRPr="00E547AD" w14:paraId="0A3B0F0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DCEFCE" w14:textId="77777777" w:rsidR="005E13E8" w:rsidRPr="00E547AD" w:rsidRDefault="005E13E8" w:rsidP="002D64E5">
            <w:pPr>
              <w:rPr>
                <w:color w:val="000000"/>
                <w:sz w:val="22"/>
              </w:rPr>
            </w:pPr>
            <w:r w:rsidRPr="00E547AD">
              <w:rPr>
                <w:color w:val="000000"/>
                <w:sz w:val="22"/>
              </w:rPr>
              <w:t>North America</w:t>
            </w:r>
          </w:p>
        </w:tc>
        <w:tc>
          <w:tcPr>
            <w:tcW w:w="0" w:type="auto"/>
          </w:tcPr>
          <w:p w14:paraId="55E875C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51FBE34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1991</w:t>
            </w:r>
          </w:p>
        </w:tc>
        <w:tc>
          <w:tcPr>
            <w:tcW w:w="0" w:type="auto"/>
          </w:tcPr>
          <w:p w14:paraId="474B28A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Nebraska</w:t>
            </w:r>
          </w:p>
        </w:tc>
        <w:tc>
          <w:tcPr>
            <w:tcW w:w="0" w:type="auto"/>
          </w:tcPr>
          <w:p w14:paraId="2962A2C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270</w:t>
            </w:r>
          </w:p>
          <w:p w14:paraId="480B4A3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(na-960)</w:t>
            </w:r>
          </w:p>
        </w:tc>
        <w:tc>
          <w:tcPr>
            <w:tcW w:w="0" w:type="auto"/>
          </w:tcPr>
          <w:p w14:paraId="7429FF7B" w14:textId="4786140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{"citationItems":[{"id":"ITEM-1","itemData":{"DOI":"10.2134/jeq1994.00472425002300030024x","ISSN":"0047-2425","abstract":"Dissolved pesticide concentrations in 168 water samples collected from two closely-spaced lakes between early May 1990 and mid-June 1991 indicated large differences in impacts from watershed nonpoint source inputs. Pesticide levels in Maskenthine Lake, a small impoundment of 34 ha, increased in response to spring and early summer runoff events. Twelve pesticides [atrazine, 2-chloro-4-ethylamino-6-isopropylamino-s-triazine; alachlor, 2- chloro-N-(2,6-diethylphenyl)-N-(methoxymethyl)acetamide; metolachlor, 2- chloro-N-(2-ethyl-6-methylphenyl)-N-(2-methoxy-1-methylethyl)acetamide; cyanazine, 2-[[4-chloro-6-(ethylamino)-s-triazin-2-yl]amino]-2- methylpropionitrile; EPTC, S-ethyl dipropylthiocarbamate; butylate, S-ethyl diisobutylthiocarbamate; propachlor, 2-chloro-N-(1-methylethyl)-N- phenylacetamide; trifluralin, α,α,α-trifluoro-2, 6-dinitro-N,N-dipropyl- p-toluidine; simazine, 2-chloro-4,6-bis(ethylamino)-s-triazine; propazine, 2- chloro-4,6-bis(isopropylamino)-s-triazine; fonofos, O-ethyl S-phenyl ethylphosphonodithioate; metribuzin, 4-amino-6-(1,1-dimethylethyl)-3- (methylthio)-1,2,4-triazin-5(4H)-one] and two atrazine metabolites, deethylatrazine, 2-amino-4-chloro-6-isopropylamino-s-triazine (DEA) and deisopropylatrazine, 2-amino-4-chloro-6-ethylamino-s-triazine (DIA) were detected. Atrazine, cyanazine, DEA and DIA levels were greater than 1 μg/L. Atrazine remained above the maximum contaminant level for potable water of 3 μg/L throughout the period of investigation. The pesticide response to spring and summer runoff events was much less pronounced at Willow Lake, a 284 ha impoundment. Ten of 12 pesticides and two atrazine metabolites in Maskenthine Lake were also detected in Willow Lake; however, concentrations did not exceed 1 μg/L. After the spring flush of pesticides in May and June, concentrations decreased until the following spring. Ratios of DEA to atrazine and DIA to atrazine remained relatively constant suggesting that appreciable amounts of biodegradates were not produced. Apparent half-lives were calculated from observed concentration decreases that appeared to follow first-order kinetics. Atrazine was the most persistent agrichemical (t( 1/2 ) = 193, t( 1/2 ) = 124) introduced in the spring runoff events. Extracted pesticide levels were higher in bottom cores from Maskenthine Lake than from Willow Lake. Differences in pesticide levels in the two lakes were related to watershed slope, soil drainage capacity, landuse, and rainfall.","author":[{"dropping-particle":"","family":"Spalding","given":"Roy F.","non-dropping-particle":"","parse-names":false,"suffix":""},{"dropping-particle":"","family":"Snow","given":"Daniel D.","non-dropping-particle":"","parse-names":false,"suffix":""},{"dropping-particle":"","family":"Cassada","given":"David A.","non-dropping-particle":"","parse-names":false,"suffix":""},{"dropping-particle":"","family":"Burbach","given":"Mark E.","non-dropping-particle":"","parse-names":false,"suffix":""}],"container-title":"Journal of Environmental Quality","id":"ITEM-1","issue":"3","issued":{"date-parts":[["1994"]]},"page":"571-578","title":"Study of Pesticide Occurrence in Two Closely Spaced Lakes in Northeastern Nebraska","type":"article-journal","volume":"23"},"uris":["http://www.mendeley.com/documents/?uuid=e53c2b98-a311-4fdc-b31c-2487849d1f5d"]}],"mendeley":{"formattedCitation":"&lt;sup&gt;59&lt;/sup&gt;","plainTextFormattedCitation":"59","previouslyFormattedCitation":"&lt;sup&gt;59&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59</w:t>
            </w:r>
            <w:r w:rsidRPr="00E547AD">
              <w:rPr>
                <w:color w:val="0070C0"/>
                <w:sz w:val="22"/>
              </w:rPr>
              <w:fldChar w:fldCharType="end"/>
            </w:r>
          </w:p>
        </w:tc>
      </w:tr>
      <w:tr w:rsidR="005E13E8" w:rsidRPr="00E547AD" w14:paraId="54EA1939"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6BCC821" w14:textId="77777777" w:rsidR="005E13E8" w:rsidRPr="00E547AD" w:rsidRDefault="005E13E8" w:rsidP="002D64E5">
            <w:pPr>
              <w:rPr>
                <w:color w:val="000000"/>
                <w:sz w:val="22"/>
              </w:rPr>
            </w:pPr>
            <w:r w:rsidRPr="00E547AD">
              <w:rPr>
                <w:color w:val="000000"/>
                <w:sz w:val="22"/>
              </w:rPr>
              <w:t>North America</w:t>
            </w:r>
          </w:p>
        </w:tc>
        <w:tc>
          <w:tcPr>
            <w:tcW w:w="0" w:type="auto"/>
          </w:tcPr>
          <w:p w14:paraId="6356572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02596F3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1993</w:t>
            </w:r>
          </w:p>
        </w:tc>
        <w:tc>
          <w:tcPr>
            <w:tcW w:w="0" w:type="auto"/>
          </w:tcPr>
          <w:p w14:paraId="3C0C963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Indiana</w:t>
            </w:r>
          </w:p>
        </w:tc>
        <w:tc>
          <w:tcPr>
            <w:tcW w:w="0" w:type="auto"/>
          </w:tcPr>
          <w:p w14:paraId="49EB211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2134</w:t>
            </w:r>
          </w:p>
          <w:p w14:paraId="5C610B7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(80-7640)</w:t>
            </w:r>
          </w:p>
        </w:tc>
        <w:tc>
          <w:tcPr>
            <w:tcW w:w="0" w:type="auto"/>
          </w:tcPr>
          <w:p w14:paraId="12013F67" w14:textId="5BAE58AA"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{"citationItems":[{"id":"ITEM-1","itemData":{"DOI":"10.1111/j.1752-1688.2001.tb05527.x","ISSN":"1093474X","abstract":"An index of watershed susceptibility to surface water contamination by herbicides could be used to improve source water assessments for public drinking water supplies, prioritize watershed restoration projects, and direct funding and educational efforts to areas where the greatest environmental benefit can be realized. The goal of this study is to use streamflow and herbicide concentration data to develop and evaluate a method for estimating comparative watershed susceptibility to herbicide loss. United States Geological Survey (USGS) concentration data for five relatively water soluble herbicides (alachlor, atrazine, cyanazine, metolachlor, and simazine) were analyzed for 16 Indiana watersheds. Correlation was assessed between observed herbicide losses and: (1) a herbicide runoff index using GIS-based land use, soil type, SCS runoff curve number, tillage practice, herbicide use estimates, and combinations of these factors; and (2) predicted herbicide losses from a non-point source pollution model (NAPRA-Web, an Internet-based interface for GLEAMS). The highest adjusted R2 value was found between herbicide concentration and the runoff curve number alone, ranging from 0.25 to 0.56. Predictions from the simulation model showed a poorer correlation with observed herbicide loss. This indicates potential for using the runoff curve number as a simple herbicide contamination susceptibility index.","author":[{"dropping-particle":"","family":"Homes","given":"M. J.","non-dropping-particle":"","parse-names":false,"suffix":""},{"dropping-particle":"","family":"Frankenberger","given":"J. R.","non-dropping-particle":"","parse-names":false,"suffix":""},{"dropping-particle":"","family":"Engel","given":"B. A.","non-dropping-particle":"","parse-names":false,"suffix":""}],"container-title":"Journal of the American Water Resources Association","id":"ITEM-1","issue":"4","issued":{"date-parts":[["2001"]]},"page":"987-1000","title":"Susceptibility of Indiana watersheds to herbicide contamination","type":"article-journal","volume":"37"},"uris":["http://www.mendeley.com/documents/?uuid=03c9752a-d04a-4fcc-9c07-e56a77198e58"]}],"mendeley":{"formattedCitation":"&lt;sup&gt;60&lt;/sup&gt;","plainTextFormattedCitation":"60","previouslyFormattedCitation":"&lt;sup&gt;60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60</w:t>
            </w:r>
            <w:r w:rsidRPr="00E547AD">
              <w:rPr>
                <w:color w:val="0070C0"/>
                <w:sz w:val="22"/>
              </w:rPr>
              <w:fldChar w:fldCharType="end"/>
            </w:r>
          </w:p>
        </w:tc>
      </w:tr>
      <w:tr w:rsidR="002D64E5" w:rsidRPr="00E547AD" w14:paraId="1F71292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3D69280" w14:textId="77777777" w:rsidR="005E13E8" w:rsidRPr="00E547AD" w:rsidRDefault="005E13E8" w:rsidP="002D64E5">
            <w:pPr>
              <w:rPr>
                <w:color w:val="000000"/>
                <w:sz w:val="22"/>
              </w:rPr>
            </w:pPr>
            <w:r w:rsidRPr="00E547AD">
              <w:rPr>
                <w:color w:val="000000"/>
                <w:sz w:val="22"/>
              </w:rPr>
              <w:t>North America</w:t>
            </w:r>
          </w:p>
        </w:tc>
        <w:tc>
          <w:tcPr>
            <w:tcW w:w="0" w:type="auto"/>
          </w:tcPr>
          <w:p w14:paraId="49BEF67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3E02156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2001</w:t>
            </w:r>
          </w:p>
        </w:tc>
        <w:tc>
          <w:tcPr>
            <w:tcW w:w="0" w:type="auto"/>
          </w:tcPr>
          <w:p w14:paraId="70FB4ED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Indiana</w:t>
            </w:r>
          </w:p>
        </w:tc>
        <w:tc>
          <w:tcPr>
            <w:tcW w:w="0" w:type="auto"/>
          </w:tcPr>
          <w:p w14:paraId="740D03D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3838</w:t>
            </w:r>
          </w:p>
          <w:p w14:paraId="325A537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(290-8560)</w:t>
            </w:r>
          </w:p>
        </w:tc>
        <w:tc>
          <w:tcPr>
            <w:tcW w:w="0" w:type="auto"/>
          </w:tcPr>
          <w:p w14:paraId="4E409A6D" w14:textId="35717FE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{"citationItems":[{"id":"ITEM-1","itemData":{"ISBN":"7655881197","abstract":"Tillage and pesticide management are important factors controlling pesticide losses from agricultural watersheds. In this research, tillage activities were mapped from Landsat TM and MODIS data and were used in Soil and Water Assessment Tool (SWAT) model to simulate atrazine concentrations in the St. Joseph River in northeastern Indiana. The calibrated and validated model proved to be crucial in making early warning predictions and decisions on atrazine pollution. Average Nash- Sutcliffe efficiency (NSE) values of 0.56 and 0.70 were obtained for daily and monthly stream flow calibration, respectively, while those for validation were 0.55 and 0.79, respectively. The best NSE values ranged from 0.06 to 0.42 for daily atrazine calibrations at four locations within the watershed and from 0.01 to 0.29 during validation. Daily and monthly R2 values at the St. Joseph watershed outlet during the atrazine validation were 0.35 and 0.63, respectively. Although NSE values for some water quality stations were poor, predicted atrazine concentrations compared reasonably well to measured trends at the watershed outlet. Pollution peaks in simulated atrazine concentrations were also within days of measured atrazine concentrations. The research showed that the temporal and spatial trend of tillage activities, which influences the timing and location of atrazine applications, together with application amounts have significant impact on critical areas and concentration levels of atrazine pollution. Uncertainties in observed data could also affect the model outcome. The results showed the potential application in early warning prediction of atrazine pollution and can be used to make appropriate management decisions to mitigate this problem.","author":[{"dropping-particle":"","family":"Quansah","given":"J E","non-dropping-particle":"","parse-names":false,"suffix":""},{"dropping-particle":"","family":"Engel","given":"B A","non-dropping-particle":"","parse-names":false,"suffix":""},{"dropping-particle":"","family":"Chaubey","given":"I","non-dropping-particle":"","parse-names":false,"suffix":""}],"container-title":"American Society of Agricultural and Biological Engineers","id":"ITEM-1","issue":"4","issued":{"date-parts":[["2008"]]},"page":"1311-1321","title":"Tillage Practices Usage in Early Warning Prediction of Atrazine Pollution","type":"article-journal","volume":"51"},"uris":["http://www.mendeley.com/documents/?uuid=0ce79ae9-0534-4c3c-b3f6-1e1bc8823b77"]}],"mendeley":{"formattedCitation":"&lt;sup&gt;61&lt;/sup&gt;","plainTextFormattedCitation":"61","previouslyFormattedCitation":"&lt;sup&gt;61&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61</w:t>
            </w:r>
            <w:r w:rsidRPr="00E547AD">
              <w:rPr>
                <w:color w:val="0070C0"/>
                <w:sz w:val="22"/>
              </w:rPr>
              <w:fldChar w:fldCharType="end"/>
            </w:r>
          </w:p>
        </w:tc>
      </w:tr>
      <w:tr w:rsidR="005E13E8" w:rsidRPr="00E547AD" w14:paraId="2C506172"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344AA0A" w14:textId="77777777" w:rsidR="005E13E8" w:rsidRPr="00E547AD" w:rsidRDefault="005E13E8" w:rsidP="002D64E5">
            <w:pPr>
              <w:rPr>
                <w:color w:val="000000"/>
                <w:sz w:val="22"/>
              </w:rPr>
            </w:pPr>
            <w:r w:rsidRPr="00E547AD">
              <w:rPr>
                <w:color w:val="000000"/>
                <w:sz w:val="22"/>
              </w:rPr>
              <w:t>North America</w:t>
            </w:r>
          </w:p>
        </w:tc>
        <w:tc>
          <w:tcPr>
            <w:tcW w:w="0" w:type="auto"/>
          </w:tcPr>
          <w:p w14:paraId="0C3C188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7886A7A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1992</w:t>
            </w:r>
          </w:p>
        </w:tc>
        <w:tc>
          <w:tcPr>
            <w:tcW w:w="0" w:type="auto"/>
          </w:tcPr>
          <w:p w14:paraId="60DB522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Walnut Watershed</w:t>
            </w:r>
          </w:p>
        </w:tc>
        <w:tc>
          <w:tcPr>
            <w:tcW w:w="0" w:type="auto"/>
          </w:tcPr>
          <w:p w14:paraId="58EB153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280</w:t>
            </w:r>
          </w:p>
          <w:p w14:paraId="4D995BD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(200-350)</w:t>
            </w:r>
          </w:p>
        </w:tc>
        <w:tc>
          <w:tcPr>
            <w:tcW w:w="0" w:type="auto"/>
          </w:tcPr>
          <w:p w14:paraId="0F64E275" w14:textId="4B4894BB"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{"citationItems":[{"id":"ITEM-1","itemData":{"DOI":"10.1111/j.1752-1688.2000.tb05713.x","ISSN":"1093474X","abstract":"Land use and surface water data for nitrogen and pesticides (1995 to 1997) are reported for the Walnut Creek Watershed Monitoring Project, Jasper County Iowa. The Walnut Creek project was established in 1995 as a nonpoint source monitoring program in relation to watershed habitat restoration and agricultural management changes implemented at the Neal Smith National Wildlife Refuge by the U.S. Fish and Wildlife Service. The monitoring project utilizes a paired-watershed approach (Walnut and Squaw creeks) as well as upstream/downstream comparisons on Walnut for analysis and tracking of trends. From 1992 to 1997, 13.4 percent of the watershed was converted from row crop to native prairie in the Walnut Creek watershed. Including another 6 percent of watershed farmed on a cash-rent basis, land use changes have been implemented on 19.4 percent of the watershed by the USFWS. Nitrogen and pesticide applications were reduced an estimated 18 percent and 28 percent in the watershed from land use changes. Atrazine was detected most often in surface water with frequencies of detection ranging from 76-86 percent. No significant differences were noted in atrazine concentrations between Walnut and Squaw Creek. Nitrate-N concentrations measured in both watersheds were similar; both basins showed a similar pattern of detection and an overall reduction in nitrate-N concentrations from upstream to downstream monitoring sites. Water quality improvements are suggested by nitrate-N and chloride ratios less than one in the Walnut Creek watershed and low nitrate-N concentrations measured in the subbasin of Walnut Creek containing the greatest amount of land use changes. Atrazine and nitrate-N concentrations from the lower portion of the Walnut Creek watershed (including the prairie restoration area) may be decreasing in relation to the upstream untreated component of the watershed. The frequencies of pesticide detections and mean nitrate-N concentrations appear related to the percentage of row crop in the basins and subbasins. Although some results are encouraging, definitive water quality improvements have not been observed during the first three years of monitoring. Possible reasons include: (1) more time is needed to adequately detect changes; (2) the size of the watershed is too large to detect improvements; (3) land use changes are not located in the area of the watershed where they would have greatest effect; or (4) water quality improvements have occurred but have been m…","author":[{"dropping-particle":"","family":"Schilling","given":"Keith E.","non-dropping-particle":"","parse-names":false,"suffix":""},{"dropping-particle":"","family":"Thompson","given":"Carol A.","non-dropping-particle":"","parse-names":false,"suffix":""}],"container-title":"Journal of the American Water Resources Association","id":"ITEM-1","issue":"5","issued":{"date-parts":[["2000"]]},"page":"1101-1114","title":"Walnut creek watershed monitoring project, Iowa: Monitoring water quality in response to prairie restoration","type":"article-journal","volume":"36"},"uris":["http://www.mendeley.com/documents/?uuid=43fdcbd0-38f3-4b6a-9b9e-8852ed02f8b5"]}],"mendeley":{"formattedCitation":"&lt;sup&gt;62&lt;/sup&gt;","plainTextFormattedCitation":"62","previouslyFormattedCitation":"&lt;sup&gt;62&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62</w:t>
            </w:r>
            <w:r w:rsidRPr="00E547AD">
              <w:rPr>
                <w:color w:val="0070C0"/>
                <w:sz w:val="22"/>
              </w:rPr>
              <w:fldChar w:fldCharType="end"/>
            </w:r>
          </w:p>
        </w:tc>
      </w:tr>
      <w:tr w:rsidR="002D64E5" w:rsidRPr="00E547AD" w14:paraId="6DE4F65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B71C12" w14:textId="77777777" w:rsidR="005E13E8" w:rsidRPr="00E547AD" w:rsidRDefault="005E13E8" w:rsidP="002D64E5">
            <w:pPr>
              <w:rPr>
                <w:color w:val="000000"/>
                <w:sz w:val="22"/>
              </w:rPr>
            </w:pPr>
            <w:r w:rsidRPr="00E547AD">
              <w:rPr>
                <w:color w:val="000000"/>
                <w:sz w:val="22"/>
              </w:rPr>
              <w:t>North America</w:t>
            </w:r>
          </w:p>
        </w:tc>
        <w:tc>
          <w:tcPr>
            <w:tcW w:w="0" w:type="auto"/>
          </w:tcPr>
          <w:p w14:paraId="65BCA73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1167F08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1992</w:t>
            </w:r>
          </w:p>
        </w:tc>
        <w:tc>
          <w:tcPr>
            <w:tcW w:w="0" w:type="auto"/>
          </w:tcPr>
          <w:p w14:paraId="5B83351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Iowa</w:t>
            </w:r>
          </w:p>
        </w:tc>
        <w:tc>
          <w:tcPr>
            <w:tcW w:w="0" w:type="auto"/>
          </w:tcPr>
          <w:p w14:paraId="5397DF0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471</w:t>
            </w:r>
          </w:p>
          <w:p w14:paraId="0455356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(100-1410)</w:t>
            </w:r>
          </w:p>
        </w:tc>
        <w:tc>
          <w:tcPr>
            <w:tcW w:w="0" w:type="auto"/>
          </w:tcPr>
          <w:p w14:paraId="53EE093B" w14:textId="58DBEDD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{"citationItems":[{"id":"ITEM-1","itemData":{"DOI":"10.2134/jeq1999.00472425002800010005x","ISSN":"0047-2425","abstract":"There is a lack of quantitative information describing the impact of farming on water quality at the watershed sca</w:instrText>
            </w:r>
            <w:r w:rsidR="00694227">
              <w:rPr>
                <w:rFonts w:hint="eastAsia"/>
                <w:color w:val="0070C0"/>
                <w:sz w:val="22"/>
              </w:rPr>
              <w:instrText>le. This study documents the surface water quality of Walnut Creek - a 5130-ha watershed with about 86% of the land used for crop production. Starting in 1990, flow and concentrations of NO3-N and four herbicides - atrazine [6-chloro-N-ethyl-N</w:instrText>
            </w:r>
            <w:r w:rsidR="00694227">
              <w:rPr>
                <w:rFonts w:hint="eastAsia"/>
                <w:color w:val="0070C0"/>
                <w:sz w:val="22"/>
              </w:rPr>
              <w:instrText>′</w:instrText>
            </w:r>
            <w:r w:rsidR="00694227">
              <w:rPr>
                <w:rFonts w:hint="eastAsia"/>
                <w:color w:val="0070C0"/>
                <w:sz w:val="22"/>
              </w:rPr>
              <w:instrText>-(1-methyle</w:instrText>
            </w:r>
            <w:r w:rsidR="00694227">
              <w:rPr>
                <w:color w:val="0070C0"/>
                <w:sz w:val="22"/>
              </w:rPr>
              <w:instrText>thyl)-1,3,5-triazine-2 ,4-diamine], alachlor [2-chloro-N-(2,6-diethylphenyl)-N-(methoxymethyl)acetamid e], metribuzin [4-amino-6-(1,1-dimethylethyl)-3-(methylthio)-1,2,4- triazin-5(4H)-one], and metolachlor [2-chloro-N- (2-ethyl-6-methylphenyl)-N- (2-methoxy-1-methylethyl)acetamide] - were measured at eight locations. Nitrate-N concentrations often exceeded 10 mg L-1 during May, June, and July. Total losses from the watershed ranged from 4 to 66 kg ha-1 yr-1 and represented 6 to 115% of the N applied as fertilizer in any year. Atrazine and metolachlor were detected at concentrations &gt;0.2 μg L-1 in about half of all water samples, while alachlor and metribuzin were seldom detected. Median concentrations for atrazine and metolachlor were below 1 μg L-1 for all locations within the watershed. During runoff events, herbicide concentrations in the stream increased while NO3-N concentrations decreased. Yearly losses from the watershed ranged from 0.2 to 7.5 g ha-1 for atrazine and from 0.3 to 6.7 g ha-1 for metolachlor. These losses represent 0.18 to 5.6% of the atrazine and 0.047 to 1.6% of the metolachlor applied in any year.","author":[{"dropping-particle":"","family":"Jaynes","given":"D. B.","non-dropping-particle":"","parse-names":false,"suffix":""},{"dropping-particle":"","family":"Hatfield","given":"J. L.","non-dropping-particle":"","parse-names":false,"suffix":""},{"dropping-particle":"","family":"Meek","given":"D. W.","non-dropping-particle":"","parse-names":false,"suffix":""}],"container-title":"Journal of Environmental Quality","id":"ITEM-1","issue":"1","issued":{"date-parts":[["1999"]]},"page":"45-59","title":"Water Quality in Walnut Creek Watershed: Herbicides and Nitrate in Surface Waters","type":"article-journal","volume":"28"},"uris":["http://www.mendeley.com/documents/?uuid=4975d37e-3192-4cde-8bf6-3f0103887ab3"]}],"mendeley":{"formattedCitation":"&lt;sup&gt;63&lt;/sup&gt;","plainTextFormattedCitation":"63","previouslyFormattedCitation":"&lt;sup&gt;63&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63</w:t>
            </w:r>
            <w:r w:rsidRPr="00E547AD">
              <w:rPr>
                <w:color w:val="0070C0"/>
                <w:sz w:val="22"/>
              </w:rPr>
              <w:fldChar w:fldCharType="end"/>
            </w:r>
          </w:p>
        </w:tc>
      </w:tr>
      <w:tr w:rsidR="005E13E8" w:rsidRPr="00E547AD" w14:paraId="722DEAF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3CB8CFA" w14:textId="77777777" w:rsidR="005E13E8" w:rsidRPr="00E547AD" w:rsidRDefault="005E13E8" w:rsidP="002D64E5">
            <w:pPr>
              <w:rPr>
                <w:color w:val="000000"/>
                <w:sz w:val="22"/>
              </w:rPr>
            </w:pPr>
            <w:r w:rsidRPr="00E547AD">
              <w:rPr>
                <w:color w:val="000000"/>
                <w:sz w:val="22"/>
              </w:rPr>
              <w:lastRenderedPageBreak/>
              <w:t>North America</w:t>
            </w:r>
          </w:p>
        </w:tc>
        <w:tc>
          <w:tcPr>
            <w:tcW w:w="0" w:type="auto"/>
          </w:tcPr>
          <w:p w14:paraId="32EC01C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230DEB0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1998</w:t>
            </w:r>
          </w:p>
        </w:tc>
        <w:tc>
          <w:tcPr>
            <w:tcW w:w="0" w:type="auto"/>
          </w:tcPr>
          <w:p w14:paraId="67FEC91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Iowa and Missouri</w:t>
            </w:r>
          </w:p>
        </w:tc>
        <w:tc>
          <w:tcPr>
            <w:tcW w:w="0" w:type="auto"/>
          </w:tcPr>
          <w:p w14:paraId="3475EEE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(3800-6300)</w:t>
            </w:r>
          </w:p>
        </w:tc>
        <w:tc>
          <w:tcPr>
            <w:tcW w:w="0" w:type="auto"/>
          </w:tcPr>
          <w:p w14:paraId="2B5B8C9B" w14:textId="295684F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{"citationItems":[{"id":"ITEM-1","itemData":{"DOI":"10.1021/es030431s","ISSN":"0013936X","PMID":"14717159","abstract":"Herbicide contamination of streams has been well documented, but little is currently known about the specific factors affecting watershed vulnerability to herbicide transport. The primary objectives of this study were (1) to document herbicide occurrence and transport from watersheds in the northern Missouri/southern Iowa region; (2) to quantify watershed vulnerability to herbicide transport and relate vulnerability to soil properties; and (3) to compute the contribution of this region to the herbicide load of the Missouri and Mississippi Rivers. Grab samples were collected under baseflow and runoff conditions at 21 hydrologic monitoring stations between April 15 and July 15 from 1996 to 1999. Samples were analyzed for commonly used soil-applied herbicides (atrazine, cyanazine, acetochlor, alachlor, metolachlor, and metribuzin) and four triazine metabolites (deisopropylatrazine, deethylatrazine, hydroxyatrazine, and cyanazine amide). Estimates of herbicide load and relative losses were computed for each watershed. Median parent herbicide losses, as a percentage of applied, ranged from 0.33 to 3.9%; loss rates that were considerably higher than other areas of the United States. Watershed vulnerability to herbicide transport, measured as herbicide load per treated area, showed that the runoff potential of soils was a critical factor affecting herbicide transport. Herbicide transport from these watersheds contributed a disproportionately high amount of the herbicide load to both the Missouri and Mississippi Rivers. Based on these results, this region of the Corn Belt is highly vulnerable to transport of herbicides from fields to streams, and it should be targeted for implementation of management practices designed to reduce herbicide losses in surface runoff.","author":[{"dropping-particle":"","family":"Lerch","given":"R. N.","non-dropping-particle":"","parse-names":false,"suffix":""},{"dropping-particle":"","family":"Blanchard","given":"P. E.","non-dropping-particle":"","parse-names":false,"suffix":""}],"container-title":"Environmental Science and Technology","id":"ITEM-1","issue":"24","issued":{"date-parts":[["2003"]]},"page":"5518-5527","title":"Watershed Vulnerability to Herbicide Transport in Northern Missouri and Southern Iowa Streams","type":"article-journal","volume":"37"},"uris":["http://www.mendeley.com/documents/?uuid=3cdbd290-e81a-4c36-9dc2-5081614cd1fb"]}],"mendeley":{"formattedCitation":"&lt;sup&gt;64&lt;/sup&gt;","plainTextFormattedCitation":"64","previouslyFormattedCitation":"&lt;sup&gt;64&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64</w:t>
            </w:r>
            <w:r w:rsidRPr="00E547AD">
              <w:rPr>
                <w:color w:val="0070C0"/>
                <w:sz w:val="22"/>
              </w:rPr>
              <w:fldChar w:fldCharType="end"/>
            </w:r>
          </w:p>
        </w:tc>
      </w:tr>
      <w:tr w:rsidR="002D64E5" w:rsidRPr="00E547AD" w14:paraId="00CFAC6E"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69C5C66" w14:textId="77777777" w:rsidR="005E13E8" w:rsidRPr="00E547AD" w:rsidRDefault="005E13E8" w:rsidP="002D64E5">
            <w:pPr>
              <w:rPr>
                <w:color w:val="000000"/>
                <w:sz w:val="22"/>
              </w:rPr>
            </w:pPr>
            <w:r w:rsidRPr="00E547AD">
              <w:rPr>
                <w:color w:val="000000"/>
                <w:sz w:val="22"/>
              </w:rPr>
              <w:t>North America</w:t>
            </w:r>
          </w:p>
        </w:tc>
        <w:tc>
          <w:tcPr>
            <w:tcW w:w="0" w:type="auto"/>
          </w:tcPr>
          <w:p w14:paraId="17919E5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4873DE3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2021052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Iowa and Missouri</w:t>
            </w:r>
          </w:p>
        </w:tc>
        <w:tc>
          <w:tcPr>
            <w:tcW w:w="0" w:type="auto"/>
          </w:tcPr>
          <w:p w14:paraId="2DCF77D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500</w:t>
            </w:r>
          </w:p>
          <w:p w14:paraId="0B3568A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(20-1390)</w:t>
            </w:r>
          </w:p>
        </w:tc>
        <w:tc>
          <w:tcPr>
            <w:tcW w:w="0" w:type="auto"/>
          </w:tcPr>
          <w:p w14:paraId="1AFD41BD" w14:textId="3BFF64B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{"citationItems":[{"id":"ITEM-1","itemData":{"DOI":"10.1021/es991115+","ISSN":"0013936X","abstract":"The objective of this study was to conduct a multibasin reconnaissance survey to determine the relative importance of chemical properties, land-use, and hydrology to agricultural chemical contamination of streams in northern Missouri. In 1994 and 1995, samples were collected from 140 sites on 95 different streams and rivers throughout northern Missouri. Samples were collected under preplant and postplant conditions and analyzed for common herbicides and dissolved nutrients. Atrazine, the most frequently detected herbicide was detected in all postplant samples and 99% and 90% of the preplant samples in 1994 and 1995, respectively. The study area has significant variations in soils, hydrology, and land-use (row-cropping intensity). The hydrology is largely determined by the soils, as reflected by soil hydrologic groups. Nitrate and herbicide concentrations showed opposite trends across the study region. Streams draining watersheds with runoff-prone soils had the highest herbicide concentrations, while streams draining watersheds with more groundwater recharge had low herbicide concentrations but the highest NO3-N concentrations. Current data are sufficient to develop a conceptual framework for assessing watershed vulnerability based on three key factors. The primary factor is the chemistry of the compound, which determines the potential hydrologic transport pathways for that chemical to be lost from the soil. Nitrate can potentially be leached or lost in runoff. Moderately sorbed compounds, such as atrazine, are more likely to be lost in runoff or degraded within the soil than leached. The hydrology of a region is the secondary factor, as it determines the relative importance of the leaching and runoff transport pathways. The third factor then is the land-use, which includes the percentage of a watershed that is cropped, the locations within the watershed that are cropped, and the chemicals applied. Management practices to improve water quality must be designed in accordance with the dominant problems and transport pathways of a watershed.","author":[{"dropping-particle":"","family":"Blanchard","given":"P. E.","non-dropping-particle":"","parse-names":false,"suffix":""},{"dropping-particle":"","family":"Lerch","given":"R. N.","non-dropping-particle":"","parse-names":false,"suffix":""}],"container-title":"Environmental Science and Technology","id":"ITEM-1","issue":"16","issued":{"date-parts":[["2000"]]},"page":"3315-3322","title":"Watershed vulnerability to losses of agricultural chemicals: Interactions of chemistry, hydrology, and land-use","type":"article-journal","volume":"34"},"uris":["http://www.mendeley.com/documents/?uuid=42013b6d-03f6-484a-9f73-e92024c3926a"]}],"mendeley":{"formattedCitation":"&lt;sup&gt;5&lt;/sup&gt;","plainTextFormattedCitation":"5","previouslyFormattedCitation":"&lt;sup&gt;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w:t>
            </w:r>
            <w:r w:rsidRPr="00E547AD">
              <w:rPr>
                <w:color w:val="0070C0"/>
                <w:sz w:val="22"/>
              </w:rPr>
              <w:fldChar w:fldCharType="end"/>
            </w:r>
          </w:p>
        </w:tc>
      </w:tr>
      <w:tr w:rsidR="005E13E8" w:rsidRPr="00E547AD" w14:paraId="288E310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A16B75A" w14:textId="77777777" w:rsidR="005E13E8" w:rsidRPr="00E547AD" w:rsidRDefault="005E13E8" w:rsidP="002D64E5">
            <w:pPr>
              <w:rPr>
                <w:color w:val="000000"/>
                <w:sz w:val="22"/>
              </w:rPr>
            </w:pPr>
            <w:r w:rsidRPr="00E547AD">
              <w:rPr>
                <w:color w:val="000000"/>
                <w:sz w:val="22"/>
              </w:rPr>
              <w:t>North America</w:t>
            </w:r>
          </w:p>
        </w:tc>
        <w:tc>
          <w:tcPr>
            <w:tcW w:w="0" w:type="auto"/>
          </w:tcPr>
          <w:p w14:paraId="1484C4C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USA</w:t>
            </w:r>
          </w:p>
        </w:tc>
        <w:tc>
          <w:tcPr>
            <w:tcW w:w="0" w:type="auto"/>
          </w:tcPr>
          <w:p w14:paraId="447EA7E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49FBB13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Iowa and Missouri</w:t>
            </w:r>
          </w:p>
        </w:tc>
        <w:tc>
          <w:tcPr>
            <w:tcW w:w="0" w:type="auto"/>
          </w:tcPr>
          <w:p w14:paraId="57CB621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200</w:t>
            </w:r>
          </w:p>
          <w:p w14:paraId="307E68D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(20-1540)</w:t>
            </w:r>
          </w:p>
        </w:tc>
        <w:tc>
          <w:tcPr>
            <w:tcW w:w="0" w:type="auto"/>
          </w:tcPr>
          <w:p w14:paraId="7C88D632" w14:textId="61FFC26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{"citationItems":[{"id":"ITEM-1","itemData":{"DOI":"10.1021/es991115+","ISSN":"0013936X","abstract":"The objective of this study was to conduct a multibasin reconnaissance survey to determine the relative importance of chemical properties, land-use, and hydrology to agricultural chemical contamination of streams in northern Missouri. In 1994 and 1995, samples were collected from 140 sites on 95 different streams and rivers throughout northern Missouri. Samples were collected under preplant and postplant conditions and analyzed for common herbicides and dissolved nutrients. Atrazine, the most frequently detected herbicide was detected in all postplant samples and 99% and 90% of the preplant samples in 1994 and 1995, respectively. The study area has significant variations in soils, hydrology, and land-use (row-cropping intensity). The hydrology is largely determined by the soils, as reflected by soil hydrologic groups. Nitrate and herbicide concentrations showed opposite trends across the study region. Streams draining watersheds with runoff-prone soils had the highest herbicide concentrations, while streams draining watersheds with more groundwater recharge had low herbicide concentrations but the highest NO3-N concentrations. Current data are sufficient to develop a conceptual framework for assessing watershed vulnerability based on three key factors. The primary factor is the chemistry of the compound, which determines the potential hydrologic transport pathways for that chemical to be lost from the soil. Nitrate can potentially be leached or lost in runoff. Moderately sorbed compounds, such as atrazine, are more likely to be lost in runoff or degraded within the soil than leached. The hydrology of a region is the secondary factor, as it determines the relative importance of the leaching and runoff transport pathways. The third factor then is the land-use, which includes the percentage of a watershed that is cropped, the locations within the watershed that are cropped, and the chemicals applied. Management practices to improve water quality must be designed in accordance with the dominant problems and transport pathways of a watershed.","author":[{"dropping-particle":"","family":"Blanchard","given":"P. E.","non-dropping-particle":"","parse-names":false,"suffix":""},{"dropping-particle":"","family":"Lerch","given":"R. N.","non-dropping-particle":"","parse-names":false,"suffix":""}],"container-title":"Environmental Science and Technology","id":"ITEM-1","issue":"16","issued":{"date-parts":[["2000"]]},"page":"3315-3322","title":"Watershed vulnerability to losses of agricultural chemicals: Interactions of chemistry, hydrology, and land-use","type":"article-journal","volume":"34"},"uris":["http://www.mendeley.com/documents/?uuid=42013b6d-03f6-484a-9f73-e92024c3926a"]}],"mendeley":{"formattedCitation":"&lt;sup&gt;5&lt;/sup&gt;","plainTextFormattedCitation":"5","previouslyFormattedCitation":"&lt;sup&gt;5&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5</w:t>
            </w:r>
            <w:r w:rsidRPr="00E547AD">
              <w:rPr>
                <w:color w:val="0070C0"/>
                <w:sz w:val="22"/>
              </w:rPr>
              <w:fldChar w:fldCharType="end"/>
            </w:r>
          </w:p>
        </w:tc>
      </w:tr>
      <w:tr w:rsidR="002D64E5" w:rsidRPr="00E547AD" w14:paraId="09BB660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FCA759" w14:textId="77777777" w:rsidR="005E13E8" w:rsidRPr="00E547AD" w:rsidRDefault="005E13E8" w:rsidP="002D64E5">
            <w:pPr>
              <w:rPr>
                <w:color w:val="000000"/>
                <w:sz w:val="22"/>
              </w:rPr>
            </w:pPr>
            <w:r w:rsidRPr="00E547AD">
              <w:rPr>
                <w:color w:val="000000"/>
                <w:sz w:val="22"/>
              </w:rPr>
              <w:t>North America</w:t>
            </w:r>
          </w:p>
        </w:tc>
        <w:tc>
          <w:tcPr>
            <w:tcW w:w="0" w:type="auto"/>
          </w:tcPr>
          <w:p w14:paraId="04ACE33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USA</w:t>
            </w:r>
          </w:p>
        </w:tc>
        <w:tc>
          <w:tcPr>
            <w:tcW w:w="0" w:type="auto"/>
          </w:tcPr>
          <w:p w14:paraId="77948AF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1999</w:t>
            </w:r>
          </w:p>
        </w:tc>
        <w:tc>
          <w:tcPr>
            <w:tcW w:w="0" w:type="auto"/>
          </w:tcPr>
          <w:p w14:paraId="18A4207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Virginia</w:t>
            </w:r>
          </w:p>
        </w:tc>
        <w:tc>
          <w:tcPr>
            <w:tcW w:w="0" w:type="auto"/>
          </w:tcPr>
          <w:p w14:paraId="6B7E3D1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1130</w:t>
            </w:r>
          </w:p>
          <w:p w14:paraId="64FA563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(na-2160)</w:t>
            </w:r>
          </w:p>
        </w:tc>
        <w:tc>
          <w:tcPr>
            <w:tcW w:w="0" w:type="auto"/>
          </w:tcPr>
          <w:p w14:paraId="72CBA665" w14:textId="02CFFB7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{"citationItems":[{"id":"ITEM-1","itemData":{"DOI":"10.13031/2013.7042","ISSN":"00012351","abstract":"Water quality effects of structural and managerial BMPs implemented at an agrichemical mixing and handling facility, located in an agricultural watershed in Virginia, were investigated in this study. The measured water quality parameters include two commonly used pesticides (atrazine and metolachlor), nitrogen (N), and phosphorus (P). BMPs implemented include: pesticide mixing and loading concrete pad with a sump and pump fitting; a variety of runoff diversion structures to divert the rooftop runoff away from the critical areas; structures to contain transport of chemicals to the drainage leaving the facility; and recycling of rinsate by applying it on the agricultural land. Concentration of pesticides and nutrients were measured at the facility outlet as well as the outlet of the main watershed in which the facility was located. Implementation of BMPs resulted in drastic reduction in mean concentrations of the two pesticides in the stream leaving the facility as well as in the main watershed stream. Maximum atrazine concentrations in the drainage leaving the facility reduced from 17,389 μg/l during the pre-BMp period (1986-1988) to 1,452 μg/l during the post-BMP period (1989-1996). The post-BMP mean concentrations of atrazine and metolachlor at the facility outlet were reduced by 94% (2690 μg/l to 166 μg/l) and 91% (4579 μg/l to 402 μg/l), respectively. The corresponding post-BMP reductions in concentration at the main watershed outlet were 52% and 78% for atrazine and metolachlor, respectively. Nonparametric trend tests results indicated statistically significant downward trend and reduced post-BMP concentrations of the two pesticides at the facility as well as the watershed outlets. Impact of BMPs on the nutrient concentrations were not clear due to large nutrient contributions from animal production activities in upland areas of the watershed. Results from this study will provide needed impetus for implementation of BMPs at other agrichemical mixing and handling facilities in Virginia as well as other states to drastically reduce the transport of pesticides and nutrients to surface water bodies.","author":[{"dropping-particle":"","family":"Shukla","given":"Sanjay","non-dropping-particle":"","parse-names":false,"suffix":""},{"dropping-particle":"","family":"Mostaghimi","given":"Saied","non-dropping-particle":"","parse-names":false,"suffix":""},{"dropping-particle":"","family":"Lovern","given":"Sharla B.","non-dropping-particle":"","parse-names":false,"suffix":""},{"dropping-particle":"","family":"McClellan","given":"Phillip W.","non-dropping-particle":"","parse-names":false,"suffix":""}],"container-title":"Transactions of the American Society of Agricultural Engineers","id":"ITEM-1","issue":"6","issued":{"date-parts":[["2001"]]},"page":"1661-1672","title":"Impact of agrichemical facility best management practices on runoff water quality","type":"article-journal","volume":"44"},"uris":["http://www.mendeley.com/documents/?uuid=db6e3efd-0cc4-493f-9f43-8e902aeeae85"]}],"mendeley":{"formattedCitation":"&lt;sup&gt;65&lt;/sup&gt;","plainTextFormattedCitation":"65","previouslyFormattedCitation":"&lt;sup&gt;65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65</w:t>
            </w:r>
            <w:r w:rsidRPr="00E547AD">
              <w:rPr>
                <w:color w:val="0070C0"/>
                <w:sz w:val="22"/>
              </w:rPr>
              <w:fldChar w:fldCharType="end"/>
            </w:r>
          </w:p>
        </w:tc>
      </w:tr>
      <w:tr w:rsidR="005E13E8" w:rsidRPr="00E547AD" w14:paraId="0918B37F"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54605C3" w14:textId="77777777" w:rsidR="005E13E8" w:rsidRPr="00E547AD" w:rsidRDefault="005E13E8" w:rsidP="002D64E5">
            <w:pPr>
              <w:rPr>
                <w:color w:val="000000"/>
                <w:sz w:val="22"/>
              </w:rPr>
            </w:pPr>
            <w:r w:rsidRPr="00E547AD">
              <w:rPr>
                <w:color w:val="000000"/>
                <w:sz w:val="22"/>
              </w:rPr>
              <w:t>North America</w:t>
            </w:r>
          </w:p>
        </w:tc>
        <w:tc>
          <w:tcPr>
            <w:tcW w:w="0" w:type="auto"/>
          </w:tcPr>
          <w:p w14:paraId="1A58074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3E1BBE9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2017</w:t>
            </w:r>
          </w:p>
        </w:tc>
        <w:tc>
          <w:tcPr>
            <w:tcW w:w="0" w:type="auto"/>
          </w:tcPr>
          <w:p w14:paraId="496C004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St. Lawrence River</w:t>
            </w:r>
          </w:p>
        </w:tc>
        <w:tc>
          <w:tcPr>
            <w:tcW w:w="0" w:type="auto"/>
          </w:tcPr>
          <w:p w14:paraId="4F54421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29</w:t>
            </w:r>
          </w:p>
          <w:p w14:paraId="6E786E6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(4-666)</w:t>
            </w:r>
          </w:p>
        </w:tc>
        <w:tc>
          <w:tcPr>
            <w:tcW w:w="0" w:type="auto"/>
          </w:tcPr>
          <w:p w14:paraId="1D315864" w14:textId="15C1011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{"citationItems":[{"id":"ITEM-1","itemData":{"DOI":"10.1016/j.envpol.2019.03.125","ISSN":"18736424","PMID":"30981933","abstract":"Glyphosate, atrazine, and neonicotinoid pesticides showed systematic spatial patterns along a 200 km reach of the St. Lawrence River and tributaries, in relation with their agricultural sources.","author":[{"dropping-particle":"","family":"Montiel-León","given":"Juan Manuel","non-dropping-particle":"","parse-names":false,"suffix":""},{"dropping-particle":"","family":"Munoz","given":"Gabriel","non-dropping-particle":"","parse-names":false,"suffix":""},{"dropping-particle":"","family":"Vo Duy","given":"Sung","non-dropping-particle":"","parse-names":false,"suffix":""},{"dropping-particle":"","family":"Do","given":"Dat Tien","non-dropping-particle":"","parse-names":false,"suffix":""},{"dropping-particle":"","family":"Vaudreuil","given":"Marc Antoine","non-dropping-particle":"","parse-names":false,"suffix":""},{"dropping-particle":"","family":"Goeury","given":"Ken","non-dropping-particle":"","parse-names":false,"suffix":""},{"dropping-particle":"","family":"Guillemette","given":"François","non-dropping-particle":"","parse-names":false,"suffix":""},{"dropping-particle":"","family":"Amyot","given":"Marc","non-dropping-particle":"","parse-names":false,"suffix":""},{"dropping-particle":"","family":"Sauvé","given":"Sébastien","non-dropping-particle":"","parse-names":false,"suffix":""}],"container-title":"Environmental Pollution","id":"ITEM-1","issued":{"date-parts":[["2019"]]},"page":"29-39","title":"Widespread occurrence and spatial distribution of glyphosate, atrazine, and neonicotinoids pesticides in the St. Lawrence and tributary rivers","type":"article-journal","volume":"250"},"uris":["http://www.mendeley.com/documents/?uuid=e5781c9c-1954-4559-ac2c-cba550d5422d"]}],"mendeley":{"formattedCitation":"&lt;sup&gt;66&lt;/sup&gt;","plainTextFormattedCitation":"66","previouslyFormattedCitation":"&lt;sup&gt;66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66</w:t>
            </w:r>
            <w:r w:rsidRPr="00E547AD">
              <w:rPr>
                <w:color w:val="0070C0"/>
                <w:sz w:val="22"/>
              </w:rPr>
              <w:fldChar w:fldCharType="end"/>
            </w:r>
          </w:p>
        </w:tc>
      </w:tr>
      <w:tr w:rsidR="002D64E5" w:rsidRPr="00E547AD" w14:paraId="155C2571"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AAC756" w14:textId="77777777" w:rsidR="005E13E8" w:rsidRPr="00E547AD" w:rsidRDefault="005E13E8" w:rsidP="002D64E5">
            <w:pPr>
              <w:rPr>
                <w:color w:val="000000"/>
                <w:sz w:val="22"/>
              </w:rPr>
            </w:pPr>
            <w:r w:rsidRPr="00E547AD">
              <w:rPr>
                <w:color w:val="000000"/>
                <w:sz w:val="22"/>
              </w:rPr>
              <w:t>North America</w:t>
            </w:r>
          </w:p>
        </w:tc>
        <w:tc>
          <w:tcPr>
            <w:tcW w:w="0" w:type="auto"/>
          </w:tcPr>
          <w:p w14:paraId="19ADEA9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400C524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2013</w:t>
            </w:r>
          </w:p>
        </w:tc>
        <w:tc>
          <w:tcPr>
            <w:tcW w:w="0" w:type="auto"/>
          </w:tcPr>
          <w:p w14:paraId="33BC6D7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Grand River</w:t>
            </w:r>
          </w:p>
        </w:tc>
        <w:tc>
          <w:tcPr>
            <w:tcW w:w="0" w:type="auto"/>
          </w:tcPr>
          <w:p w14:paraId="5EBF5C1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11</w:t>
            </w:r>
          </w:p>
          <w:p w14:paraId="6E3DE37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(na-29)</w:t>
            </w:r>
          </w:p>
        </w:tc>
        <w:tc>
          <w:tcPr>
            <w:tcW w:w="0" w:type="auto"/>
          </w:tcPr>
          <w:p w14:paraId="574BE34F" w14:textId="0339FC5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{"citationItems":[{"id":"ITEM-1","itemData":{"DOI":"10.1016/j.scitotenv.2015.09.086","ISSN":"18791026","PMID":"26512947","abstract":"The release into the environment of antimicrobial compounds from both human and agricultural sources is a growing global concern. The Grand River watershed, the largest mixed-use watershed in southern Ontario, receives runoff from intensive animal production as well as municipal wastewater effluents from a rapidly increasing human population. A survey of surface waters and wastewater effluents was conducted across the watershed to assess the occurrence and distribution of several antimicrobials (i.e., trimethoprim, sulfamethoxazole, sulfamethazine, lincomycin, and monensin) and chemical indicators (i.e., ammonia, nitrate, ibuprofen, venlafaxine, atrazine) and to characterize exposure levels. The human antimicrobials trimethoprim and sulfamethoxazole were detected in the urban areas of the main channel at mean concentrations of 8. ±. 7. ng/L and 31. ±. 24. ng/L, respectively, but at much lower concentrations in the agricultural tributaries. In contrast, the veterinary antimicrobial sulfamethazine was detected at a mean concentration of 11. ±. 9. ng/L in the main channel, and at a much higher concentration in the agricultural tributaries. Lincomycin was detected in only two river samples and not in the effluents while monensin was not detected in all samples. The herbicide atrazine was detected at very low concentrations in the surface waters of both the tributaries and the main channel. The concentrations of the antimicrobials and chemical indicators generally increased downstream of the confluences with agricultural tributaries and effluent outfalls. In the wastewater effluents, the concentrations of trimethoprim, sulfamethoxazole, ibuprofen, and venlafaxine decreased with increasing treatment levels (i.e., secondary to tertiary) as indicated by ammonia/nitrate concentrations. There was a strong correlation among trimethoprim, sulfamethoxazole, and venlafaxine in the main channel and in the wastewater effluents. While the environmental concentrations of antimicrobials in the watershed are low relative to toxicity thresholds, their persistence in the environment may be an important consideration in defining strategies for future water management.","author":[{"dropping-particle":"","family":"Couperus","given":"Nathanael P.","non-dropping-particle":"","parse-names":false,"suffix":""},{"dropping-particle":"","family":"Pagsuyoin","given":"Sheree A.","non-dropping-particle":"","parse-names":false,"suffix":""},{"dropping-particle":"","family":"Bragg","given":"Leslie M.","non-dropping-particle":"","parse-names":false,"suffix":""},{"dropping-particle":"","family":"Servos","given":"Mark R.","non-dropping-particle":"","parse-names":false,"suffix":""}],"container-title":"Science of the Total Environment","id":"ITEM-1","issued":{"date-parts":[["2016"]]},"page":"1581-1591","title":"Occurrence, distribution, and sources of antimicrobials in a mixed-use watershed","type":"article-journal","volume":"541"},"uris":["http://www.mendeley.com/documents/?uuid=9d1f83cb-314c-4aac-b093-2dee8e00409a"]}],"mendeley":{"formattedCitation":"&lt;sup&gt;67&lt;/sup&gt;","plainTextFormattedCitation":"67","previouslyFormattedCitation":"&lt;sup&gt;67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67</w:t>
            </w:r>
            <w:r w:rsidRPr="00E547AD">
              <w:rPr>
                <w:color w:val="0070C0"/>
                <w:sz w:val="22"/>
              </w:rPr>
              <w:fldChar w:fldCharType="end"/>
            </w:r>
          </w:p>
        </w:tc>
      </w:tr>
      <w:tr w:rsidR="005E13E8" w:rsidRPr="00E547AD" w14:paraId="6C79401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B152E6E" w14:textId="77777777" w:rsidR="005E13E8" w:rsidRPr="00E547AD" w:rsidRDefault="005E13E8" w:rsidP="002D64E5">
            <w:pPr>
              <w:rPr>
                <w:color w:val="000000"/>
                <w:sz w:val="22"/>
              </w:rPr>
            </w:pPr>
            <w:r w:rsidRPr="00E547AD">
              <w:rPr>
                <w:color w:val="000000"/>
                <w:sz w:val="22"/>
              </w:rPr>
              <w:t>North America</w:t>
            </w:r>
          </w:p>
        </w:tc>
        <w:tc>
          <w:tcPr>
            <w:tcW w:w="0" w:type="auto"/>
          </w:tcPr>
          <w:p w14:paraId="46A2E54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72430B9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11218E0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British Columbia</w:t>
            </w:r>
          </w:p>
        </w:tc>
        <w:tc>
          <w:tcPr>
            <w:tcW w:w="0" w:type="auto"/>
          </w:tcPr>
          <w:p w14:paraId="4F52967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300</w:t>
            </w:r>
          </w:p>
          <w:p w14:paraId="2E62E04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(100-600)</w:t>
            </w:r>
          </w:p>
        </w:tc>
        <w:tc>
          <w:tcPr>
            <w:tcW w:w="0" w:type="auto"/>
          </w:tcPr>
          <w:p w14:paraId="224281C6" w14:textId="07190C0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{"citationItems":[{"id":"ITEM-1","itemData":{"DOI":"10.1080/03601230600701817","ISSN":"03601234","PMID":"16785173","abstract":"Transient and permanent farm ditches flowing to the Lower Fraser River tributary fish streams of British Columbia, Canada, were sampled at several locations in 2003-2004 to determine the occurrence and concentration of residues of selected pesticides, their transformation products, and soluble/extractable Cu ++ ions. Of the 43 compounds analyzed, 28 and 22 pesticides were detected in transient farm ditch water and sediments, respectively. About 34% fewer pesticides, however, were found in both matrices of permanent farm ditches. Average concentrations (μ g L -1 ) of those most frequently detected in permanent farm ditch water were atrazine (0.20), α -chlordane (0.06), desethylatrazine (0.13), diazinon (0.55), dieldrin (0.28), endosulfan sulfate (0.16), glyphosate (6), metalaxyl (0.27); and soluble Cu ++ ions (25). Those most often found in ditch sediments (μ g kg -1 ) were aminomethylphosphonic acid (AMPA) (2,300), 1,1,1-trichloro-2,2-bis-(4-chlorophenyl)ethane (DDT) (250), endosulfan sulfate (500), glyphosate (1,225); and extractable Cu ++ ions (58,000). The risk potential of these pesticide residues to non-target aquatic organisms inhabiting Fraser River tributary fish streams contiguous to permanent farm ditches is evaluated and discussed. Copyright © Taylor &amp; Francis Group, LLC.","author":[{"dropping-particle":"","family":"Wan","given":"Michael","non-dropping-particle":"","parse-names":false,"suffix":""},{"dropping-particle":"","family":"Kuo","given":"Jen Ni","non-dropping-particle":"","parse-names":false,"suffix":""},{"dropping-particle":"","family":"McPherson","given":"Brad","non-dropping-particle":"","parse-names":false,"suffix":""},{"dropping-particle":"","family":"Pasternak","given":"John","non-dropping-particle":"","parse-names":false,"suffix":""}],"container-title":"Journal of Environmental Science and Health - Part B Pesticides, Food Contaminants, and Agricultural Wastes","id":"ITEM-1","issue":"5","issued":{"date-parts":[["2006"]]},"page":"647-669","title":"Agricultural pesticide residues in farm ditches of the lower fraser valley, British Columbia, Canada","type":"article-journal","volume":"41"},"uris":["http://www.mendeley.com/documents/?uuid=fb901b9f-2d09-4a71-9b3c-b20dc69c4884"]}],"mendeley":{"formattedCitation":"&lt;sup&gt;68&lt;/sup&gt;","plainTextFormattedCitation":"68","previouslyFormattedCitation":"&lt;sup&gt;68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68</w:t>
            </w:r>
            <w:r w:rsidRPr="00E547AD">
              <w:rPr>
                <w:color w:val="0070C0"/>
                <w:sz w:val="22"/>
              </w:rPr>
              <w:fldChar w:fldCharType="end"/>
            </w:r>
          </w:p>
        </w:tc>
      </w:tr>
      <w:tr w:rsidR="002D64E5" w:rsidRPr="00E547AD" w14:paraId="2128845D"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9C0D1F" w14:textId="77777777" w:rsidR="005E13E8" w:rsidRPr="00E547AD" w:rsidRDefault="005E13E8" w:rsidP="002D64E5">
            <w:pPr>
              <w:rPr>
                <w:color w:val="000000"/>
                <w:sz w:val="22"/>
              </w:rPr>
            </w:pPr>
            <w:r w:rsidRPr="00E547AD">
              <w:rPr>
                <w:color w:val="000000"/>
                <w:sz w:val="22"/>
              </w:rPr>
              <w:t>North America</w:t>
            </w:r>
          </w:p>
        </w:tc>
        <w:tc>
          <w:tcPr>
            <w:tcW w:w="0" w:type="auto"/>
          </w:tcPr>
          <w:p w14:paraId="37B0074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7712E37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2003</w:t>
            </w:r>
          </w:p>
        </w:tc>
        <w:tc>
          <w:tcPr>
            <w:tcW w:w="0" w:type="auto"/>
          </w:tcPr>
          <w:p w14:paraId="2AAC319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British Columbia</w:t>
            </w:r>
          </w:p>
        </w:tc>
        <w:tc>
          <w:tcPr>
            <w:tcW w:w="0" w:type="auto"/>
          </w:tcPr>
          <w:p w14:paraId="2AF6D83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80</w:t>
            </w:r>
          </w:p>
          <w:p w14:paraId="5AD109C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(10 - 510)</w:t>
            </w:r>
          </w:p>
        </w:tc>
        <w:tc>
          <w:tcPr>
            <w:tcW w:w="0" w:type="auto"/>
          </w:tcPr>
          <w:p w14:paraId="2070C454" w14:textId="7A1FCC7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{"citationItems":[{"id":"ITEM-1","itemData":{"DOI":"10.1080/03601230600701817","ISSN":"03601234","PMID":"16785173","abstract":"Transient and permanent farm ditches flowing to the Lower Fraser River tributary fish streams of British Columbia, Canada, were sampled at several locations in 2003-2004 to determine the occurrence and concentration of residues of selected pesticides, their transformation products, and soluble/extractable Cu ++ ions. Of the 43 compounds analyzed, 28 and 22 pesticides were detected in transient farm ditch water and sediments, respectively. About 34% fewer pesticides, however, were found in both matrices of permanent farm ditches. Average concentrations (μ g L -1 ) of those most frequently detected in permanent farm ditch water were atrazine (0.20), α -chlordane (0.06), desethylatrazine (0.13), diazinon (0.55), dieldrin (0.28), endosulfan sulfate (0.16), glyphosate (6), metalaxyl (0.27); and soluble Cu ++ ions (25). Those most often found in ditch sediments (μ g kg -1 ) were aminomethylphosphonic acid (AMPA) (2,300), 1,1,1-trichloro-2,2-bis-(4-chlorophenyl)ethane (DDT) (250), endosulfan sulfate (500), glyphosate (1,225); and extractable Cu ++ ions (58,000). The risk potential of these pesticide residues to non-target aquatic organisms inhabiting Fraser River tributary fish streams contiguous to permanent farm ditches is evaluated and discussed. Copyright © Taylor &amp; Francis Group, LLC.","author":[{"dropping-particle":"","family":"Wan","given":"Michael","non-dropping-particle":"","parse-names":false,"suffix":""},{"dropping-particle":"","family":"Kuo","given":"Jen Ni","non-dropping-particle":"","parse-names":false,"suffix":""},{"dropping-particle":"","family":"McPherson","given":"Brad","non-dropping-particle":"","parse-names":false,"suffix":""},{"dropping-particle":"","family":"Pasternak","given":"John","non-dropping-particle":"","parse-names":false,"suffix":""}],"container-title":"Journal of Environmental Science and Health - Part B Pesticides, Food Contaminants, and Agricultural Wastes","id":"ITEM-1","issue":"5","issued":{"date-parts":[["2006"]]},"page":"647-669","title":"Agricultural pesticide residues in farm ditches of the lower fraser valley, British Columbia, Canada","type":"article-journal","volume":"41"},"uris":["http://www.mendeley.com/documents/?uuid=fb901b9f-2d09-4a71-9b3c-b20dc69c4884"]}],"mendeley":{"formattedCitation":"&lt;sup&gt;68&lt;/sup&gt;","plainTextFormattedCitation":"68","previouslyFormattedCitation":"&lt;sup&gt;68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68</w:t>
            </w:r>
            <w:r w:rsidRPr="00E547AD">
              <w:rPr>
                <w:color w:val="0070C0"/>
                <w:sz w:val="22"/>
              </w:rPr>
              <w:fldChar w:fldCharType="end"/>
            </w:r>
          </w:p>
        </w:tc>
      </w:tr>
      <w:tr w:rsidR="005E13E8" w:rsidRPr="00E547AD" w14:paraId="18FC5DB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A6A9FF4" w14:textId="77777777" w:rsidR="005E13E8" w:rsidRPr="00E547AD" w:rsidRDefault="005E13E8" w:rsidP="002D64E5">
            <w:pPr>
              <w:rPr>
                <w:color w:val="000000"/>
                <w:sz w:val="22"/>
              </w:rPr>
            </w:pPr>
            <w:r w:rsidRPr="00E547AD">
              <w:rPr>
                <w:color w:val="000000"/>
                <w:sz w:val="22"/>
              </w:rPr>
              <w:t>North America</w:t>
            </w:r>
          </w:p>
        </w:tc>
        <w:tc>
          <w:tcPr>
            <w:tcW w:w="0" w:type="auto"/>
          </w:tcPr>
          <w:p w14:paraId="5787280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7716C2C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2004</w:t>
            </w:r>
          </w:p>
        </w:tc>
        <w:tc>
          <w:tcPr>
            <w:tcW w:w="0" w:type="auto"/>
          </w:tcPr>
          <w:p w14:paraId="3F3BDF6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British Columbia</w:t>
            </w:r>
          </w:p>
        </w:tc>
        <w:tc>
          <w:tcPr>
            <w:tcW w:w="0" w:type="auto"/>
          </w:tcPr>
          <w:p w14:paraId="76F7583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200</w:t>
            </w:r>
          </w:p>
          <w:p w14:paraId="09FF832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(100 - 300)</w:t>
            </w:r>
          </w:p>
        </w:tc>
        <w:tc>
          <w:tcPr>
            <w:tcW w:w="0" w:type="auto"/>
          </w:tcPr>
          <w:p w14:paraId="2A584FDB" w14:textId="7192B12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{"citationItems":[{"id":"ITEM-1","itemData":{"DOI":"10.1080/03601230600701817","ISSN":"03601234","PMID":"16785173","abstract":"Transient and permanent farm ditches flowing to the Lower Fraser River tributary fish streams of British Columbia, Canada, were sampled at several locations in 2003-2004 to determine the occurrence and concentration of residues of selected pesticides, their transformation products, and soluble/extractable Cu ++ ions. Of the 43 compounds analyzed, 28 and 22 pesticides were detected in transient farm ditch water and sediments, respectively. About 34% fewer pesticides, however, were found in both matrices of permanent farm ditches. Average concentrations (μ g L -1 ) of those most frequently detected in permanent farm ditch water were atrazine (0.20), α -chlordane (0.06), desethylatrazine (0.13), diazinon (0.55), dieldrin (0.28), endosulfan sulfate (0.16), glyphosate (6), metalaxyl (0.27); and soluble Cu ++ ions (25). Those most often found in ditch sediments (μ g kg -1 ) were aminomethylphosphonic acid (AMPA) (2,300), 1,1,1-trichloro-2,2-bis-(4-chlorophenyl)ethane (DDT) (250), endosulfan sulfate (500), glyphosate (1,225); and extractable Cu ++ ions (58,000). The risk potential of these pesticide residues to non-target aquatic organisms inhabiting Fraser River tributary fish streams contiguous to permanent farm ditches is evaluated and discussed. Copyright © Taylor &amp; Francis Group, LLC.","author":[{"dropping-particle":"","family":"Wan","given":"Michael","non-dropping-particle":"","parse-names":false,"suffix":""},{"dropping-particle":"","family":"Kuo","given":"Jen Ni","non-dropping-particle":"","parse-names":false,"suffix":""},{"dropping-particle":"","family":"McPherson","given":"Brad","non-dropping-particle":"","parse-names":false,"suffix":""},{"dropping-particle":"","family":"Pasternak","given":"John","non-dropping-particle":"","parse-names":false,"suffix":""}],"container-title":"Journal of Environmental Science and Health - Part B Pesticides, Food Contaminants, and Agricultural Wastes","id":"ITEM-1","issue":"5","issued":{"date-parts":[["2006"]]},"page":"647-669","title":"Agricultural pesticide residues in farm ditches of the lower fraser valley, British Columbia, Canada","type":"article-journal","volume":"41"},"uris":["http://www.mendeley.com/documents/?uuid=fb901b9f-2d09-4a71-9b3c-b20dc69c4884"]}],"mendeley":{"formattedCitation":"&lt;sup&gt;68&lt;/sup&gt;","plainTextFormattedCitation":"68","previouslyFormattedCitation":"&lt;sup&gt;68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68</w:t>
            </w:r>
            <w:r w:rsidRPr="00E547AD">
              <w:rPr>
                <w:color w:val="0070C0"/>
                <w:sz w:val="22"/>
              </w:rPr>
              <w:fldChar w:fldCharType="end"/>
            </w:r>
          </w:p>
        </w:tc>
      </w:tr>
      <w:tr w:rsidR="002D64E5" w:rsidRPr="00E547AD" w14:paraId="6B32BECC"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A461E4" w14:textId="77777777" w:rsidR="005E13E8" w:rsidRPr="00E547AD" w:rsidRDefault="005E13E8" w:rsidP="002D64E5">
            <w:pPr>
              <w:rPr>
                <w:color w:val="000000"/>
                <w:sz w:val="22"/>
              </w:rPr>
            </w:pPr>
            <w:r w:rsidRPr="00E547AD">
              <w:rPr>
                <w:color w:val="000000"/>
                <w:sz w:val="22"/>
              </w:rPr>
              <w:t>North America</w:t>
            </w:r>
          </w:p>
        </w:tc>
        <w:tc>
          <w:tcPr>
            <w:tcW w:w="0" w:type="auto"/>
          </w:tcPr>
          <w:p w14:paraId="514C3FF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753DF1C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6470D7A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Quebec</w:t>
            </w:r>
          </w:p>
        </w:tc>
        <w:tc>
          <w:tcPr>
            <w:tcW w:w="0" w:type="auto"/>
          </w:tcPr>
          <w:p w14:paraId="580DE76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80</w:t>
            </w:r>
          </w:p>
          <w:p w14:paraId="28741E8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(20-300)</w:t>
            </w:r>
          </w:p>
        </w:tc>
        <w:tc>
          <w:tcPr>
            <w:tcW w:w="0" w:type="auto"/>
          </w:tcPr>
          <w:p w14:paraId="09C52540" w14:textId="1423B2B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Laroche","given":"A.-M.","non-dropping-particle":"","parse-names":false,"suffix":""},{"dropping-particle":"","family":"Gallichand","given":"J","non-dropping-particle":"","parse-names":false,"suffix":""}],"id":"ITEM-1","issue":"1994","issued":{"date-parts":[["1995"]]},"page":"1731-1736","title":"Analysis of Pesticide Residues in Surface and Groundwater of a Small Watershed","type":"article-journal","volume":"38"},"uris":["http://www.mendeley.com/documents/?uuid=c5709e51-05a1-43c0-961b-f6d5d7723a16"]}],"mendeley":{"formattedCitation":"&lt;sup&gt;69&lt;/sup&gt;","plainTextFormattedCitation":"69","previouslyFormattedCitation":"&lt;sup&gt;69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69</w:t>
            </w:r>
            <w:r w:rsidRPr="00E547AD">
              <w:rPr>
                <w:color w:val="0070C0"/>
                <w:sz w:val="22"/>
              </w:rPr>
              <w:fldChar w:fldCharType="end"/>
            </w:r>
          </w:p>
        </w:tc>
      </w:tr>
      <w:tr w:rsidR="005E13E8" w:rsidRPr="00E547AD" w14:paraId="52F75244"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4CE7AF1" w14:textId="77777777" w:rsidR="005E13E8" w:rsidRPr="00E547AD" w:rsidRDefault="005E13E8" w:rsidP="002D64E5">
            <w:pPr>
              <w:rPr>
                <w:color w:val="000000"/>
                <w:sz w:val="22"/>
              </w:rPr>
            </w:pPr>
            <w:r w:rsidRPr="00E547AD">
              <w:rPr>
                <w:color w:val="000000"/>
                <w:sz w:val="22"/>
              </w:rPr>
              <w:t>North America</w:t>
            </w:r>
          </w:p>
        </w:tc>
        <w:tc>
          <w:tcPr>
            <w:tcW w:w="0" w:type="auto"/>
          </w:tcPr>
          <w:p w14:paraId="504F398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0A5DEE6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1991</w:t>
            </w:r>
          </w:p>
        </w:tc>
        <w:tc>
          <w:tcPr>
            <w:tcW w:w="0" w:type="auto"/>
          </w:tcPr>
          <w:p w14:paraId="50904F9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Ontario</w:t>
            </w:r>
          </w:p>
        </w:tc>
        <w:tc>
          <w:tcPr>
            <w:tcW w:w="0" w:type="auto"/>
          </w:tcPr>
          <w:p w14:paraId="4B495F9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355</w:t>
            </w:r>
          </w:p>
          <w:p w14:paraId="58E41B1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(320-390)</w:t>
            </w:r>
          </w:p>
        </w:tc>
        <w:tc>
          <w:tcPr>
            <w:tcW w:w="0" w:type="auto"/>
          </w:tcPr>
          <w:p w14:paraId="41F0EE6B" w14:textId="2A643D64"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{"citationItems":[{"id":"ITEM-1","itemData":{"DOI":"10.1016/S0048-9697(96)05342-9","ISSN":"00489697","abstract":"Losses of atrazine and metolachlor in runoff events were investigated at the outlet of an agricultural watershed. The stream flow hydrographs were decomposed into surface runoff, interflow, and baseflow. The majority of losses of the applied herbicides occurred in surface runoff and interflow. The combined losses in surface runoff and interflow accounted for up to 75% of atrazine and 65% of metolachlor, of the total loss. The vast majority of the losses occurred within 70 days of the application and during a large storm event, shortly after herbicide application. Herbicide concentrations showed a steady disappearance with pseudo first-order half-lives of 54 days for atrazine and 50 days for metolachlor. The depletion ratios determined from the runoff events, were 0.989, 0.943 and 0.939 for baseflow, interflow, and surface runoff, respectively. The high depletion ratios of the runoff components characterized slow withdrawal of water from the watershed storage. The slow withdrawal of water from the storage allowed time necessary for herbicide adsorption-desorption processes. The losses of atrazine in surface runoff, interflow and baseflow of that applied, per hectare, were 0.073, 0.038 and 0.035%, respectively and the losses of metolachlor in surface runoff, interflow and baseflow, per hectare, were 0.038, 0.029 and 0.037%, respectively.","author":[{"dropping-particle":"","family":"Ng","given":"H. Y.F.","non-dropping-particle":"","parse-names":false,"suffix":""},{"dropping-particle":"","family":"Clegg","given":"S. B.","non-dropping-particle":"","parse-names":false,"suffix":""}],"container-title":"Science of the Total Environment","id":"ITEM-1","issue":"3","issued":{"date-parts":[["1997"]]},"page":"215-228","title":"Atrazine and metolachlor losses in runoff events from an agricultural watershed: The importance of runoff components","type":"article-journal","volume":"193"},"uris":["http://www.mendeley.com/documents/?uuid=aaa824e8-80bb-4973-b2c1-7570fc1dc8dd"]}],"mendeley":{"formattedCitation":"&lt;sup&gt;70&lt;/sup&gt;","plainTextFormattedCitation":"70","previouslyFormattedCitation":"&lt;sup&gt;70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70</w:t>
            </w:r>
            <w:r w:rsidRPr="00E547AD">
              <w:rPr>
                <w:color w:val="0070C0"/>
                <w:sz w:val="22"/>
              </w:rPr>
              <w:fldChar w:fldCharType="end"/>
            </w:r>
          </w:p>
        </w:tc>
      </w:tr>
      <w:tr w:rsidR="002D64E5" w:rsidRPr="00E547AD" w14:paraId="48EA2F2E"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1BDAE8" w14:textId="77777777" w:rsidR="005E13E8" w:rsidRPr="00E547AD" w:rsidRDefault="005E13E8" w:rsidP="002D64E5">
            <w:pPr>
              <w:rPr>
                <w:color w:val="000000"/>
                <w:sz w:val="22"/>
              </w:rPr>
            </w:pPr>
            <w:r w:rsidRPr="00E547AD">
              <w:rPr>
                <w:color w:val="000000"/>
                <w:sz w:val="22"/>
              </w:rPr>
              <w:t>North America</w:t>
            </w:r>
          </w:p>
        </w:tc>
        <w:tc>
          <w:tcPr>
            <w:tcW w:w="0" w:type="auto"/>
          </w:tcPr>
          <w:p w14:paraId="48A9FF2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3CAF35C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2010</w:t>
            </w:r>
          </w:p>
        </w:tc>
        <w:tc>
          <w:tcPr>
            <w:tcW w:w="0" w:type="auto"/>
          </w:tcPr>
          <w:p w14:paraId="28AF7B6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Ontario</w:t>
            </w:r>
          </w:p>
        </w:tc>
        <w:tc>
          <w:tcPr>
            <w:tcW w:w="0" w:type="auto"/>
          </w:tcPr>
          <w:p w14:paraId="6F1EAD6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580</w:t>
            </w:r>
          </w:p>
          <w:p w14:paraId="06F054F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(480-750)</w:t>
            </w:r>
          </w:p>
        </w:tc>
        <w:tc>
          <w:tcPr>
            <w:tcW w:w="0" w:type="auto"/>
          </w:tcPr>
          <w:p w14:paraId="4CF75E51" w14:textId="67B5C8E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{"citationItems":[{"id":"ITEM-1","itemData":{"DOI":"10.1016/j.jglr.2016.08.004","ISSN":"03801330","abstract":"Surface water contamination with current-use pesticides (CUPs) is usually associated with inputs from agriculture. However, there are several urban sources of these compounds, including pesticides used in public spaces, golf courses, and lawns and gardens; discharges of municipal wastewater containing fungicides from pharmaceuticals and personal care products (PPCPs); and runoff of biocides that are used in construction materials. Polar organic chemical integrative samplers (POCIS) were used to monitor the occurrence of fungicides and selected herbicides in surface waters in the densely populated urban area near Toronto, Canada. Samplers were deployed in five urban streams, one agriculturally dominated stream, and at five locations in the nearshore zone of western Lake Ontario adjacent to urban areas. Sampling rates for target compounds in POCIS determined in laboratory calibration experiments ranged between 0.03 and 0.65 L/day. For herbicides, atrazine was detected at all sites, and diuron, 2,4-D, and mecoprop were frequently detected. The fungicides carbendazim and thiophanate-methyl were detected at all sites, and a hydroxy-metabolite of the fungicide chlorothalonil was also widely detected. Fungicides used in PPCPs (e.g. fluconazole, climbazole) were primarily detected in POCIS deployed in locations impacted by municipal wastewater. Estimated time-weighted average (TWA) concentrations of iprodione and carbendazim in urban streams were consistent with the number of golf courses in the watershed. However, runoff of biocides from building materials may also be a source of these fungicides. Overall, these data indicate that urban environments, as indicated by the Toronto area, have several point and non-point sources of fungicides and other CUPs.","author":[{"dropping-particle":"","family":"Metcalfe","given":"Chris D.","non-dropping-particle":"","parse-names":false,"suffix":""},{"dropping-particle":"","family":"Sultana","given":"Tamanna","non-dropping-particle":"","parse-names":false,"suffix":""},{"dropping-particle":"","family":"Li","given":"Hongxia","non-dropping-particle":"","parse-names":false,"suffix":""},{"dropping-particle":"","family":"Helm","given":"Paul A.","non-dropping-particle":"","parse-names":false,"suffix":""}],"container-title":"Journal of Great Lakes Research","id":"ITEM-1","issue":"6","issued":{"date-parts":[["2016"]]},"page":"1432-1442","title":"Current-use pesticides in urban watersheds and receiving waters of western Lake Ontario measured using polar organic chemical integrative samplers (POCIS)","type":"article-journal","volume":"42"},"uris":["http://www.mendeley.com/documents/?uuid=e5bd215f-50e9-42b6-957d-3623a49dc1de"]}],"mendeley":{"formattedCitation":"&lt;sup&gt;71&lt;/sup&gt;","plainTextFormattedCitation":"71","previouslyFormattedCitation":"&lt;sup&gt;71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71</w:t>
            </w:r>
            <w:r w:rsidRPr="00E547AD">
              <w:rPr>
                <w:color w:val="0070C0"/>
                <w:sz w:val="22"/>
              </w:rPr>
              <w:fldChar w:fldCharType="end"/>
            </w:r>
          </w:p>
        </w:tc>
      </w:tr>
      <w:tr w:rsidR="005E13E8" w:rsidRPr="00E547AD" w14:paraId="7DFBAC8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B20C4D0" w14:textId="77777777" w:rsidR="005E13E8" w:rsidRPr="00E547AD" w:rsidRDefault="005E13E8" w:rsidP="002D64E5">
            <w:pPr>
              <w:rPr>
                <w:color w:val="000000"/>
                <w:sz w:val="22"/>
              </w:rPr>
            </w:pPr>
            <w:r w:rsidRPr="00E547AD">
              <w:rPr>
                <w:color w:val="000000"/>
                <w:sz w:val="22"/>
              </w:rPr>
              <w:t>North America</w:t>
            </w:r>
          </w:p>
        </w:tc>
        <w:tc>
          <w:tcPr>
            <w:tcW w:w="0" w:type="auto"/>
          </w:tcPr>
          <w:p w14:paraId="132B35E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7BBEDC2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1995</w:t>
            </w:r>
          </w:p>
        </w:tc>
        <w:tc>
          <w:tcPr>
            <w:tcW w:w="0" w:type="auto"/>
          </w:tcPr>
          <w:p w14:paraId="641138E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Humber river</w:t>
            </w:r>
          </w:p>
        </w:tc>
        <w:tc>
          <w:tcPr>
            <w:tcW w:w="0" w:type="auto"/>
          </w:tcPr>
          <w:p w14:paraId="03C0193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174</w:t>
            </w:r>
          </w:p>
          <w:p w14:paraId="7B94D22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(40-540)</w:t>
            </w:r>
          </w:p>
        </w:tc>
        <w:tc>
          <w:tcPr>
            <w:tcW w:w="0" w:type="auto"/>
          </w:tcPr>
          <w:p w14:paraId="1750488B" w14:textId="1F45BBA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{"citationItems":[{"id":"ITEM-1","itemData":{"DOI":"10.1016/S0048-9697(96)05375-2","ISSN":"00489697","abstract":"The concentrations of a range of micro-organic compounds in the Humber rivers have been measured at weekly intervals over a period of 1 year. The compounds include the triazine herbicides (simazine, atrazine, propazine, desmetryn and prometryn), selected organophosphorus insecticides (fenitrothion, malathion and parathion), phenylurea (chlorotoluron, diuron, isoproturon and linuron) and phenoxyacid herbicides (2,4-D, MCPA, MCPB and mecoprop), phenol derivatives (phenol, 2-ethylphenol, 2-chlorophenol, 4-nitrophenol, 2-methylphenol, 4-ethylphenol and 2,4-dichlorophenol), organochlorine insecticides (HEOD, DDT, TDE, DDE, HCB, α-BHC and lindane), PCB's and some synthetic pyrethroid insecticides (cis/trans-permethrin, fenvalerate and cypermethrin). The results indicate the high frequency of occurrence of many compounds in the southern Humber rivers Aire, Calder, Trent and Don compared with the more occasional concentrations found in the upland rivers with catchments dominated by low intensity agriculture. The more water soluble herbicides, atrazine, simazine, isoproturon and diuron are detected frequently in the southern rivers with the highest concentrations and abundance in the rivers Aire, Calder and Trent. The most abundant phenolic compound is 2,4-dichlorophenol usually occurring at concentrations &lt; 1 μg/l. The organochlorine insecticides and PCB's are generally at concentrations &lt; 0.01 μg/l. cis/trans-permethrin are the only synthetic pyrethroids detected and these are found in the rivers Aire and Calder at about equal concentrations of between 0.01 and 0.11 μg/l. The results of the occurrence of simazine and atrazine in the rivers Trent, Don and Aire illustrate peaks in concentration in the spring and then later in the year during the early autumn coinciding with the first major storm after the summer. In the rivers Trent and Don, the annual exports (March 1994-95) of atrazine are lower than for simazine whereas in the R. Calder the yield of atrazine is higher than for simazine suggesting differences in use in these catchments. The maximum triazine concentration observed, i.e. 8 μg/l of atrazine in the R. Calder, could have inhibiting effects on the phytoplankton and algal growth, although because of the transient nature of the peaks, recovery is expected to be rapid. The only other compounds measured at concentrations likely to produce detrimental ecotoxicological effects are cis/trans permethrin in the rivers Aire and Calder.","author":[{"dropping-particle":"","family":"House","given":"W. A.","non-dropping-particle":"","parse-names":false,"suffix":""},{"dropping-particle":"","family":"Leach","given":"D.","non-dropping-particle":"","parse-names":false,"suffix":""},{"dropping-particle":"","family":"Long","given":"J. L.A.","non-dropping-particle":"","parse-names":false,"suffix":""},{"dropping-particle":"","family":"Cranwell","given":"P.","non-dropping-particle":"","parse-names":false,"suffix":""},{"dropping-particle":"","family":"Smith","given":"C.","non-dropping-particle":"","parse-names":false,"suffix":""},{"dropping-particle":"","family":"Bharwaj","given":"L.","non-dropping-particle":"","parse-names":false,"suffix":""},{"dropping-particle":"","family":"Meharg","given":"A.","non-dropping-particle":"","parse-names":false,"suffix":""},{"dropping-particle":"","family":"Ryland","given":"G.","non-dropping-particle":"","parse-names":false,"suffix":""},{"dropping-particle":"","family":"Orr","given":"D. O.","non-dropping-particle":"","parse-names":false,"suffix":""},{"dropping-particle":"","family":"Wright","given":"J.","non-dropping-particle":"","parse-names":false,"suffix":""}],"container-title":"Science of the Total Environment","id":"ITEM-1","issue":"96","issued":{"date-parts":[["1997"]]},"page":"357-371","title":"Micro-organic compounds in the Humber rivers","type":"article-journal","volume":"194-195"},"uris":["http://www.mendeley.com/documents/?uuid=12872cb9-4e74-480b-9bd1-d17c2dc8d12d"]}],"mendeley":{"formattedCitation":"&lt;sup&gt;72&lt;/sup&gt;","plainTextFormattedCitation":"72","previouslyFormattedCitation":"&lt;sup&gt;72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72</w:t>
            </w:r>
            <w:r w:rsidRPr="00E547AD">
              <w:rPr>
                <w:color w:val="0070C0"/>
                <w:sz w:val="22"/>
              </w:rPr>
              <w:fldChar w:fldCharType="end"/>
            </w:r>
          </w:p>
        </w:tc>
      </w:tr>
      <w:tr w:rsidR="002D64E5" w:rsidRPr="00E547AD" w14:paraId="79AE3D52"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B167B14" w14:textId="77777777" w:rsidR="005E13E8" w:rsidRPr="00E547AD" w:rsidRDefault="005E13E8" w:rsidP="002D64E5">
            <w:pPr>
              <w:rPr>
                <w:color w:val="000000"/>
                <w:sz w:val="22"/>
              </w:rPr>
            </w:pPr>
            <w:r w:rsidRPr="00E547AD">
              <w:rPr>
                <w:color w:val="000000"/>
                <w:sz w:val="22"/>
              </w:rPr>
              <w:t>North America</w:t>
            </w:r>
          </w:p>
        </w:tc>
        <w:tc>
          <w:tcPr>
            <w:tcW w:w="0" w:type="auto"/>
          </w:tcPr>
          <w:p w14:paraId="687C856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0C16CA2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2002</w:t>
            </w:r>
          </w:p>
        </w:tc>
        <w:tc>
          <w:tcPr>
            <w:tcW w:w="0" w:type="auto"/>
          </w:tcPr>
          <w:p w14:paraId="6155750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Humber river</w:t>
            </w:r>
          </w:p>
        </w:tc>
        <w:tc>
          <w:tcPr>
            <w:tcW w:w="0" w:type="auto"/>
          </w:tcPr>
          <w:p w14:paraId="2676B4D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sz w:val="22"/>
              </w:rPr>
            </w:pPr>
            <w:r w:rsidRPr="00E547AD">
              <w:rPr>
                <w:sz w:val="22"/>
              </w:rPr>
              <w:t>50</w:t>
            </w:r>
          </w:p>
          <w:p w14:paraId="3304007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(na-3600)</w:t>
            </w:r>
          </w:p>
        </w:tc>
        <w:tc>
          <w:tcPr>
            <w:tcW w:w="0" w:type="auto"/>
          </w:tcPr>
          <w:p w14:paraId="3B92615F" w14:textId="3E01BBC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{"citationItems":[{"id":"ITEM-1","itemData":{"DOI":"10.3394/0380-1330(2007)33[887:OOLCAA]2.0.CO;2","ISSN":"03801330","abstract":"Between 1998 and 2002, surface water samples were collected from several sites in the Don River and Humber River watersheds, both tributaries to Lake Ontario, and analyzed for a variety of pesticides, including those used for urban lawn care. Analyses included 152 pesticide active ingredients and eight metabolites. Samples were collected during base flow periods (i.e., dry events) and rainfall events (i.e., wet events). The objectives of the study were to determine which pesticides were detectable, whether there was a difference in the detection frequency between the two watersheds and between upstream and downstream in each river, and whether precipitation influenced the frequency of detection. Eleven pesticides and one metabolite were detected in surface waters of the Don and Humber rivers or their tributaries, with approximately 72% of samples containing at least one pesticide attributable to lawn care use. The pesticides and pesticide metabolite detected in this study included 2,4-D, atrazine, bromacil, carbofuran, chlorpyrifos, cypermethrin, diazinon, dicamba, MECOPROP, metolachlor, metribuzin, and an atrazine metabolite (des-ethyl atrazine). Four pesticides exceeded federal or provincial water quality guidelines/objectives. Diazinon exceeded the provincial water quality objective in 28% of the samples taken. For the three other pesticides (atrazine, carbofuran and chlorpyrifos) exceedance of a water quality criteria occurred in less than 1% of the samples.","author":[{"dropping-particle":"","family":"Struger","given":"John","non-dropping-particle":"","parse-names":false,"suffix":""},{"dropping-particle":"","family":"Fletcher","given":"Tim","non-dropping-particle":"","parse-names":false,"suffix":""}],"container-title":"Journal of Great Lakes Research","id":"ITEM-1","issue":"4","issued":{"date-parts":[["2007"]]},"page":"887-905","publisher":"Elsevier","title":"Occurrence of lawn care and agricultural pesticides in the Don River and Humber River watersheds (1998-2002)","type":"article-journal","volume":"33"},"uris":["http://www.mendeley.com/documents/?uuid=b63135ee-050a-4b12-b277-d93565615872"]}],"mendeley":{"formattedCitation":"&lt;sup&gt;73&lt;/sup&gt;","plainTextFormattedCitation":"73","previouslyFormattedCitation":"&lt;sup&gt;73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73</w:t>
            </w:r>
            <w:r w:rsidRPr="00E547AD">
              <w:rPr>
                <w:color w:val="0070C0"/>
                <w:sz w:val="22"/>
              </w:rPr>
              <w:fldChar w:fldCharType="end"/>
            </w:r>
          </w:p>
        </w:tc>
      </w:tr>
      <w:tr w:rsidR="005E13E8" w:rsidRPr="00E547AD" w14:paraId="709B377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C735B64" w14:textId="77777777" w:rsidR="005E13E8" w:rsidRPr="00E547AD" w:rsidRDefault="005E13E8" w:rsidP="002D64E5">
            <w:pPr>
              <w:rPr>
                <w:color w:val="000000"/>
                <w:sz w:val="22"/>
              </w:rPr>
            </w:pPr>
            <w:r w:rsidRPr="00E547AD">
              <w:rPr>
                <w:color w:val="000000"/>
                <w:sz w:val="22"/>
              </w:rPr>
              <w:t>North America</w:t>
            </w:r>
          </w:p>
        </w:tc>
        <w:tc>
          <w:tcPr>
            <w:tcW w:w="0" w:type="auto"/>
          </w:tcPr>
          <w:p w14:paraId="6085D4A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093D10C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2002</w:t>
            </w:r>
          </w:p>
        </w:tc>
        <w:tc>
          <w:tcPr>
            <w:tcW w:w="0" w:type="auto"/>
          </w:tcPr>
          <w:p w14:paraId="06B83AB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Humber river mouth</w:t>
            </w:r>
          </w:p>
        </w:tc>
        <w:tc>
          <w:tcPr>
            <w:tcW w:w="0" w:type="auto"/>
          </w:tcPr>
          <w:p w14:paraId="64B060D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50</w:t>
            </w:r>
          </w:p>
          <w:p w14:paraId="5D7F9E9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(na-1100)</w:t>
            </w:r>
          </w:p>
        </w:tc>
        <w:tc>
          <w:tcPr>
            <w:tcW w:w="0" w:type="auto"/>
          </w:tcPr>
          <w:p w14:paraId="03F53266" w14:textId="66698CF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{"citationItems":[{"id":"ITEM-1","itemData":{"DOI":"10.3394/0380-1330(2007)33[887:OOLCAA]2.0.CO;2","ISSN":"03801330","abstract":"Between 1998 and 2002, surface water samples were collected from several sites in the Don River and Humber River watersheds, both tributaries to Lake Ontario, and analyzed for a variety of pesticides, including those used for urban lawn care. Analyses included 152 pesticide active ingredients and eight metabolites. Samples were collected during base flow periods (i.e., dry events) and rainfall events (i.e., wet events). The objectives of the study were to determine which pesticides were detectable, whether there was a difference in the detection frequency between the two watersheds and between upstream and downstream in each river, and whether precipitation influenced the frequency of detection. Eleven pesticides and one metabolite were detected in surface waters of the Don and Humber rivers or their tributaries, with approximately 72% of samples containing at least one pesticide attributable to lawn care use. The pesticides and pesticide metabolite detected in this study included 2,4-D, atrazine, bromacil, carbofuran, chlorpyrifos, cypermethrin, diazinon, dicamba, MECOPROP, metolachlor, metribuzin, and an atrazine metabolite (des-ethyl atrazine). Four pesticides exceeded federal or provincial water quality guidelines/objectives. Diazinon exceeded the provincial water quality objective in 28% of the samples taken. For the three other pesticides (atrazine, carbofuran and chlorpyrifos) exceedance of a water quality criteria occurred in less than 1% of the samples.","author":[{"dropping-particle":"","family":"Struger","given":"John","non-dropping-particle":"","parse-names":false,"suffix":""},{"dropping-particle":"","family":"Fletcher","given":"Tim","non-dropping-particle":"","parse-names":false,"suffix":""}],"container-title":"Journal of Great Lakes Research","id":"ITEM-1","issue":"4","issued":{"date-parts":[["2007"]]},"page":"887-905","publisher":"Elsevier","title":"Occurrence of lawn care and agricultural pesticides in the Don River and Humber River watersheds (1998-2002)","type":"article-journal","volume":"33"},"uris":["http://www.mendeley.com/documents/?uuid=b63135ee-050a-4b12-b277-d93565615872"]}],"mendeley":{"formattedCitation":"&lt;sup&gt;73&lt;/sup&gt;","plainTextFormattedCitation":"73","previouslyFormattedCitation":"&lt;sup&gt;73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73</w:t>
            </w:r>
            <w:r w:rsidRPr="00E547AD">
              <w:rPr>
                <w:color w:val="0070C0"/>
                <w:sz w:val="22"/>
              </w:rPr>
              <w:fldChar w:fldCharType="end"/>
            </w:r>
          </w:p>
        </w:tc>
      </w:tr>
      <w:tr w:rsidR="002D64E5" w:rsidRPr="00E547AD" w14:paraId="4764F72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DABA3DB" w14:textId="77777777" w:rsidR="005E13E8" w:rsidRPr="00E547AD" w:rsidRDefault="005E13E8" w:rsidP="002D64E5">
            <w:pPr>
              <w:rPr>
                <w:color w:val="000000"/>
                <w:sz w:val="22"/>
              </w:rPr>
            </w:pPr>
            <w:r w:rsidRPr="00E547AD">
              <w:rPr>
                <w:color w:val="000000"/>
                <w:sz w:val="22"/>
              </w:rPr>
              <w:t>North America</w:t>
            </w:r>
          </w:p>
        </w:tc>
        <w:tc>
          <w:tcPr>
            <w:tcW w:w="0" w:type="auto"/>
          </w:tcPr>
          <w:p w14:paraId="0CB9B0F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sz w:val="22"/>
              </w:rPr>
              <w:t>Canada</w:t>
            </w:r>
          </w:p>
        </w:tc>
        <w:tc>
          <w:tcPr>
            <w:tcW w:w="0" w:type="auto"/>
          </w:tcPr>
          <w:p w14:paraId="4AC60A1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2002</w:t>
            </w:r>
          </w:p>
        </w:tc>
        <w:tc>
          <w:tcPr>
            <w:tcW w:w="0" w:type="auto"/>
          </w:tcPr>
          <w:p w14:paraId="2A7D9D2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West Don river</w:t>
            </w:r>
          </w:p>
        </w:tc>
        <w:tc>
          <w:tcPr>
            <w:tcW w:w="0" w:type="auto"/>
          </w:tcPr>
          <w:p w14:paraId="300191C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(na-140)</w:t>
            </w:r>
          </w:p>
        </w:tc>
        <w:tc>
          <w:tcPr>
            <w:tcW w:w="0" w:type="auto"/>
          </w:tcPr>
          <w:p w14:paraId="4741EE6F" w14:textId="6E32B49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{"citationItems":[{"id":"ITEM-1","itemData":{"DOI":"10.3394/0380-1330(2007)33[887:OOLCAA]2.0.CO;2","ISSN":"03801330","abstract":"Between 1998 and 2002, surface water samples were collected from several sites in the Don River and Humber River watersheds, both tributaries to Lake Ontario, and analyzed for a variety of pesticides, including those used for urban lawn care. Analyses included 152 pesticide active ingredients and eight metabolites. Samples were collected during base flow periods (i.e., dry events) and rainfall events (i.e., wet events). The objectives of the study were to determine which pesticides were detectable, whether there was a difference in the detection frequency between the two watersheds and between upstream and downstream in each river, and whether precipitation influenced the frequency of detection. Eleven pesticides and one metabolite were detected in surface waters of the Don and Humber rivers or their tributaries, with approximately 72% of samples containing at least one pesticide attributable to lawn care use. The pesticides and pesticide metabolite detected in this study included 2,4-D, atrazine, bromacil, carbofuran, chlorpyrifos, cypermethrin, diazinon, dicamba, MECOPROP, metolachlor, metribuzin, and an atrazine metabolite (des-ethyl atrazine). Four pesticides exceeded federal or provincial water quality guidelines/objectives. Diazinon exceeded the provincial water quality objective in 28% of the samples taken. For the three other pesticides (atrazine, carbofuran and chlorpyrifos) exceedance of a water quality criteria occurred in less than 1% of the samples.","author":[{"dropping-particle":"","family":"Struger","given":"John","non-dropping-particle":"","parse-names":false,"suffix":""},{"dropping-particle":"","family":"Fletcher","given":"Tim","non-dropping-particle":"","parse-names":false,"suffix":""}],"container-title":"Journal of Great Lakes Research","id":"ITEM-1","issue":"4","issued":{"date-parts":[["2007"]]},"page":"887-905","publisher":"Elsevier","title":"Occurrence of lawn care and agricultural pesticides in the Don River and Humber River watersheds (1998-2002)","type":"article-journal","volume":"33"},"uris":["http://www.mendeley.com/documents/?uuid=b63135ee-050a-4b12-b277-d93565615872"]}],"mendeley":{"formattedCitation":"&lt;sup&gt;73&lt;/sup&gt;","plainTextFormattedCitation":"73","previouslyFormattedCitation":"&lt;sup&gt;73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73</w:t>
            </w:r>
            <w:r w:rsidRPr="00E547AD">
              <w:rPr>
                <w:color w:val="0070C0"/>
                <w:sz w:val="22"/>
              </w:rPr>
              <w:fldChar w:fldCharType="end"/>
            </w:r>
          </w:p>
        </w:tc>
      </w:tr>
      <w:tr w:rsidR="005E13E8" w:rsidRPr="00E547AD" w14:paraId="27C4A54B"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76B9E45" w14:textId="77777777" w:rsidR="005E13E8" w:rsidRPr="00E547AD" w:rsidRDefault="005E13E8" w:rsidP="002D64E5">
            <w:pPr>
              <w:rPr>
                <w:color w:val="000000"/>
                <w:sz w:val="22"/>
              </w:rPr>
            </w:pPr>
            <w:r w:rsidRPr="00E547AD">
              <w:rPr>
                <w:color w:val="000000"/>
                <w:sz w:val="22"/>
              </w:rPr>
              <w:t>North America</w:t>
            </w:r>
          </w:p>
        </w:tc>
        <w:tc>
          <w:tcPr>
            <w:tcW w:w="0" w:type="auto"/>
          </w:tcPr>
          <w:p w14:paraId="46A3688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sz w:val="22"/>
              </w:rPr>
              <w:t>Canada</w:t>
            </w:r>
          </w:p>
        </w:tc>
        <w:tc>
          <w:tcPr>
            <w:tcW w:w="0" w:type="auto"/>
          </w:tcPr>
          <w:p w14:paraId="05EDC40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1994</w:t>
            </w:r>
          </w:p>
        </w:tc>
        <w:tc>
          <w:tcPr>
            <w:tcW w:w="0" w:type="auto"/>
          </w:tcPr>
          <w:p w14:paraId="0D8546B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Quebec</w:t>
            </w:r>
          </w:p>
        </w:tc>
        <w:tc>
          <w:tcPr>
            <w:tcW w:w="0" w:type="auto"/>
          </w:tcPr>
          <w:p w14:paraId="4CF6809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sz w:val="22"/>
              </w:rPr>
            </w:pPr>
            <w:r w:rsidRPr="00E547AD">
              <w:rPr>
                <w:sz w:val="22"/>
              </w:rPr>
              <w:t>881</w:t>
            </w:r>
          </w:p>
          <w:p w14:paraId="27B118B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(150-2280)</w:t>
            </w:r>
          </w:p>
        </w:tc>
        <w:tc>
          <w:tcPr>
            <w:tcW w:w="0" w:type="auto"/>
          </w:tcPr>
          <w:p w14:paraId="500D42B3" w14:textId="28A0B50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{"citationItems":[{"id":"ITEM-1","itemData":{"DOI":"10.1111/j.1752-1688.1998.tb04146.x","ISSN":"1093474X","abstract":"Under a watershed based approach being examined by the Quebec Ministry of Agriculture to accelerate the adoption of conservation practices, a study on the impacts of agricultural practices on the St. Esprit watershed was initiated in the fall of 1993. The water quality of this 26 km2 intensive agricultural watershed was studied over an 18 month period. Water samples taken at the outlet of the watershed were analyzed for nitrate, phosphate, suspended sediment, and atrazine. Water quality data were analyzed to establish seasonal trends in pollutant concentration and load in the watercourse. Spring snowmelt was identified as a significant period of pollutant material export. All pollutant materials displayed seasonal variability in the expert process. Peak pollutant concentrations were associated with high flow events. Mean observed pollutant concentrations did not exceed drinking water quality standards.","author":[{"dropping-particle":"","family":"Lapp","given":"Paul","non-dropping-particle":"","parse-names":false,"suffix":""},{"dropping-particle":"","family":"Madramootoo","given":"C. A.","non-dropping-particle":"","parse-names":false,"suffix":""},{"dropping-particle":"","family":"Enright","given":"P.","non-dropping-particle":"","parse-names":false,"suffix":""},{"dropping-particle":"","family":"Papineau","given":"F.","non-dropping-particle":"","parse-names":false,"suffix":""},{"dropping-particle":"","family":"Perrone","given":"J.","non-dropping-particle":"","parse-names":false,"suffix":""}],"container-title":"Journal of the American Water Resources Association","id":"ITEM-1","issue":"2","issued":{"date-parts":[["1998"]]},"page":"427-437","title":"Water quality of an intensive agricultural watershed in Quebec","type":"article-journal","volume":"34"},"uris":["http://www.mendeley.com/documents/?uuid=acf95abe-2644-4204-ba83-70d3eae76c3a"]}],"mendeley":{"formattedCitation":"&lt;sup&gt;74&lt;/sup&gt;","plainTextFormattedCitation":"74","previouslyFormattedCitation":"&lt;sup&gt;74&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74</w:t>
            </w:r>
            <w:r w:rsidRPr="00E547AD">
              <w:rPr>
                <w:color w:val="0070C0"/>
                <w:sz w:val="22"/>
              </w:rPr>
              <w:fldChar w:fldCharType="end"/>
            </w:r>
          </w:p>
        </w:tc>
      </w:tr>
      <w:tr w:rsidR="002D64E5" w:rsidRPr="00E547AD" w14:paraId="49B08C6F"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060709"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0848C77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6B1959A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2012</w:t>
            </w:r>
          </w:p>
        </w:tc>
        <w:tc>
          <w:tcPr>
            <w:tcW w:w="0" w:type="auto"/>
          </w:tcPr>
          <w:p w14:paraId="4692313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7175FBA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1020</w:t>
            </w:r>
          </w:p>
          <w:p w14:paraId="5643B06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(640 - 1400)</w:t>
            </w:r>
          </w:p>
        </w:tc>
        <w:tc>
          <w:tcPr>
            <w:tcW w:w="0" w:type="auto"/>
          </w:tcPr>
          <w:p w14:paraId="7DD40429" w14:textId="7EB7B51D"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{"citationItems":[{"id":"ITEM-1","itemData":{"DOI":"10.1016/j.chemosphere.2014.01.039","ISSN":"18791298","PMID":"24548646","abstract":"Argentina has 31 million hectares given over to agriculture comprising 2.2% of the world's total area under cultivation (Stock Exchange of Rosario, Argentina). Despite the intensity of this agricultural activity, data on pesticide pollution in surface water are rather scarce. In this sense, the aim of this work is to determine the presence of pesticides in surface water of four agricultural sub-basins of Argentine. An environmental monitoring was carried out to determine the impact of twenty-nine pesticides used in agricultural activities on the surface water quality of agricultural areas within the San Vicente, Azul, Buenos Aires southeast and Mista stream sub-basins.The samples were analyzed by solid-phase extraction (SPE) using OASIS HLB 60. mg cartridges and ultra-high-pressure liquid chromatography coupled to tandem mass spectrometry (UHPLC/MSMS) that provided good analytical quality parameters.The southeast of Buenos Aires was the site with the highest frequency of pesticides detection, followed by Azul and San Vicente microbasins. The most detected pesticides, considering all surface water samples, were atrazine, tebuconazole and diethyltoluamide with maximum concentration levels of 1.4, 0.035, and 0.701μgL-1, respectively. The results obtained for all basins studied show the presence of residual pesticides in surface waters according the different agricultural activities developed. © 2014 Elsevier Ltd.","author":[{"dropping-particle":"","family":"Gerónimo","given":"Eduardo","non-dropping-particle":"De","parse-names":false,"suffix":""},{"dropping-particle":"","family":"Aparicio","given":"Virginia C.","non-dropping-particle":"","parse-names":false,"suffix":""},{"dropping-particle":"","family":"Bárbaro","given":"Sebastián","non-dropping-particle":"","parse-names":false,"suffix":""},{"dropping-particle":"","family":"Portocarrero","given":"Rocío","non-dropping-particle":"","parse-names":false,"suffix":""},{"dropping-particle":"","family":"Jaime","given":"Sebastián","non-dropping-particle":"","parse-names":false,"suffix":""},{"dropping-particle":"","family":"Costa","given":"José L.","non-dropping-particle":"","parse-names":false,"suffix":""}],"container-title":"Chemosphere","id":"ITEM-1","issued":{"date-parts":[["2014"]]},"page":"423-431","title":"Presence of pesticides in surface water from four sub-basins in Argentina","type":"article-journal","volume":"107"},"uris":["http://www.mendeley.com/documents/?uuid=874b268e-8996-4a41-a787-c50392ce36da"]}],"mendeley":{"formattedCitation":"&lt;sup&gt;75&lt;/sup&gt;","plainTextFormattedCitation":"75","previouslyFormattedCitation":"&lt;sup&gt;75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75</w:t>
            </w:r>
            <w:r w:rsidRPr="00E547AD">
              <w:rPr>
                <w:color w:val="0070C0"/>
                <w:sz w:val="22"/>
              </w:rPr>
              <w:fldChar w:fldCharType="end"/>
            </w:r>
          </w:p>
        </w:tc>
      </w:tr>
      <w:tr w:rsidR="005E13E8" w:rsidRPr="00E547AD" w14:paraId="0F68826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5085BC3"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7CB50EB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4902A29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0524CE3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7008709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40</w:t>
            </w:r>
          </w:p>
          <w:p w14:paraId="0ED3614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(0.02 - 135)</w:t>
            </w:r>
          </w:p>
        </w:tc>
        <w:tc>
          <w:tcPr>
            <w:tcW w:w="0" w:type="auto"/>
          </w:tcPr>
          <w:p w14:paraId="5E481C0A" w14:textId="5137105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{"citationItems":[{"id":"ITEM-1","itemData":{"DOI":"10.1016/j.chemosphere.2020.128061","ISSN":"18791298","PMID":"33297067","abstract":"The present study aimed to assess the ecological risk of 30 current-use agricultural pesticides and biocides in the soil, sediments and aquatic organisms of a mixed land-use basin located in the Depressed Pampas Region of Argentina. Risk Quotients (RQs) were used to evaluate the chronic risk in soil and aquatic organisms, while Toxic Units (TUs) were used to assess the acute risk in sediment-dwelling organisms and aquatic biota. Acetochlor, hydroxy-atrazine, glyphosate, AMPA, metolachlor, imidacloprid and tebuconazole were the only pesticide residues detected (&gt;30%) and quantified in all the matrices evaluated. Glyphosate and AMPA showed the highest concentrations, being their mean and maximum levels 27.90–176.00 μg kg−1 and 270–712.50 μg kg−1 in soils, 8.28–32.0 μg kg−1 and 6.85–17.50 μg kg−1 in sediments, and 1.88–4.36 μg L−1 and 0.66–1.03 μg L−1 in surface water. The RQs in soils showed high chronic risk, mainly due to AMPA and imidacloprid. The TUs in sediments showed acute risk in dwelling organisms, mainly due to glyphosate and imidacloprid. RQs assessment showed a range of chronic risk levels according to the site/sampling event, with higher contribution of atrazine and its metabolites, and acetochlor, whereas TUs assessment showed no acute risk in aquatic biota. In contrast to Europe, in Argentina, there are no restrictions regarding the use of atrazine, acetochlor, imidacloprid and glyphosate to protect aquatic life. Thus, it is recommended that the current Argentine pesticide regulations should be modified to prevent ecological risk and protect ecosystems.","author":[{"dropping-particle":"","family":"Pérez","given":"Débora J.","non-dropping-particle":"","parse-names":false,"suffix":""},{"dropping-particle":"","family":"Iturburu","given":"Fernando G.","non-dropping-particle":"","parse-names":false,"suffix":""},{"dropping-particle":"","family":"Calderon","given":"Gabriela","non-dropping-particle":"","parse-names":false,"suffix":""},{"dropping-particle":"","family":"Oyesqui","given":"Lía A.E.","non-dropping-particle":"","parse-names":false,"suffix":""},{"dropping-particle":"","family":"Gerónimo","given":"Eduardo","non-dropping-particle":"De","parse-names":false,"suffix":""},{"dropping-particle":"","family":"Aparicio","given":"Virginia C.","non-dropping-particle":"","parse-names":false,"suffix":""}],"container-title":"Chemosphere","id":"ITEM-1","issued":{"date-parts":[["2021"]]},"title":"Ecological risk assessment of current-use pesticides and biocides in soils, sediments and surface water of a mixed land-use basin of the Pampas region, Argentina","type":"article-journal","volume":"263"},"uris":["http://www.mendeley.com/documents/?uuid=49161c8f-525a-4501-95c7-039ba53d703a"]}],"mendeley":{"formattedCitation":"&lt;sup&gt;76&lt;/sup&gt;","plainTextFormattedCitation":"76","previouslyFormattedCitation":"&lt;sup&gt;76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76</w:t>
            </w:r>
            <w:r w:rsidRPr="00E547AD">
              <w:rPr>
                <w:color w:val="0070C0"/>
                <w:sz w:val="22"/>
              </w:rPr>
              <w:fldChar w:fldCharType="end"/>
            </w:r>
          </w:p>
        </w:tc>
      </w:tr>
      <w:tr w:rsidR="002D64E5" w:rsidRPr="00E547AD" w14:paraId="6B740A1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5F69EF"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626FB85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730086A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763A775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3C01AB0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60</w:t>
            </w:r>
          </w:p>
          <w:p w14:paraId="270A5A8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(13-152)</w:t>
            </w:r>
          </w:p>
        </w:tc>
        <w:tc>
          <w:tcPr>
            <w:tcW w:w="0" w:type="auto"/>
          </w:tcPr>
          <w:p w14:paraId="53407923" w14:textId="4111D4BA"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{"citationItems":[{"id":"ITEM-1","itemData":{"DOI":"10.1016/j.chemosphere.2020.128061","ISSN":"18791298","PMID":"33297067","abstract":"The present study aimed to assess the ecological risk of 30 current-use agricultural pesticides and biocides in the soil, sediments and aquatic organisms of a mixed land-use basin located in the Depressed Pampas Region of Argentina. Risk Quotients (RQs) were used to evaluate the chronic risk in soil and aquatic organisms, while Toxic Units (TUs) were used to assess the acute risk in sediment-dwelling organisms and aquatic biota. Acetochlor, hydroxy-atrazine, glyphosate, AMPA, metolachlor, imidacloprid and tebuconazole were the only pesticide residues detected (&gt;30%) and quantified in all the matrices evaluated. Glyphosate and AMPA showed the highest concentrations, being their mean and maximum levels 27.90–176.00 μg kg−1 and 270–712.50 μg kg−1 in soils, 8.28–32.0 μg kg−1 and 6.85–17.50 μg kg−1 in sediments, and 1.88–4.36 μg L−1 and 0.66–1.03 μg L−1 in surface water. The RQs in soils showed high chronic risk, mainly due to AMPA and imidacloprid. The TUs in sediments showed acute risk in dwelling organisms, mainly due to glyphosate and imidacloprid. RQs assessment showed a range of chronic risk levels according to the site/sampling event, with higher contribution of atrazine and its metabolites, and acetochlor, whereas TUs assessment showed no acute risk in aquatic biota. In contrast to Europe, in Argentina, there are no restrictions regarding the use of atrazine, acetochlor, imidacloprid and glyphosate to protect aquatic life. Thus, it is recommended that the current Argentine pesticide regulations should be modified to prevent ecological risk and protect ecosystems.","author":[{"dropping-particle":"","family":"Pérez","given":"Débora J.","non-dropping-particle":"","parse-names":false,"suffix":""},{"dropping-particle":"","family":"Iturburu","given":"Fernando G.","non-dropping-particle":"","parse-names":false,"suffix":""},{"dropping-particle":"","family":"Calderon","given":"Gabriela","non-dropping-particle":"","parse-names":false,"suffix":""},{"dropping-particle":"","family":"Oyesqui","given":"Lía A.E.","non-dropping-particle":"","parse-names":false,"suffix":""},{"dropping-particle":"","family":"Gerónimo","given":"Eduardo","non-dropping-particle":"De","parse-names":false,"suffix":""},{"dropping-particle":"","family":"Aparicio","given":"Virginia C.","non-dropping-particle":"","parse-names":false,"suffix":""}],"container-title":"Chemosphere","id":"ITEM-1","issued":{"date-parts":[["2021"]]},"title":"Ecological risk assessment of current-use pesticides and biocides in soils, sediments and surface water of a mixed land-use basin of the Pampas region, Argentina","type":"article-journal","volume":"263"},"uris":["http://www.mendeley.com/documents/?uuid=49161c8f-525a-4501-95c7-039ba53d703a"]}],"mendeley":{"formattedCitation":"&lt;sup&gt;76&lt;/sup&gt;","plainTextFormattedCitation":"76","previouslyFormattedCitation":"&lt;sup&gt;76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76</w:t>
            </w:r>
            <w:r w:rsidRPr="00E547AD">
              <w:rPr>
                <w:color w:val="0070C0"/>
                <w:sz w:val="22"/>
              </w:rPr>
              <w:fldChar w:fldCharType="end"/>
            </w:r>
          </w:p>
        </w:tc>
      </w:tr>
      <w:tr w:rsidR="005E13E8" w:rsidRPr="00E547AD" w14:paraId="02657EC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DB49835"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7440006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565C060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2360CEC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Argentina</w:t>
            </w:r>
          </w:p>
        </w:tc>
        <w:tc>
          <w:tcPr>
            <w:tcW w:w="0" w:type="auto"/>
          </w:tcPr>
          <w:p w14:paraId="53EA838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386</w:t>
            </w:r>
          </w:p>
          <w:p w14:paraId="66C407C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(38-2179)</w:t>
            </w:r>
          </w:p>
        </w:tc>
        <w:tc>
          <w:tcPr>
            <w:tcW w:w="0" w:type="auto"/>
          </w:tcPr>
          <w:p w14:paraId="096BAA00" w14:textId="6FD8A21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{"citationItems":[{"id":"ITEM-1","itemData":{"DOI":"10.1007/s00128-019-02758-z","ISBN":"0123456789","ISSN":"14320800","PMID":"31811320","abstract":"Polar Organic Chemical Integrative Samplers (POCIS) were deployed in two watersheds in C</w:instrText>
            </w:r>
            <w:r w:rsidR="00694227">
              <w:rPr>
                <w:rFonts w:hint="eastAsia"/>
                <w:color w:val="0070C0"/>
                <w:sz w:val="22"/>
              </w:rPr>
              <w:instrText>ó</w:instrText>
            </w:r>
            <w:r w:rsidR="00694227">
              <w:rPr>
                <w:color w:val="0070C0"/>
                <w:sz w:val="22"/>
              </w:rPr>
              <w:instrText>rdoba province and one watershed in Buenos Aires province in Argentina. The fungicides, tebuconazole, carbendazim and azoxystrobin, and the herbicides, atrazine, dicamba and 2,4-D were detected in POCIS deployed in each of the three watersheds. Estimated time weighted average concentrations of atrazine were greater than 2 µg/L at the outflow of Brava Lake in Buenos Aires province, and this concentration exceeds the Canadian water quality guideline for protection of aquatic life. The concentrations of all other pesticides were less than 400 ng/L. The distribution of pesticides detected in surface waters indicated that the sources were runoff from agricultural and urban lands and discharges from wastewater treatment plants.","author":[{"dropping-particle":"","family":"Corcoran","given":"Shawna","non-dropping-particle":"","parse-names":false,"suffix":""},{"dropping-particle":"","family":"Metcalfe","given":"Chris D.","non-dropping-particle":"","parse-names":false,"suffix":""},{"dropping-particle":"","family":"Sultana","given":"Tamanna","non-dropping-particle":"","parse-names":false,"suffix":""},{"dropping-particle":"","family":"Amé","given":"María Valeria","non-dropping-particle":"","parse-names":false,"suffix":""},{"dropping-particle":"","family":"Menone","given":"Mirta L.","non-dropping-particle":"","parse-names":false,"suffix":""}],"container-title":"Bulletin of Environmental Contamination and Toxicology","id":"ITEM-1","issue":"1","issued":{"date-parts":[["2020"]]},"page":"21-26","publisher":"Springer US","title":"Pesticides in Surface Waters in Argentina Monitored Using Polar Organic Chemical Integrative Samplers","type":"article-journal","volume":"104"},"uris":["http://www.mendeley.com/documents/?uuid=3e6c34b7-a5fc-4d4f-8b56-9d8d77524512"]}],"mendeley":{"formattedCitation":"&lt;sup&gt;77&lt;/sup&gt;","plainTextFormattedCitation":"77","previouslyFormattedCitation":"&lt;sup&gt;77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77</w:t>
            </w:r>
            <w:r w:rsidRPr="00E547AD">
              <w:rPr>
                <w:color w:val="0070C0"/>
                <w:sz w:val="22"/>
              </w:rPr>
              <w:fldChar w:fldCharType="end"/>
            </w:r>
          </w:p>
        </w:tc>
      </w:tr>
      <w:tr w:rsidR="002D64E5" w:rsidRPr="00E547AD" w14:paraId="17B6233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BD0AF6"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115A261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4A74C71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7D07BB6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2CAC429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1400</w:t>
            </w:r>
          </w:p>
        </w:tc>
        <w:tc>
          <w:tcPr>
            <w:tcW w:w="0" w:type="auto"/>
          </w:tcPr>
          <w:p w14:paraId="678295B5" w14:textId="2598885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{"citationItems":[{"id":"ITEM-1","itemData":{"DOI":"10.1080/03601234.2019.1693835","ISSN":"15324109","PMID":"31778093","abstract":"Camanducaia River is part of the Piracicaba watershed responsible for pumping water into the Cantareira System, which is one of the main water sources for the metropolis of São Paulo and Campinas, Brazil. Intensive use of pesticides and hilly topography represents a situation of high risk for river water contamination. Therefore, water samples from 12 locations were collected along the Camanducaia River and its tributaries, over a period of 4 mo during the rainy season, and analyzed by GC-MS/MS or UPLC- MS/MS for the presence of 46 pesticides. Seven pesticides (fipronil, methyl parathion, metolachlor, atrazine, carbofuran, diuron, and simazine) were positively detected. Only atrazine (the most frequently detected) and diuron were present at concentrations above the limit of quantification of the analytical method (0.32 and 0.57 μg L−1 for atrazine and diuron, respectively). Pesticides detection frequency was higher than expected for a river system where only 11.8% of the land area is under agriculture. The vulnerability of the Camanducaia basin to pesticide contamination is attributed to the high annual precipitation (&gt; 1.5 m y−1 in the headwaters), associated with topographical features (steep terrain) and soil types that favor surface runoff, which has been exacerbated by poor soil management practices.","author":[{"dropping-particle":"","family":"Barizon","given":"Robson R.M.","non-dropping-particle":"","parse-names":false,"suffix":""},{"dropping-particle":"","family":"Figueiredo","given":"Ricardo de Oliveira","non-dropping-particle":"","parse-names":false,"suffix":""},{"dropping-particle":"","family":"Souza Dutra","given":"Débora Renata Cassoli","non-dropping-particle":"de","parse-names":false,"suffix":""},{"dropping-particle":"","family":"Regitano","given":"Jussara Borges","non-dropping-particle":"","parse-names":false,"suffix":""},{"dropping-particle":"","family":"Ferracini","given":"Vera Lúcia","non-dropping-particle":"","parse-names":false,"suffix":""}],"container-title":"Journal of Environmental Science and Health - Part B Pesticides, Food Contaminants, and Agricultural Wastes","id":"ITEM-1","issue":"3","issued":{"date-parts":[["2020"]]},"page":"283-292","publisher":"Taylor &amp; Francis","title":"Pesticides in the surface waters of the Camanducaia River watershed, Brazil","type":"article-journal","volume":"55"},"uris":["http://www.mendeley.com/documents/?uuid=1a79abe5-c5ba-49ce-becc-00ad98ff1767"]}],"mendeley":{"formattedCitation":"&lt;sup&gt;78&lt;/sup&gt;","plainTextFormattedCitation":"78","previouslyFormattedCitation":"&lt;sup&gt;78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78</w:t>
            </w:r>
            <w:r w:rsidRPr="00E547AD">
              <w:rPr>
                <w:color w:val="0070C0"/>
                <w:sz w:val="22"/>
              </w:rPr>
              <w:fldChar w:fldCharType="end"/>
            </w:r>
          </w:p>
        </w:tc>
      </w:tr>
      <w:tr w:rsidR="005E13E8" w:rsidRPr="00E547AD" w14:paraId="1694F8C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1719C05" w14:textId="77777777" w:rsidR="005E13E8" w:rsidRPr="00E547AD" w:rsidRDefault="005E13E8" w:rsidP="002D64E5">
            <w:pPr>
              <w:rPr>
                <w:color w:val="000000"/>
                <w:sz w:val="22"/>
              </w:rPr>
            </w:pPr>
            <w:r w:rsidRPr="00E547AD">
              <w:rPr>
                <w:rFonts w:eastAsia="等线"/>
                <w:color w:val="000000"/>
                <w:sz w:val="22"/>
              </w:rPr>
              <w:lastRenderedPageBreak/>
              <w:t>Latin America</w:t>
            </w:r>
          </w:p>
        </w:tc>
        <w:tc>
          <w:tcPr>
            <w:tcW w:w="0" w:type="auto"/>
          </w:tcPr>
          <w:p w14:paraId="3E7B37A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181287E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2014</w:t>
            </w:r>
          </w:p>
        </w:tc>
        <w:tc>
          <w:tcPr>
            <w:tcW w:w="0" w:type="auto"/>
          </w:tcPr>
          <w:p w14:paraId="19F3EC3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3DBA41F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w:t>
            </w:r>
          </w:p>
          <w:p w14:paraId="2D8172D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(5-49)</w:t>
            </w:r>
          </w:p>
        </w:tc>
        <w:tc>
          <w:tcPr>
            <w:tcW w:w="0" w:type="auto"/>
          </w:tcPr>
          <w:p w14:paraId="5A1FF208" w14:textId="035DA66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{"citationItems":[{"id":"ITEM-1","itemData":{"DOI":"10.21577/0103-5053.20180154","ISSN":"16784790","abstract":"This study evaluated the environmental occurrence of fifty-one pesticides, pharmaceuticals and personal care products (PPCPs) in surface and drinking water samples collected in southern Brazil over a 4-year period. The method used involved a stage based on solid-phase extraction, followed by liquid chromatography tandem mass spectrometry. Thirty compounds were detected (22 different pesticides and 8 PPCPs) and at least four compounds were identified in more than 50% of the samples. Atrazine was the most frequently detected pesticide and it was found at concentrations between 5 and 49 ng L-1. From PPCPs, glibenclamide, methylparaben and nimesulide were the most commonly detected in both drinking water and surface water samples. Results showed the extent to which traces of pesticides and PPCPs were present in water samples from this region.","author":[{"dropping-particle":"","family":"Caldas","given":"Sergiane S.","non-dropping-particle":"","parse-names":false,"suffix":""},{"dropping-particle":"","family":"Arias","given":"Jean Lucas O.","non-dropping-particle":"","parse-names":false,"suffix":""},{"dropping-particle":"","family":"Rombaldi","given":"Caroline","non-dropping-particle":"","parse-names":false,"suffix":""},{"dropping-particle":"","family":"Mello","given":"Lucas L.","non-dropping-particle":"","parse-names":false,"suffix":""},{"dropping-particle":"","family":"Cerqueira","given":"Maristela B.R.","non-dropping-particle":"","parse-names":false,"suffix":""},{"dropping-particle":"","family":"Martins","given":"Ayrton F.","non-dropping-particle":"","parse-names":false,"suffix":""},{"dropping-particle":"","family":"Primel","given":"Ednei G.","non-dropping-particle":"","parse-names":false,"suffix":""}],"container-title":"Journal of the Brazilian Chemical Society","id":"ITEM-1","issue":"1","issued":{"date-parts":[["2019"]]},"page":"71-80","title":"Occurrence of pesticides and PPCPs in surface and drinking water in southern Brazil: Data on 4-year monitoring","type":"article-journal","volume":"30"},"uris":["http://www.mendeley.com/documents/?uuid=7d16618a-288f-4089-88c4-ec8e58997ee2"]}],"mendeley":{"formattedCitation":"&lt;sup&gt;79&lt;/sup&gt;","plainTextFormattedCitation":"79","previouslyFormattedCitation":"&lt;sup&gt;79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79</w:t>
            </w:r>
            <w:r w:rsidRPr="00E547AD">
              <w:rPr>
                <w:color w:val="0070C0"/>
                <w:sz w:val="22"/>
              </w:rPr>
              <w:fldChar w:fldCharType="end"/>
            </w:r>
          </w:p>
        </w:tc>
      </w:tr>
      <w:tr w:rsidR="002D64E5" w:rsidRPr="00E547AD" w14:paraId="10C0E93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186B90"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7FE376E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5454BAC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518F50A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0216962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(250-9300)</w:t>
            </w:r>
          </w:p>
        </w:tc>
        <w:tc>
          <w:tcPr>
            <w:tcW w:w="0" w:type="auto"/>
          </w:tcPr>
          <w:p w14:paraId="378BFEF6" w14:textId="7E3FD39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{"citationItems":[{"id":"ITEM-1","itemData":{"DOI":"10.1039/c6em00268d","ISSN":"20507895","PMID":"27367607","abstract":"The widespread use of pesticides in agriculture can lead to water contamination and cause adverse effects on non-target organisms. Brazil has been the world's top pesticide market consumer since 2008, with 381 approved pesticides for crop use. This study provides a comprehensive literature review on the occurrence of pesticide residues in Brazilian freshwaters. We searched for information in official agency records and peer-reviewed scientific literature. Risk quotients were calculated to assess the potential risk posed to aquatic life by the individual pesticides based on their levels of water contamination. Studies about the occurrence of pesticides in freshwaters in Brazil are scarce and concentrated in few sampling sites in 5 of the 27 states. Herbicides (21) accounted for the majority of the substances investigated, followed by fungicides (11), insecticides (10) and plant growth regulators (1). Insecticides are the class of major concern. Brazil would benefit from the implementation of a nationwide pesticide freshwater monitoring program to support preventive, remediation and enforcement actions.","author":[{"dropping-particle":"","family":"Albuquerque","given":"A. F.","non-dropping-particle":"","parse-names":false,"suffix":""},{"dropping-particle":"","family":"Ribeiro","given":"J. S.","non-dropping-particle":"","parse-names":false,"suffix":""},{"dropping-particle":"","family":"Kummrow","given":"F.","non-dropping-particle":"","parse-names":false,"suffix":""},{"dropping-particle":"","family":"Nogueira","given":"A. J.A.","non-dropping-particle":"","parse-names":false,"suffix":""},{"dropping-particle":"","family":"Montagner","given":"C. C.","non-dropping-particle":"","parse-names":false,"suffix":""},{"dropping-particle":"","family":"Umbuzeiro","given":"G. A.","non-dropping-particle":"","parse-names":false,"suffix":""}],"container-title":"Environmental Science: Processes and Impacts","id":"ITEM-1","issue":"7","issued":{"date-parts":[["2016"]]},"page":"779-787","publisher":"Royal Society of Chemistry","title":"Pesticides in Brazilian freshwaters: A critical review","type":"article-journal","volume":"18"},"uris":["http://www.mendeley.com/documents/?uuid=0443c191-e79f-4ce1-b7ad-fc2664117c13"]}],"mendeley":{"formattedCitation":"&lt;sup&gt;80&lt;/sup&gt;","plainTextFormattedCitation":"80","previouslyFormattedCitation":"&lt;sup&gt;80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80</w:t>
            </w:r>
            <w:r w:rsidRPr="00E547AD">
              <w:rPr>
                <w:color w:val="0070C0"/>
                <w:sz w:val="22"/>
              </w:rPr>
              <w:fldChar w:fldCharType="end"/>
            </w:r>
          </w:p>
        </w:tc>
      </w:tr>
      <w:tr w:rsidR="005E13E8" w:rsidRPr="00E547AD" w14:paraId="1E37CC99"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3BF4575"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6BD883F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6C4BEBE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37A6E8B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1939C96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(600-2700)</w:t>
            </w:r>
          </w:p>
        </w:tc>
        <w:tc>
          <w:tcPr>
            <w:tcW w:w="0" w:type="auto"/>
          </w:tcPr>
          <w:p w14:paraId="58F08554" w14:textId="7A769C1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{"citationItems":[{"id":"ITEM-1","itemData":{"DOI":"10.1039/c6em00268d","ISSN":"20507895","PMID":"27367607","abstract":"The widespread use of pesticides in agriculture can lead to water contamination and cause adverse effects on non-target organisms. Brazil has been the world's top pesticide market consumer since 2008, with 381 approved pesticides for crop use. This study provides a comprehensive literature review on the occurrence of pesticide residues in Brazilian freshwaters. We searched for information in official agency records and peer-reviewed scientific literature. Risk quotients were calculated to assess the potential risk posed to aquatic life by the individual pesticides based on their levels of water contamination. Studies about the occurrence of pesticides in freshwaters in Brazil are scarce and concentrated in few sampling sites in 5 of the 27 states. Herbicides (21) accounted for the majority of the substances investigated, followed by fungicides (11), insecticides (10) and plant growth regulators (1). Insecticides are the class of major concern. Brazil would benefit from the implementation of a nationwide pesticide freshwater monitoring program to support preventive, remediation and enforcement actions.","author":[{"dropping-particle":"","family":"Albuquerque","given":"A. F.","non-dropping-particle":"","parse-names":false,"suffix":""},{"dropping-particle":"","family":"Ribeiro","given":"J. S.","non-dropping-particle":"","parse-names":false,"suffix":""},{"dropping-particle":"","family":"Kummrow","given":"F.","non-dropping-particle":"","parse-names":false,"suffix":""},{"dropping-particle":"","family":"Nogueira","given":"A. J.A.","non-dropping-particle":"","parse-names":false,"suffix":""},{"dropping-particle":"","family":"Montagner","given":"C. C.","non-dropping-particle":"","parse-names":false,"suffix":""},{"dropping-particle":"","family":"Umbuzeiro","given":"G. A.","non-dropping-particle":"","parse-names":false,"suffix":""}],"container-title":"Environmental Science: Processes and Impacts","id":"ITEM-1","issue":"7","issued":{"date-parts":[["2016"]]},"page":"779-787","publisher":"Royal Society of Chemistry","title":"Pesticides in Brazilian freshwaters: A critical review","type":"article-journal","volume":"18"},"uris":["http://www.mendeley.com/documents/?uuid=0443c191-e79f-4ce1-b7ad-fc2664117c13"]}],"mendeley":{"formattedCitation":"&lt;sup&gt;80&lt;/sup&gt;","plainTextFormattedCitation":"80","previouslyFormattedCitation":"&lt;sup&gt;80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80</w:t>
            </w:r>
            <w:r w:rsidRPr="00E547AD">
              <w:rPr>
                <w:color w:val="0070C0"/>
                <w:sz w:val="22"/>
              </w:rPr>
              <w:fldChar w:fldCharType="end"/>
            </w:r>
          </w:p>
        </w:tc>
      </w:tr>
      <w:tr w:rsidR="002D64E5" w:rsidRPr="00E547AD" w14:paraId="44DD7156"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B0BE54"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608297E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0D0B18C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2015</w:t>
            </w:r>
          </w:p>
        </w:tc>
        <w:tc>
          <w:tcPr>
            <w:tcW w:w="0" w:type="auto"/>
          </w:tcPr>
          <w:p w14:paraId="7DC2F85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Brazil</w:t>
            </w:r>
          </w:p>
        </w:tc>
        <w:tc>
          <w:tcPr>
            <w:tcW w:w="0" w:type="auto"/>
          </w:tcPr>
          <w:p w14:paraId="3BBDFE3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(190-630)</w:t>
            </w:r>
          </w:p>
        </w:tc>
        <w:tc>
          <w:tcPr>
            <w:tcW w:w="0" w:type="auto"/>
          </w:tcPr>
          <w:p w14:paraId="02CE714E" w14:textId="7DDE3F7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{"citationItems":[{"id":"ITEM-1","itemData":{"DOI":"10.1039/c6em00268d","ISSN":"20507895","PMID":"27367607","abstract":"The widespread use of pesticides in agriculture can lead to water contamination and cause adverse effects on non-target organisms. Brazil has been the world's top pesticide market consumer since 2008, with 381 approved pesticides for crop use. This study provides a comprehensive literature review on the occurrence of pesticide residues in Brazilian freshwaters. We searched for information in official agency records and peer-reviewed scientific literature. Risk quotients were calculated to assess the potential risk posed to aquatic life by the individual pesticides based on their levels of water contamination. Studies about the occurrence of pesticides in freshwaters in Brazil are scarce and concentrated in few sampling sites in 5 of the 27 states. Herbicides (21) accounted for the majority of the substances investigated, followed by fungicides (11), insecticides (10) and plant growth regulators (1). Insecticides are the class of major concern. Brazil would benefit from the implementation of a nationwide pesticide freshwater monitoring program to support preventive, remediation and enforcement actions.","author":[{"dropping-particle":"","family":"Albuquerque","given":"A. F.","non-dropping-particle":"","parse-names":false,"suffix":""},{"dropping-particle":"","family":"Ribeiro","given":"J. S.","non-dropping-particle":"","parse-names":false,"suffix":""},{"dropping-particle":"","family":"Kummrow","given":"F.","non-dropping-particle":"","parse-names":false,"suffix":""},{"dropping-particle":"","family":"Nogueira","given":"A. J.A.","non-dropping-particle":"","parse-names":false,"suffix":""},{"dropping-particle":"","family":"Montagner","given":"C. C.","non-dropping-particle":"","parse-names":false,"suffix":""},{"dropping-particle":"","family":"Umbuzeiro","given":"G. A.","non-dropping-particle":"","parse-names":false,"suffix":""}],"container-title":"Environmental Science: Processes and Impacts","id":"ITEM-1","issue":"7","issued":{"date-parts":[["2016"]]},"page":"779-787","publisher":"Royal Society of Chemistry","title":"Pesticides in Brazilian freshwaters: A critical review","type":"article-journal","volume":"18"},"uris":["http://www.mendeley.com/documents/?uuid=0443c191-e79f-4ce1-b7ad-fc2664117c13"]}],"mendeley":{"formattedCitation":"&lt;sup&gt;80&lt;/sup&gt;","plainTextFormattedCitation":"80","previouslyFormattedCitation":"&lt;sup&gt;80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80</w:t>
            </w:r>
            <w:r w:rsidRPr="00E547AD">
              <w:rPr>
                <w:color w:val="0070C0"/>
                <w:sz w:val="22"/>
              </w:rPr>
              <w:fldChar w:fldCharType="end"/>
            </w:r>
          </w:p>
        </w:tc>
      </w:tr>
      <w:tr w:rsidR="005E13E8" w:rsidRPr="00E547AD" w14:paraId="749B6C9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E51CC54"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2318AC6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Chile</w:t>
            </w:r>
          </w:p>
        </w:tc>
        <w:tc>
          <w:tcPr>
            <w:tcW w:w="0" w:type="auto"/>
          </w:tcPr>
          <w:p w14:paraId="049B997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2016</w:t>
            </w:r>
          </w:p>
        </w:tc>
        <w:tc>
          <w:tcPr>
            <w:tcW w:w="0" w:type="auto"/>
          </w:tcPr>
          <w:p w14:paraId="605AD86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Chile</w:t>
            </w:r>
          </w:p>
        </w:tc>
        <w:tc>
          <w:tcPr>
            <w:tcW w:w="0" w:type="auto"/>
          </w:tcPr>
          <w:p w14:paraId="182C920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45</w:t>
            </w:r>
          </w:p>
        </w:tc>
        <w:tc>
          <w:tcPr>
            <w:tcW w:w="0" w:type="auto"/>
          </w:tcPr>
          <w:p w14:paraId="00EBE421" w14:textId="145BDE6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{"citationItems":[{"id":"ITEM-1","itemData":{"DOI":"10.1016/j.envpol.2019.04.117","ISSN":"18736424","PMID":"31071637","abstract":"In the last twenty years, pesticide use in Chile has increased more than 160%, generating a greater risk of water resources pollution. The objective of this study was to assess the presence of 22 pesticides and 12 degradation products in surface water samples from the Cachapoal River basin, Central Chile, an area characterized by intense agricultural activity. Pesticide concentrations in the dissolved phase (DP) and particulate phase (PP) in samples collected in the dry season and after precipitation events was assessed. The solid-phase extraction technique was used to preconcentrate the samples and GC/MS and LC/MS were used to detect pesticides. The results present spatio-temporal variations in the proportion and concentration of pesticides and their degradation products in both the DP and PP for each site and sampling period. The most ubiquitous compounds in the dissolved phase were atrazine, atrazine-2-hydroxy (HA), cyprodinil, pyrimethanil, and tebuconazole, while in the particulate phase HA, imidacloprid, diazinon and pyrimidinol were detected. The results presented in this study make up the first record of pesticides in the dissolved and particulate phases in surface water in Chile. They show that the problem of pesticide contamination undoubtedly affects the quality of bodies of water in agricultural areas in Chile and support the need for a proper assessment of the water quality of the Cachapoal River in the future. The occurrence of pesticides in the dissolved and particulate phase of aqueous samples in the main agricultural region of Chile was revealed. Water samples of Cachapoal River basin were evaluated in the dry season and after precipitation events.","author":[{"dropping-particle":"","family":"Climent","given":"María José","non-dropping-particle":"","parse-names":false,"suffix":""},{"dropping-particle":"","family":"Herrero-Hernández","given":"Eliseo","non-dropping-particle":"","parse-names":false,"suffix":""},{"dropping-particle":"","family":"Sánchez-Martín","given":"María Jesús","non-dropping-particle":"","parse-names":false,"suffix":""},{"dropping-particle":"","family":"Rodríguez-Cruz","given":"María Sonia","non-dropping-particle":"","parse-names":false,"suffix":""},{"dropping-particle":"","family":"Pedreros","given":"Pablo","non-dropping-particle":"","parse-names":false,"suffix":""},{"dropping-particle":"","family":"Urrutia","given":"Roberto","non-dropping-particle":"","parse-names":false,"suffix":""}],"container-title":"Environmental Pollution","id":"ITEM-1","issued":{"date-parts":[["2019"]]},"page":"90-101","title":"Residues of pesticides and some metabolites in dissolved and particulate phase in surface stream water of Cachapoal River basin, central Chile","type":"article-journal","volume":"251"},"uris":["http://www.mendeley.com/documents/?uuid=e0fef05a-1044-4d4d-9d51-80e38fc29e75"]}],"mendeley":{"formattedCitation":"&lt;sup&gt;81&lt;/sup&gt;","plainTextFormattedCitation":"81","previouslyFormattedCitation":"&lt;sup&gt;81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81</w:t>
            </w:r>
            <w:r w:rsidRPr="00E547AD">
              <w:rPr>
                <w:color w:val="0070C0"/>
                <w:sz w:val="22"/>
              </w:rPr>
              <w:fldChar w:fldCharType="end"/>
            </w:r>
          </w:p>
        </w:tc>
      </w:tr>
      <w:tr w:rsidR="002D64E5" w:rsidRPr="00E547AD" w14:paraId="41BEC2D3"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9A13227"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080DACA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Mexico</w:t>
            </w:r>
          </w:p>
        </w:tc>
        <w:tc>
          <w:tcPr>
            <w:tcW w:w="0" w:type="auto"/>
          </w:tcPr>
          <w:p w14:paraId="0FA55C2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55CC598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Mexico</w:t>
            </w:r>
          </w:p>
        </w:tc>
        <w:tc>
          <w:tcPr>
            <w:tcW w:w="0" w:type="auto"/>
          </w:tcPr>
          <w:p w14:paraId="1B94177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204</w:t>
            </w:r>
          </w:p>
          <w:p w14:paraId="1B56092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(6-402)</w:t>
            </w:r>
          </w:p>
        </w:tc>
        <w:tc>
          <w:tcPr>
            <w:tcW w:w="0" w:type="auto"/>
          </w:tcPr>
          <w:p w14:paraId="4EA8EDFC" w14:textId="12BB302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{"citationItems":[{"id":"ITEM-1","itemData":{"DOI":"10.3390/w14223790","ISSN":"20734441","abstract":"Herbicides have contributed to increased agricultural production. However, their residual amount can cause negative effects on environmental and public health. Therefore, this work aimed to determine the occurrence of both atrazine and diuron in surface and well water and investigate their link with drinking use. The samples were collected during dry and rainy seasons in three wells and surface water from a river and a pond located in the low plains of the Ixcatepec catchment, at the Amacuáhuitl community of the municipality of Arcelia, Guerrero State, in the center south of México, which is a rural community where farming is the main activity. The compounds were obtained by solid phase extraction and determined by HPLC-MS quadrupole with positive electrospray ionization mode. A geomorphic analysis was conducted inside the Ixcatepec catchment using the digital elevation model of the Shuttle Radar Topography Mission, SRTM-v4. The human risk for drinking water was calculated according to the Hazard Quotient. The concentrations of atrazine and diuron were between 5.77 and 402 ng L−1. Atrazine was the most abundant and frequent pesticide found with an average concentration of 105.18 ng L−1, while that of diuron was 86.56 ng L−1. The highest levels were found in pond Ushe, likely being the result of the lowest flow and stagnation of water, and during the cold-dry season a consequence of mobilization by irrigation runoff. The morphological analysis indicated that the compounds mainly reached body water located in the lower surfaces from cultivated areas. Therefore, the occurrence is mainly linked to agriculture activity within the rural community. However, chemical properties of compounds, crop irrigation, and environmental conditions could be contributing to the dispersion of residual amounts of herbicides within the hydrological system. The estimation of risk showed that atrazine can mainly generate health problems for children using the Azul well as a source of drinking water.","author":[{"dropping-particle":"","family":"Lagunas-Basave","given":"Brenda","non-dropping-particle":"","parse-names":false,"suffix":""},{"dropping-particle":"","family":"Brito-Hernández","given":"Alhelí","non-dropping-particle":"","parse-names":false,"suffix":""},{"dropping-particle":"","family":"Saldarriaga-Noreña","given":"Hugo Albeiro","non-dropping-particle":"","parse-names":false,"suffix":""},{"dropping-particle":"","family":"Romero-Aguilar","given":"Mariana","non-dropping-particle":"","parse-names":false,"suffix":""},{"dropping-particle":"","family":"Vergara-Sánchez","given":"Josefina","non-dropping-particle":"","parse-names":false,"suffix":""},{"dropping-particle":"","family":"Moeller-Chávez","given":"Gabriela Eleonora","non-dropping-particle":"","parse-names":false,"suffix":""},{"dropping-particle":"","family":"Díaz-Torres","given":"José de Jesús","non-dropping-particle":"","parse-names":false,"suffix":""},{"dropping-particle":"","family":"Rosales-Rivera","given":"Mauricio","non-dropping-particle":"","parse-names":false,"suffix":""},{"dropping-particle":"","family":"Murillo-Tovar","given":"Mario Alfonso","non-dropping-particle":"","parse-names":false,"suffix":""}],"container-title":"Water (Switzerland)","id":"ITEM-1","issue":"22","issued":{"date-parts":[["2022"]]},"page":"1-14","title":"Occurrence and Risk Assessment of Atrazine and Diuron in Well and Surface Water of a Cornfield Rural Region","type":"article-journal","volume":"14"},"uris":["http://www.mendeley.com/documents/?uuid=fe765abb-cbcb-464b-995b-e2102c352a84"]}],"mendeley":{"formattedCitation":"&lt;sup&gt;82&lt;/sup&gt;","plainTextFormattedCitation":"82","previouslyFormattedCitation":"&lt;sup&gt;82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82</w:t>
            </w:r>
            <w:r w:rsidRPr="00E547AD">
              <w:rPr>
                <w:color w:val="0070C0"/>
                <w:sz w:val="22"/>
              </w:rPr>
              <w:fldChar w:fldCharType="end"/>
            </w:r>
          </w:p>
        </w:tc>
      </w:tr>
      <w:tr w:rsidR="005E13E8" w:rsidRPr="00E547AD" w14:paraId="6287032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E44F02B"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45BE817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Venezuela</w:t>
            </w:r>
          </w:p>
        </w:tc>
        <w:tc>
          <w:tcPr>
            <w:tcW w:w="0" w:type="auto"/>
          </w:tcPr>
          <w:p w14:paraId="3879253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2010</w:t>
            </w:r>
          </w:p>
        </w:tc>
        <w:tc>
          <w:tcPr>
            <w:tcW w:w="0" w:type="auto"/>
          </w:tcPr>
          <w:p w14:paraId="1A94B1C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color w:val="000000"/>
                <w:sz w:val="22"/>
              </w:rPr>
            </w:pPr>
            <w:r w:rsidRPr="00E547AD">
              <w:rPr>
                <w:rFonts w:eastAsia="等线"/>
                <w:color w:val="000000"/>
                <w:sz w:val="22"/>
              </w:rPr>
              <w:t>Venezuela</w:t>
            </w:r>
          </w:p>
        </w:tc>
        <w:tc>
          <w:tcPr>
            <w:tcW w:w="0" w:type="auto"/>
          </w:tcPr>
          <w:p w14:paraId="5574E52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1020</w:t>
            </w:r>
          </w:p>
          <w:p w14:paraId="0086E18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E547AD">
              <w:rPr>
                <w:color w:val="000000"/>
                <w:sz w:val="22"/>
              </w:rPr>
              <w:t>(50-1990)</w:t>
            </w:r>
          </w:p>
        </w:tc>
        <w:tc>
          <w:tcPr>
            <w:tcW w:w="0" w:type="auto"/>
          </w:tcPr>
          <w:p w14:paraId="5187D1C3" w14:textId="23D36AD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{"citationItems":[{"id":"ITEM-1","itemData":{"ISSN":"0188-4999 J9 - REV INT CONTAM AMBIE JI - Rev. Int. Contam. Ambient.","abstract":"The strong demand for agricultural production has led to an indiscriminate use of agrochemicals causing the decline in the quality of surface waters. In the agricultural community of Bailadores, Municipality of Rivas Davila, Merida State, Venezuela, the rivers of Las Tapias, Las Playitas and Mocoties were monitored for the presence of pesticide residues during 2008 and 2010. Water samples were subjected to solid phase extraction and analyzed for the presence of pesticide residues by HPLC with diode array detector (SPE-HPLC-DAD) using a validated multiresidual method. The pesticide residues that were detected at higher frequencies and greater concentrations were the following: chlorpyrifos (302.9 +/- 0.9 mu g/L), diazinon (459 +/- 4.0 mu g/L), dimethoate (55 +/- 3.0 mu g/L), mancozeb (108 +/- 1.0 mu g/L) and methamidophos (107 +/- 8.0 mu g/L), which are all found in the list of highly dangerous pesticides by the International Pesticides Control Network. In all cases, the levels exceeded the limits set by the European Union and the Environmental Protection Agency of the United States. The total concentration of organophosphates also exceeded the limits established by the Venezuelan law. The results of this study demonstrate a high level of pesticide contamination of the principal surface water courses in the Municipality of Rivas Davila. It is recommended to implement a pesticide monitoring program and the need to change the current mode of production to a sustainable agricultural practice, which will allow to reduce the use of agrochemicals and their negative consequences to the environment and the human health.","author":[{"dropping-particle":"","family":"Molina-Morales","given":"Y","non-dropping-particle":"","parse-names":false,"suffix":""},{"dropping-particle":"","family":"Flores-Garcia","given":"M","non-dropping-particle":"","parse-names":false,"suffix":""},{"dropping-particle":"","family":"Balza-Quintero","given":"A","non-dropping-particle":"","parse-names":false,"suffix":""},{"dropping-particle":"","family":"Benitez-Diaz","given":"P","non-dropping-particle":"","parse-names":false,"suffix":""},{"dropping-particle":"","family":"Miranda-Contreras","given":"L","non-dropping-particle":"","parse-names":false,"suffix":""}],"container-title":"REVISTA INTERNACIONAL DE CONTAMINACION AMBIENTAL","id":"ITEM-1","issue":"4","issued":{"date-parts":[["2012"]]},"language":"Spanish","note":"Times Cited in Web of Science Core Collection: 7\nTotal Times Cited: 10\nCited Reference Count: 45","page":"289-301 WE - Science Citation Index Expanded (SCI-","publisher-place":"Univ Los Andes, Lab Neuroquim, Ctr Microscopia Elect Dr Ernesto Palacios Pru, Merida, Venezuela","title":"Levels of Pesticides in Superficial Waters in an Agricultural Region of Merida State, Venezuela, between 2008 and 2010","type":"article-journal","volume":"28"},"uris":["http://www.mendeley.com/documents/?uuid=17626b16-86ab-45fc-aa72-05bca5c21739"]}],"mendeley":{"formattedCitation":"&lt;sup&gt;83&lt;/sup&gt;","plainTextFormattedCitation":"83","previouslyFormattedCitation":"&lt;sup&gt;83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83</w:t>
            </w:r>
            <w:r w:rsidRPr="00E547AD">
              <w:rPr>
                <w:color w:val="0070C0"/>
                <w:sz w:val="22"/>
              </w:rPr>
              <w:fldChar w:fldCharType="end"/>
            </w:r>
          </w:p>
        </w:tc>
      </w:tr>
      <w:tr w:rsidR="002D64E5" w:rsidRPr="00E547AD" w14:paraId="7F3A04C9"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8FCD65" w14:textId="77777777" w:rsidR="005E13E8" w:rsidRPr="00E547AD" w:rsidRDefault="005E13E8" w:rsidP="002D64E5">
            <w:pPr>
              <w:rPr>
                <w:color w:val="000000"/>
                <w:sz w:val="22"/>
              </w:rPr>
            </w:pPr>
            <w:r w:rsidRPr="00E547AD">
              <w:rPr>
                <w:rFonts w:eastAsia="等线"/>
                <w:color w:val="000000"/>
                <w:sz w:val="22"/>
              </w:rPr>
              <w:t>Latin America</w:t>
            </w:r>
          </w:p>
        </w:tc>
        <w:tc>
          <w:tcPr>
            <w:tcW w:w="0" w:type="auto"/>
          </w:tcPr>
          <w:p w14:paraId="57C795A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Mexico</w:t>
            </w:r>
          </w:p>
        </w:tc>
        <w:tc>
          <w:tcPr>
            <w:tcW w:w="0" w:type="auto"/>
          </w:tcPr>
          <w:p w14:paraId="1EC5DC9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2019</w:t>
            </w:r>
          </w:p>
        </w:tc>
        <w:tc>
          <w:tcPr>
            <w:tcW w:w="0" w:type="auto"/>
          </w:tcPr>
          <w:p w14:paraId="27ACAFC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color w:val="000000"/>
                <w:sz w:val="22"/>
              </w:rPr>
            </w:pPr>
            <w:r w:rsidRPr="00E547AD">
              <w:rPr>
                <w:rFonts w:eastAsia="等线"/>
                <w:color w:val="000000"/>
                <w:sz w:val="22"/>
              </w:rPr>
              <w:t>Mexico</w:t>
            </w:r>
          </w:p>
        </w:tc>
        <w:tc>
          <w:tcPr>
            <w:tcW w:w="0" w:type="auto"/>
          </w:tcPr>
          <w:p w14:paraId="26DF2E3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w:t>
            </w:r>
          </w:p>
          <w:p w14:paraId="5AFDE40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0000"/>
                <w:sz w:val="22"/>
              </w:rPr>
            </w:pPr>
            <w:r w:rsidRPr="00E547AD">
              <w:rPr>
                <w:color w:val="000000"/>
                <w:sz w:val="22"/>
              </w:rPr>
              <w:t>(2-7)</w:t>
            </w:r>
          </w:p>
        </w:tc>
        <w:tc>
          <w:tcPr>
            <w:tcW w:w="0" w:type="auto"/>
          </w:tcPr>
          <w:p w14:paraId="5921C2C6" w14:textId="58FDBEC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{"citationItems":[{"id":"ITEM-1","itemData":{"DOI":"10.1016/j.scitotenv.2017.04.149","ISSN":"18791026","PMID":"28482458","abstract":"This case study presents the fate of selected organic, priority and emerging pollutants along a 3.6 km sector of a vegetated, agricultural ditch situated in Sinaloa (Mexico). The ditch receives runoff of agriculture and domestic wastewater from an adjacent community. During 2013, the occurrence of 38 organic pollutants (pesticides, polycyclic aromatic hydrocarbons (PAHs), artificial sweeteners and pharmaceutical residues) was monitored monthly at five selected points in the ditch water. Additionally, sediment and Typha domingensis (cattail) plants were collected in March, June, and September 2013 and investigated concerning their ability to absorb and accumulate pollutants. The concentrations of the selected pollutants in the ditch water ranged from sub ng L− 1 (metolachlor, atrazine) to μg L− 1 (metalaxyl, acesulfame). The metabolites endosulfan sulfate and endosulfan lactone exceeded mostly the concentration of the precursor insecticide endosulfan. Sorption on sediments was of minor relevance for accumulation of pollutants in the ditch system. Concentrations in the sediments varied seasonally and ranged from 0.2 to 12,432 μg kg− 1 dry weight (d.w.). T. domingensis accumulated ten of the studied pollutants mainly in roots (5–1065 μg kg− 1 d.w.). Overall, the monitoring results of the ditch compartments indicated that downstream the concentrations of the target pollutants decreased. Under no-flow conditions in the hot season, the ditch revealed a noticeable potential to mitigate pollutants. Among the high microbial activity in the water and the subtropical climate conditions, the ditch vegetation contributed to natural attenuation of the selected pollutants.","author":[{"dropping-particle":"","family":"Moeder","given":"Monika","non-dropping-particle":"","parse-names":false,"suffix":""},{"dropping-particle":"","family":"Carranza-Diaz","given":"Otoniel","non-dropping-particle":"","parse-names":false,"suffix":""},{"dropping-particle":"","family":"López-Angulo","given":"Gabriela","non-dropping-particle":"","parse-names":false,"suffix":""},{"dropping-particle":"","family":"Vega-Aviña","given":"Rito","non-dropping-particle":"","parse-names":false,"suffix":""},{"dropping-particle":"","family":"Chávez-Durán","given":"Francisco Armando","non-dropping-particle":"","parse-names":false,"suffix":""},{"dropping-particle":"","family":"Jomaa","given":"Seifeddine","non-dropping-particle":"","parse-names":false,"suffix":""},{"dropping-particle":"","family":"Winkler","given":"Ursula","non-dropping-particle":"","parse-names":false,"suffix":""},{"dropping-particle":"","family":"Schrader","given":"Steffi","non-dropping-particle":"","parse-names":false,"suffix":""},{"dropping-particle":"","family":"Reemtsma","given":"Thorsten","non-dropping-particle":"","parse-names":false,"suffix":""},{"dropping-particle":"","family":"Delgado-Vargas","given":"Francisco","non-dropping-particle":"","parse-names":false,"suffix":""}],"container-title":"Science of the Total Environment","id":"ITEM-1","issued":{"date-parts":[["2017"]]},"page":"1106-1115","title":"Potential of vegetated ditches to manage organic pollutants derived from agricultural runoff and domestic sewage: A case study in Sinaloa (Mexico)","type":"article-journal","volume":"598"},"uris":["http://www.mendeley.com/documents/?uuid=6a9edcf7-002a-4711-bbc5-fc414262211b"]}],"mendeley":{"formattedCitation":"&lt;sup&gt;84&lt;/sup&gt;","plainTextFormattedCitation":"84","previouslyFormattedCitation":"&lt;sup&gt;84&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84</w:t>
            </w:r>
            <w:r w:rsidRPr="00E547AD">
              <w:rPr>
                <w:color w:val="0070C0"/>
                <w:sz w:val="22"/>
              </w:rPr>
              <w:fldChar w:fldCharType="end"/>
            </w:r>
          </w:p>
        </w:tc>
      </w:tr>
      <w:tr w:rsidR="005E13E8" w:rsidRPr="00E547AD" w14:paraId="4BA0BE9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FD69192" w14:textId="77777777" w:rsidR="005E13E8" w:rsidRPr="00E547AD" w:rsidRDefault="005E13E8" w:rsidP="002D64E5">
            <w:pPr>
              <w:rPr>
                <w:rFonts w:eastAsia="等线"/>
                <w:color w:val="000000"/>
                <w:sz w:val="22"/>
              </w:rPr>
            </w:pPr>
            <w:r w:rsidRPr="00E547AD">
              <w:rPr>
                <w:rFonts w:eastAsia="等线"/>
                <w:color w:val="000000"/>
                <w:sz w:val="22"/>
              </w:rPr>
              <w:t>Latin America</w:t>
            </w:r>
          </w:p>
        </w:tc>
        <w:tc>
          <w:tcPr>
            <w:tcW w:w="0" w:type="auto"/>
          </w:tcPr>
          <w:p w14:paraId="159B864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Colombia</w:t>
            </w:r>
          </w:p>
        </w:tc>
        <w:tc>
          <w:tcPr>
            <w:tcW w:w="0" w:type="auto"/>
          </w:tcPr>
          <w:p w14:paraId="0A7BFFF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2021</w:t>
            </w:r>
          </w:p>
        </w:tc>
        <w:tc>
          <w:tcPr>
            <w:tcW w:w="0" w:type="auto"/>
          </w:tcPr>
          <w:p w14:paraId="5218090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Colombia</w:t>
            </w:r>
          </w:p>
        </w:tc>
        <w:tc>
          <w:tcPr>
            <w:tcW w:w="0" w:type="auto"/>
          </w:tcPr>
          <w:p w14:paraId="7F1EA73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575</w:t>
            </w:r>
          </w:p>
          <w:p w14:paraId="5601846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(10-1830)</w:t>
            </w:r>
          </w:p>
        </w:tc>
        <w:tc>
          <w:tcPr>
            <w:tcW w:w="0" w:type="auto"/>
          </w:tcPr>
          <w:p w14:paraId="13414FD8" w14:textId="2BC8AD6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Salahshoor","given":"Zahra","non-dropping-particle":"","parse-names":false,"suffix":""},{"dropping-particle":"","family":"Ho","given":"Khanh-van","non-dropping-particle":"","parse-names":false,"suffix":""},{"dropping-particle":"","family":"Hsu","given":"Shu-yu","non-dropping-particle":"","parse-names":false,"suffix":""},{"dropping-particle":"","family":"Hossain","given":"Adel H","non-dropping-particle":"","parse-names":false,"suffix":""},{"dropping-particle":"","family":"Trauth","given":"Kathleen","non-dropping-particle":"","parse-names":false,"suffix":""},{"dropping-particle":"","family":"Lin","given":"Chung-ho","non-dropping-particle":"","parse-names":false,"suffix":""},{"dropping-particle":"","family":"Fidalgo","given":"Maria","non-dropping-particle":"","parse-names":false,"suffix":""}],"container-title":"molecules","id":"ITEM-1","issue":"16","issued":{"date-parts":[["2022"]]},"page":"5075","title":"Detection of Atrazine and Its Metabolites in Natural Water Samples Using Photonic Molecularly Imprinted Sensors","type":"article-journal","volume":"27"},"uris":["http://www.mendeley.com/documents/?uuid=903378ea-1780-4079-8a47-0efa8d1917fc"]}],"mendeley":{"formattedCitation":"&lt;sup&gt;85&lt;/sup&gt;","plainTextFormattedCitation":"85","previouslyFormattedCitation":"&lt;sup&gt;85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85</w:t>
            </w:r>
            <w:r w:rsidRPr="00E547AD">
              <w:rPr>
                <w:color w:val="0070C0"/>
                <w:sz w:val="22"/>
              </w:rPr>
              <w:fldChar w:fldCharType="end"/>
            </w:r>
          </w:p>
        </w:tc>
      </w:tr>
      <w:tr w:rsidR="002D64E5" w:rsidRPr="00E547AD" w14:paraId="5D89AB60"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BBF493"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75A2B02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Nigeria</w:t>
            </w:r>
          </w:p>
        </w:tc>
        <w:tc>
          <w:tcPr>
            <w:tcW w:w="0" w:type="auto"/>
          </w:tcPr>
          <w:p w14:paraId="7D4D831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2016</w:t>
            </w:r>
          </w:p>
        </w:tc>
        <w:tc>
          <w:tcPr>
            <w:tcW w:w="0" w:type="auto"/>
          </w:tcPr>
          <w:p w14:paraId="21AAF3F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Nigeria</w:t>
            </w:r>
          </w:p>
        </w:tc>
        <w:tc>
          <w:tcPr>
            <w:tcW w:w="0" w:type="auto"/>
          </w:tcPr>
          <w:p w14:paraId="365EA9F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9</w:t>
            </w:r>
          </w:p>
          <w:p w14:paraId="68AA608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(3-80)</w:t>
            </w:r>
          </w:p>
        </w:tc>
        <w:tc>
          <w:tcPr>
            <w:tcW w:w="0" w:type="auto"/>
          </w:tcPr>
          <w:p w14:paraId="6B4552E2" w14:textId="4ACEE38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{"citationItems":[{"id":"ITEM-1","itemData":{"DOI":"10.1016/j.toxrep.2022.06.012","ISSN":"22147500","abstract":"No recognised study has been conducted to monitor atrazine residue in drinking water from rural agricultural areas in Nigeria and its potential health implications. In this ecotoxicological study, we monitored atrazine residue in 69 hand-dug wells (HDW), 40 boreholes (BH) and 4 major streams from all the 6 communities (Ago-Iwoye, Ijebu-Igbo, Oru, Awa, Ilaporu and Mamu) in Ijebu North Local Government Area, Southwest Nigeria. Values of atrazine obtained were further used to evaluate the non-carcinogenic risk associated with ingestion and dermal contact in adults and children as well as neurotoxicity assessment. A total of 41 HDW, 22 BH and the 4 streams were tested positive for atrazine, which was higher in HDW than BH and stream. Ago-Iwoye recorded the highest concentration of 0.08 mg/L in its HDW while the lowest concentration of 0.01 mg/L was recorded in HDW from Oru. Hazard Index values associated with ingestion and dermal for children and adults were below the acceptable limit. Atrazine at 0.01, 0.03 and 0.04 mg/L concentrations appears to trigger defence mechanisms capable of protecting the structural integrity of the brain, but significant (p &lt; 0.05) alterations in the oxidative stress parameters, acetylcholinesterase activity, membrane-bound ATPase enzymes, neurotransmitters as well as mild degenerative changes were observed in the brain of rats exposed to atrazine at 0.08 mg/L. Atrazine at 0.01, 0.03 and 0.04 mg/L concentrations found in drinking water from Ijebu-North may not pose any threat to brain function, but concern should be raised at 0.08 mg/L.","author":[{"dropping-particle":"","family":"Owagboriaye","given":"Folarin","non-dropping-particle":"","parse-names":false,"suffix":""},{"dropping-particle":"","family":"Oladunjoye","given":"Rasheed","non-dropping-particle":"","parse-names":false,"suffix":""},{"dropping-particle":"","family":"Aina","given":"Sulaimon","non-dropping-particle":"","parse-names":false,"suffix":""},{"dropping-particle":"","family":"Adekunle","given":"Oladunni","non-dropping-particle":"","parse-names":false,"suffix":""},{"dropping-particle":"","family":"Salisu","given":"Titilola","non-dropping-particle":"","parse-names":false,"suffix":""},{"dropping-particle":"","family":"Adenekan","given":"Adedamola","non-dropping-particle":"","parse-names":false,"suffix":""},{"dropping-particle":"","family":"Abesin","given":"Oyindamola","non-dropping-particle":"","parse-names":false,"suffix":""},{"dropping-particle":"","family":"Oguntubo","given":"Jesulayomi","non-dropping-particle":"","parse-names":false,"suffix":""},{"dropping-particle":"","family":"Fafioye","given":"Oyebamiji","non-dropping-particle":"","parse-names":false,"suffix":""},{"dropping-particle":"","family":"Dedeke","given":"Gabriel","non-dropping-particle":"","parse-names":false,"suffix":""},{"dropping-particle":"","family":"Lawal","given":"Olusegun","non-dropping-particle":"","parse-names":false,"suffix":""}],"container-title":"Toxicology Reports","id":"ITEM-1","issue":"May","issued":{"date-parts":[["2022"]]},"page":"1347-1356","publisher":"Elsevier B.V.","title":"Outcome of the first survey of atrazine in drinking water from Ijebu-North, South-West, Nigeria: Human health risk and neurotoxicological implications","type":"article-journal","volume":"9"},"uris":["http://www.mendeley.com/documents/?uuid=3f54481e-a645-46fd-9120-2c56544e2d0c"]}],"mendeley":{"formattedCitation":"&lt;sup&gt;86&lt;/sup&gt;","plainTextFormattedCitation":"86","previouslyFormattedCitation":"&lt;sup&gt;86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86</w:t>
            </w:r>
            <w:r w:rsidRPr="00E547AD">
              <w:rPr>
                <w:color w:val="0070C0"/>
                <w:sz w:val="22"/>
              </w:rPr>
              <w:fldChar w:fldCharType="end"/>
            </w:r>
          </w:p>
        </w:tc>
      </w:tr>
      <w:tr w:rsidR="005E13E8" w:rsidRPr="00E547AD" w14:paraId="31E4A53B"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58064B6"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29A43DA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Cameroon</w:t>
            </w:r>
          </w:p>
        </w:tc>
        <w:tc>
          <w:tcPr>
            <w:tcW w:w="0" w:type="auto"/>
          </w:tcPr>
          <w:p w14:paraId="1CDD4D7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70F0968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Cameroon</w:t>
            </w:r>
          </w:p>
        </w:tc>
        <w:tc>
          <w:tcPr>
            <w:tcW w:w="0" w:type="auto"/>
          </w:tcPr>
          <w:p w14:paraId="58CAC46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23</w:t>
            </w:r>
          </w:p>
          <w:p w14:paraId="75DC9E44"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(20-27)</w:t>
            </w:r>
          </w:p>
        </w:tc>
        <w:tc>
          <w:tcPr>
            <w:tcW w:w="0" w:type="auto"/>
          </w:tcPr>
          <w:p w14:paraId="2BB09F86" w14:textId="5F02BC2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{"citationItems":[{"id":"ITEM-1","itemData":{"DOI":"10.1007/s11356-018-1798-4","ISSN":"16147499","PMID":"29671229","abstract":"Urban agriculture is crucial to local populations, but the risk of it contaminating water has rarely been documented. The aim of this study was to assess pesticide contamination of surface waters from the Méfou watershed (Yaoundé, Cameroon) by 32 selected herbicides, fungicides, and insecticides (mainly polar) according to their local application, using both grab sampling and polar organic compounds integrative samplers (POCIS). Three sampling campaigns were conducted in the March/April and October/November 2015 and June/July 2016 rainy seasons in urban and peri-urban areas. The majority of the targeted compounds were detected. The quantification frequencies of eight pesticides were more than 20% with both POCIS and grab sampling, and that of diuron and atrazine reached 100%. Spatial differences in contamination were evidenced with higher contamination in urban than peri-urban rivers. In particular, diuron was identified as an urban contaminant of concern because its concentrations frequently exceeded the European water quality guideline of 0.200 μg/L in freshwater and may thus represent an ecological risk due to a risk quotient &gt; 1 for algae observed in 94% of grab samples. This study raises concerns about the impacts of urban agriculture on the quality of water resources and to a larger extent on the health of the inhabitants of cities in developing countries. [Figure not available: see fulltext.].","author":[{"dropping-particle":"","family":"Branchet","given":"Perrine","non-dropping-particle":"","parse-names":false,"suffix":""},{"dropping-particle":"","family":"Cadot","given":"Emmanuelle","non-dropping-particle":"","parse-names":false,"suffix":""},{"dropping-particle":"","family":"Fenet","given":"Hélène","non-dropping-particle":"","parse-names":false,"suffix":""},{"dropping-particle":"","family":"Sebag","given":"David","non-dropping-particle":"","parse-names":false,"suffix":""},{"dropping-particle":"","family":"Ngatcha","given":"Benjamin Ngounou","non-dropping-particle":"","parse-names":false,"suffix":""},{"dropping-particle":"","family":"Borrell-Estupina","given":"Valérie","non-dropping-particle":"","parse-names":false,"suffix":""},{"dropping-particle":"","family":"Ngoupayou","given":"Jules Remy Ndam","non-dropping-particle":"","parse-names":false,"suffix":""},{"dropping-particle":"","family":"Kengne","given":"Ives","non-dropping-particle":"","parse-names":false,"suffix":""},{"dropping-particle":"","family":"Braun","given":"Jean Jacques","non-dropping-particle":"","parse-names":false,"suffix":""},{"dropping-particle":"","family":"Gonzalez","given":"Catherine","non-dropping-particle":"","parse-names":false,"suffix":""}],"container-title":"Environmental Science and Pollution Research","id":"ITEM-1","issue":"18","issued":{"date-parts":[["2018"]]},"page":"17690-17715","publisher":"Environmental Science and Pollution Research","title":"Polar pesticide contamination of an urban and peri-urban tropical watershed affected by agricultural activities (Yaoundé, Center Region, Cameroon)","type":"article-journal","volume":"25"},"uris":["http://www.mendeley.com/documents/?uuid=bf88d44e-bcd2-462c-a399-b98713864a7f"]}],"mendeley":{"formattedCitation":"&lt;sup&gt;87&lt;/sup&gt;","plainTextFormattedCitation":"87","previouslyFormattedCitation":"&lt;sup&gt;87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87</w:t>
            </w:r>
            <w:r w:rsidRPr="00E547AD">
              <w:rPr>
                <w:color w:val="0070C0"/>
                <w:sz w:val="22"/>
              </w:rPr>
              <w:fldChar w:fldCharType="end"/>
            </w:r>
          </w:p>
        </w:tc>
      </w:tr>
      <w:tr w:rsidR="002D64E5" w:rsidRPr="00E547AD" w14:paraId="7B606A39"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A3A233"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3F92493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South Africa</w:t>
            </w:r>
          </w:p>
        </w:tc>
        <w:tc>
          <w:tcPr>
            <w:tcW w:w="0" w:type="auto"/>
          </w:tcPr>
          <w:p w14:paraId="6A1039F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1991</w:t>
            </w:r>
          </w:p>
        </w:tc>
        <w:tc>
          <w:tcPr>
            <w:tcW w:w="0" w:type="auto"/>
          </w:tcPr>
          <w:p w14:paraId="0B8BC6C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Eastern Transvaal</w:t>
            </w:r>
          </w:p>
        </w:tc>
        <w:tc>
          <w:tcPr>
            <w:tcW w:w="0" w:type="auto"/>
          </w:tcPr>
          <w:p w14:paraId="0C551C7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1370</w:t>
            </w:r>
          </w:p>
          <w:p w14:paraId="383254E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(730-15000)</w:t>
            </w:r>
          </w:p>
        </w:tc>
        <w:tc>
          <w:tcPr>
            <w:tcW w:w="0" w:type="auto"/>
          </w:tcPr>
          <w:p w14:paraId="7DF000EC" w14:textId="7D00792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{"citationItems":[{"id":"ITEM-1","itemData":{"DOI":"10.1016/0045-6535(92)90550-B","ISSN":"00456535","abstract":"Monitoring of atrazine in surface and groundwater in extensive maize production areas of the Transvaal Province of the Republic of South Africa, was done from September 1991 to February 1992. In about 20 percent of both surface and groundwater samples atrazine residues were detected and the identity of the pesticide confirmed using ion trap detection. © 1992.","author":[{"dropping-particle":"","family":"Pick","given":"Frans E.","non-dropping-particle":"","parse-names":false,"suffix":""},{"dropping-particle":"","family":"Dyk","given":"Louis P.","non-dropping-particle":"van","parse-names":false,"suffix":""},{"dropping-particle":"","family":"Botha","given":"Estelle","non-dropping-particle":"","parse-names":false,"suffix":""}],"container-title":"Chemosphere","id":"ITEM-1","issue":"3","issued":{"date-parts":[["1992"]]},"page":"335-341","title":"Atrazine in ground and surface water in maize production areas of the Transvaal, South Africa","type":"article-journal","volume":"25"},"uris":["http://www.mendeley.com/documents/?uuid=93bb8037-9866-4626-ad4d-3d965eb132da"]}],"mendeley":{"formattedCitation":"&lt;sup&gt;88&lt;/sup&gt;","plainTextFormattedCitation":"88","previouslyFormattedCitation":"&lt;sup&gt;88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88</w:t>
            </w:r>
            <w:r w:rsidRPr="00E547AD">
              <w:rPr>
                <w:color w:val="0070C0"/>
                <w:sz w:val="22"/>
              </w:rPr>
              <w:fldChar w:fldCharType="end"/>
            </w:r>
          </w:p>
        </w:tc>
      </w:tr>
      <w:tr w:rsidR="005E13E8" w:rsidRPr="00E547AD" w14:paraId="6EFFFC48"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CD7FCBA"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4507345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South Africa</w:t>
            </w:r>
          </w:p>
        </w:tc>
        <w:tc>
          <w:tcPr>
            <w:tcW w:w="0" w:type="auto"/>
          </w:tcPr>
          <w:p w14:paraId="406F3C4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2020</w:t>
            </w:r>
          </w:p>
        </w:tc>
        <w:tc>
          <w:tcPr>
            <w:tcW w:w="0" w:type="auto"/>
          </w:tcPr>
          <w:p w14:paraId="0669423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Camps Bay</w:t>
            </w:r>
          </w:p>
        </w:tc>
        <w:tc>
          <w:tcPr>
            <w:tcW w:w="0" w:type="auto"/>
          </w:tcPr>
          <w:p w14:paraId="0F1F306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w:t>
            </w:r>
          </w:p>
          <w:p w14:paraId="3A91684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(0.8-4.2)</w:t>
            </w:r>
          </w:p>
        </w:tc>
        <w:tc>
          <w:tcPr>
            <w:tcW w:w="0" w:type="auto"/>
          </w:tcPr>
          <w:p w14:paraId="775ABC8A" w14:textId="20ECA13C"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{"citationItems":[{"id":"ITEM-1","itemData":{"DOI":"10.1016/j.scitotenv.2021.146057","ISSN":"18791026","PMID":"33714098","abstract":"During 2017 the herbicides alachlor, atrazine, butachlor, metolachlor, and simazine were detected in water samples, beach sediments and marine biota collected at Camps Bay, Cape Town, South Africa. During that period, the annual rain catchment record was 77,000 m3, whereas the volume of chemically laden sewage discharged via the marine outfall was 693,500 m3 making the marine sewage outfall by far the most predominant source for these herbicides in the bay. The chemical load in the discharged sewage was not removed by the applied pre-treatment step, which only uses a 3 mm screen to eliminate plastic, paper</w:instrText>
            </w:r>
            <w:r w:rsidR="00694227">
              <w:rPr>
                <w:rFonts w:hint="eastAsia"/>
                <w:color w:val="0070C0"/>
                <w:sz w:val="22"/>
              </w:rPr>
              <w:instrText>, rags and other foreign materials. After passing through the Camps Bay pump station, the sewage is released to the bay at the following GPS position 33</w:instrText>
            </w:r>
            <w:r w:rsidR="00694227">
              <w:rPr>
                <w:rFonts w:hint="eastAsia"/>
                <w:color w:val="0070C0"/>
                <w:sz w:val="22"/>
              </w:rPr>
              <w:instrText>°</w:instrText>
            </w:r>
            <w:r w:rsidR="00694227">
              <w:rPr>
                <w:rFonts w:hint="eastAsia"/>
                <w:color w:val="0070C0"/>
                <w:sz w:val="22"/>
              </w:rPr>
              <w:instrText>56</w:instrText>
            </w:r>
            <w:r w:rsidR="00694227">
              <w:rPr>
                <w:rFonts w:hint="eastAsia"/>
                <w:color w:val="0070C0"/>
                <w:sz w:val="22"/>
              </w:rPr>
              <w:instrText>′</w:instrText>
            </w:r>
            <w:r w:rsidR="00694227">
              <w:rPr>
                <w:rFonts w:hint="eastAsia"/>
                <w:color w:val="0070C0"/>
                <w:sz w:val="22"/>
              </w:rPr>
              <w:instrText>42.214</w:instrText>
            </w:r>
            <w:r w:rsidR="00694227">
              <w:rPr>
                <w:rFonts w:hint="eastAsia"/>
                <w:color w:val="0070C0"/>
                <w:sz w:val="22"/>
              </w:rPr>
              <w:instrText>″</w:instrText>
            </w:r>
            <w:r w:rsidR="00694227">
              <w:rPr>
                <w:rFonts w:hint="eastAsia"/>
                <w:color w:val="0070C0"/>
                <w:sz w:val="22"/>
              </w:rPr>
              <w:instrText xml:space="preserve"> S 18</w:instrText>
            </w:r>
            <w:r w:rsidR="00694227">
              <w:rPr>
                <w:rFonts w:hint="eastAsia"/>
                <w:color w:val="0070C0"/>
                <w:sz w:val="22"/>
              </w:rPr>
              <w:instrText>°</w:instrText>
            </w:r>
            <w:r w:rsidR="00694227">
              <w:rPr>
                <w:rFonts w:hint="eastAsia"/>
                <w:color w:val="0070C0"/>
                <w:sz w:val="22"/>
              </w:rPr>
              <w:instrText>21</w:instrText>
            </w:r>
            <w:r w:rsidR="00694227">
              <w:rPr>
                <w:rFonts w:hint="eastAsia"/>
                <w:color w:val="0070C0"/>
                <w:sz w:val="22"/>
              </w:rPr>
              <w:instrText>′</w:instrText>
            </w:r>
            <w:r w:rsidR="00694227">
              <w:rPr>
                <w:rFonts w:hint="eastAsia"/>
                <w:color w:val="0070C0"/>
                <w:sz w:val="22"/>
              </w:rPr>
              <w:instrText>59.257</w:instrText>
            </w:r>
            <w:r w:rsidR="00694227">
              <w:rPr>
                <w:rFonts w:hint="eastAsia"/>
                <w:color w:val="0070C0"/>
                <w:sz w:val="22"/>
              </w:rPr>
              <w:instrText>″</w:instrText>
            </w:r>
            <w:r w:rsidR="00694227">
              <w:rPr>
                <w:rFonts w:hint="eastAsia"/>
                <w:color w:val="0070C0"/>
                <w:sz w:val="22"/>
              </w:rPr>
              <w:instrText xml:space="preserve"> E (Colenbrander et al., 2021) and at a discharge depth of 23 m and 1497 m f</w:instrText>
            </w:r>
            <w:r w:rsidR="00694227">
              <w:rPr>
                <w:color w:val="0070C0"/>
                <w:sz w:val="22"/>
              </w:rPr>
              <w:instrText>rom the beach. In our study the presence in marine biota of atrazine and simazine were taken as being indicative of the chemical signature of the sewage being released through the outfall, since these compounds were detected previously in the sewage prior to discharge. To our knowledge, our studies of the herbicides in diverse benthic organisms found in the near shore environment of Camps Bay are the first of their kind for this Western Cape region.","author":[{"dropping-particle":"","family":"Ojemaye","given":"Cecilia Y.","non-dropping-particle":"","parse-names":false,"suffix":""},{"dropping-particle":"","family":"Onwordi","given":"Chionyedua T.","non-dropping-particle":"","parse-names":false,"suffix":""},{"dropping-particle":"","family":"Pampanin","given":"Daniela M.","non-dropping-particle":"","parse-names":false,"suffix":""},{"dropping-particle":"","family":"Sydnes","given":"Magne O.","non-dropping-particle":"","parse-names":false,"suffix":""},{"dropping-particle":"","family":"Petrik","given":"Leslie","non-dropping-particle":"","parse-names":false,"suffix":""}],"container-title":"Science of the Total Environment","id":"ITEM-1","issued":{"date-parts":[["2021"]]},"page":"146057","publisher":"Elsevier B.V.","title":"Herbicides in Camps Bay (Cape Town, South Africa), supplemented","type":"article-journal","volume":"778"},"uris":["http://www.mendeley.com/documents/?uuid=e7eecec7-b07c-4993-8ab6-1ac6944cd182"]}],"mendeley":{"formattedCitation":"&lt;sup&gt;89&lt;/sup&gt;","plainTextFormattedCitation":"89","previouslyFormattedCitation":"&lt;sup&gt;89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89</w:t>
            </w:r>
            <w:r w:rsidRPr="00E547AD">
              <w:rPr>
                <w:color w:val="0070C0"/>
                <w:sz w:val="22"/>
              </w:rPr>
              <w:fldChar w:fldCharType="end"/>
            </w:r>
          </w:p>
        </w:tc>
      </w:tr>
      <w:tr w:rsidR="002D64E5" w:rsidRPr="00E547AD" w14:paraId="32258AF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7E43A0"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1FF5398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Egypt</w:t>
            </w:r>
          </w:p>
        </w:tc>
        <w:tc>
          <w:tcPr>
            <w:tcW w:w="0" w:type="auto"/>
          </w:tcPr>
          <w:p w14:paraId="1DABBE6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2018</w:t>
            </w:r>
          </w:p>
        </w:tc>
        <w:tc>
          <w:tcPr>
            <w:tcW w:w="0" w:type="auto"/>
          </w:tcPr>
          <w:p w14:paraId="60B3C27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Egypt</w:t>
            </w:r>
          </w:p>
        </w:tc>
        <w:tc>
          <w:tcPr>
            <w:tcW w:w="0" w:type="auto"/>
          </w:tcPr>
          <w:p w14:paraId="6B383BA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55</w:t>
            </w:r>
          </w:p>
          <w:p w14:paraId="6755492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(50-60)</w:t>
            </w:r>
          </w:p>
        </w:tc>
        <w:tc>
          <w:tcPr>
            <w:tcW w:w="0" w:type="auto"/>
          </w:tcPr>
          <w:p w14:paraId="4DE3AB0A" w14:textId="66E4C6E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{"citationItems":[{"id":"ITEM-1","itemData":{"DOI":"10.1007/s11356-021-14911-5","ISSN":"16147499","PMID":"34138427","abstract":"In Egypt, the shortage of freshwater resources and their pollution constitutes a growing concern. Therefore, the objectives of this study were to (i) monitor the occurrence and spatiotemporal variations of 100 pesticides in surface water samples collected monthly (from July 2018 to June 2019) from El-Rahawy, Sabal, and Tala sampling sites along the Rosetta branch of the River Nile in Egypt, (ii) identify potential non-carcinogenic health risks for the local people through the lifetime consumption of contaminated drinking water, and (iii) perform an ecological risk assessment of aquatic organisms upon exposure to pesticides detected in surface waters based on the risk quotients (RQs) method. Of the 100 pesticides analyzed, 22 belonging to 11 chemical families were detected, and 75.5% of surface water samples were contaminated with one or more pesticide residues. The most frequently detected pesticide was malathion (57%), followed by chlorpyrifos (54%), atrazine (23%), and carbendazim (20%). Spatial distribution showed that the El-Rahawy site had the highest pesticide load (38.47 μg/L), and Sabal had the lowest (16.29 μg/L). Temporal variations revealed that the highest total pesticide concentrations were detected in summer (27.98 μg/L) compared to spring (23.16 μg/L), winter (19.18 μg/L), and autumn (11.85 μg/L). For non-carcinogenic risks of pesticides detected in surface water, the target hazard quotient (THQ) values were less than one. This implies that there is no potential human risk from exposure to drinking water at the sites under study. However, 13 pesticides presented high-risk quotients (RQ &gt; 1), posing potential ecological risks to aquatic organisms.","author":[{"dropping-particle":"","family":"Eissa","given":"Fawzy","non-dropping-particle":"","parse-names":false,"suffix":""},{"dropping-particle":"","family":"Al-Sisi","given":"Mahmoud","non-dropping-particle":"","parse-names":false,"suffix":""},{"dropping-particle":"","family":"Ghanem","given":"Khaled","non-dropping-particle":"","parse-names":false,"suffix":""}],"container-title":"Environmental Science and Pollution Research","id":"ITEM-1","issue":"3</w:instrText>
            </w:r>
            <w:r w:rsidR="00694227">
              <w:rPr>
                <w:rFonts w:hint="eastAsia"/>
                <w:color w:val="0070C0"/>
                <w:sz w:val="22"/>
              </w:rPr>
              <w:instrText>9","issued":{"date-parts":[["2021"]]},"note":"</w:instrText>
            </w:r>
            <w:r w:rsidR="00694227">
              <w:rPr>
                <w:rFonts w:hint="eastAsia"/>
                <w:color w:val="0070C0"/>
                <w:sz w:val="22"/>
              </w:rPr>
              <w:instrText>尼罗河——上游阿特拉津浓度高于下游阿特拉津浓度</w:instrText>
            </w:r>
            <w:r w:rsidR="00694227">
              <w:rPr>
                <w:rFonts w:hint="eastAsia"/>
                <w:color w:val="0070C0"/>
                <w:sz w:val="22"/>
              </w:rPr>
              <w:instrText xml:space="preserve">","page":"55511-55525","publisher":"Environmental Science and Pollution Research","title":"Occurrence, human health, and ecotoxicological risk assessment of pesticides in surface waters </w:instrText>
            </w:r>
            <w:r w:rsidR="00694227">
              <w:rPr>
                <w:color w:val="0070C0"/>
                <w:sz w:val="22"/>
              </w:rPr>
              <w:instrText>of the River Nile’s Rosetta Branch, Egypt","type":"article-journal","volume":"28"},"uris":["http://www.mendeley.com/documents/?uuid=c782aba4-61b4-4243-bbf9-c3fd623b517e"]}],"mendeley":{"formattedCitation":"&lt;sup&gt;90&lt;/sup&gt;","plainTextFormattedCitation":"90","previouslyFormattedCitation":"&lt;sup&gt;90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90</w:t>
            </w:r>
            <w:r w:rsidRPr="00E547AD">
              <w:rPr>
                <w:color w:val="0070C0"/>
                <w:sz w:val="22"/>
              </w:rPr>
              <w:fldChar w:fldCharType="end"/>
            </w:r>
          </w:p>
        </w:tc>
      </w:tr>
      <w:tr w:rsidR="005E13E8" w:rsidRPr="00E547AD" w14:paraId="1FF4589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5518BAF"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0468A3E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eSwatini</w:t>
            </w:r>
            <w:proofErr w:type="spellEnd"/>
          </w:p>
        </w:tc>
        <w:tc>
          <w:tcPr>
            <w:tcW w:w="0" w:type="auto"/>
          </w:tcPr>
          <w:p w14:paraId="3D63800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2018</w:t>
            </w:r>
          </w:p>
        </w:tc>
        <w:tc>
          <w:tcPr>
            <w:tcW w:w="0" w:type="auto"/>
          </w:tcPr>
          <w:p w14:paraId="2D3424A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eSwatini</w:t>
            </w:r>
            <w:proofErr w:type="spellEnd"/>
          </w:p>
        </w:tc>
        <w:tc>
          <w:tcPr>
            <w:tcW w:w="0" w:type="auto"/>
          </w:tcPr>
          <w:p w14:paraId="446DE6E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22</w:t>
            </w:r>
          </w:p>
          <w:p w14:paraId="4740823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(0.1-636)</w:t>
            </w:r>
          </w:p>
        </w:tc>
        <w:tc>
          <w:tcPr>
            <w:tcW w:w="0" w:type="auto"/>
          </w:tcPr>
          <w:p w14:paraId="10D03E57" w14:textId="0865606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{"citationItems":[{"id":"ITEM-1","itemData":{"DOI":"10.1002/ps.6459","ISSN":"15264998","PMID":"33942970","abstract":"BACKGROUND: Serious concerns surround the potential risks resulting from inhalation exposure to pesticides amongst agricultural workers when mixing and applying these compounds. In Eswatini (formerly known as Swaziland), Southern Africa, pesticides are widely used to improve the yield and quality of sugar cane production, the largest contributor to the country's economy. We assessed applicators' inhalation exposures from multiple spraying sources to four commonly used herbicides in Eswatini. RESULTS: Analysis of 76 personal air samples by liquid chromatography with tandem mass spectrometry (LC–MS/MS) revealed four pesticides: ametryn, atrazine, pendimethalin and 2,4-dichlorophenoxyacetic acid, with mean concentrations of 36.91, 21.57, 31.05 and 0.89 μg m–3, respectively. These inhalation exposures are much higher than those recorded in previous similar studies. CONCLUSION: Although all applicators in this study used personal protective equipment (PPE), they nevertheless recorded high levels of inhalation exposure to commonly used pesticides. Our findings suggest that in addition to observing mandated regular changing and cleaning practices with PPE for ultimate personal protection, pesticide applicators should distance themselves from each other when spraying to effectively reduce their exposure to pesticides from multiple spraying sources. Further studies are needed to determine the optimal spraying distance between pesticide applicators. © 2021 Society of Chemical Industry.","author":[{"dropping-particle":"","family":"Msibi","given":"Sithembiso S.","non-dropping-particle":"","parse-names":false,"suffix":""},{"dropping-particle":"","family":"Chen","given":"Chung Yu","non-dropping-particle":"","parse-names":false,"suffix":""},{"dropping-particle":"","family":"Chang","given":"Cheng Ping","non-dropping-particle":"","parse-names":false,"suffix":""},{"dropping-particle":"","family":"Chen","given":"Chiou Jong","non-dropping-particle":"","parse-names":false,"suffix":""},{"dropping-particle":"","family":"Chiang","given":"Su Yin","non-dropping-particle":"","parse-names":false,"suffix":""},{"dropping-particle":"","family":"Wu","given":"Kuen Yuh","non-dropping-particle":"","parse-names":false,"suffix":""}],"container-title":"Pest Management Science","id":"ITEM-1","issue":"10","issued":{"date-parts":[["2021"]]},"page":"4303-4312","title":"High pesticide inhalation exposure from multiple spraying sources amongst applicators in Eswatini, Southern Africa","type":"article-journal","volume":"77"},"uris":["http://www.mendeley.com/documents/?uuid=87a6b3c5-1717-42cf-96a9-bb3fea58c2f9"]}],"mendeley":{"formattedCitation":"&lt;sup&gt;91&lt;/sup&gt;","plainTextFormattedCitation":"91","previouslyFormattedCitation":"&lt;sup&gt;91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91</w:t>
            </w:r>
            <w:r w:rsidRPr="00E547AD">
              <w:rPr>
                <w:color w:val="0070C0"/>
                <w:sz w:val="22"/>
              </w:rPr>
              <w:fldChar w:fldCharType="end"/>
            </w:r>
          </w:p>
        </w:tc>
      </w:tr>
      <w:tr w:rsidR="002D64E5" w:rsidRPr="00E547AD" w14:paraId="4CB54C9C"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F7492E"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58BF6FF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South Africa</w:t>
            </w:r>
          </w:p>
        </w:tc>
        <w:tc>
          <w:tcPr>
            <w:tcW w:w="0" w:type="auto"/>
          </w:tcPr>
          <w:p w14:paraId="4337DD3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2019</w:t>
            </w:r>
          </w:p>
        </w:tc>
        <w:tc>
          <w:tcPr>
            <w:tcW w:w="0" w:type="auto"/>
          </w:tcPr>
          <w:p w14:paraId="512DF8B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South Africa</w:t>
            </w:r>
          </w:p>
        </w:tc>
        <w:tc>
          <w:tcPr>
            <w:tcW w:w="0" w:type="auto"/>
          </w:tcPr>
          <w:p w14:paraId="6BAC7D9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161</w:t>
            </w:r>
          </w:p>
          <w:p w14:paraId="535B11A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(10-812)</w:t>
            </w:r>
          </w:p>
        </w:tc>
        <w:tc>
          <w:tcPr>
            <w:tcW w:w="0" w:type="auto"/>
          </w:tcPr>
          <w:p w14:paraId="67C0060F" w14:textId="5CA7A38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{"citationItems":[{"id":"ITEM-1","itemData":{"DOI":"10.1007/s11356-020-08082-y","ISBN":"1135602008082","ISSN":"16147499","PMID":"32152855","abstract":"Endocrine-disrupting compounds are attracting attention worldwide because of their effects on living things in the environment. Ten endocrine disrupting compounds: 4-nonylphenol, 2,4-dichlorophenol, estrone, 17β-estradiol, bisphenol A, 4-tert-octylphenol, triclosan, atrazine, imidazole and 1,2,4-triazole were investigated in four rivers and wastewater treatment plants in this study. Rivers were sampled at upstream, midstream and downstream reaches, while the influent and effluent samples of wastewater were collected from treatment plants near the receiving rivers. Sample waters were freeze-dried followed by extraction of the organic content and purification by solid-phase extraction. Concentrations of the compounds in the samples were determined with ultra-high performance liquid chromatography-tandem mass spectrometry. The instrument was operated in the positive electrospray ionization (ESI) mode. The results showed that these compounds are present in the samples with nonylphenol &gt; dichlorophenol &gt; bisphenol A &gt; triclosan &gt; octylphenol &gt; imidazole &gt; atrazine &gt; triazole &gt; estrone &gt; estradiol. Nonylphenol has its highest concentration of 6.72 μg/L in King Williams Town wastewater influent and 2.55 μg/L in midstream Bloukrans River. Dichlorophenol has its highest concentration in Alice wastewater influent with 2.20 μg/L, while it was 0.737 </w:instrText>
            </w:r>
            <w:r w:rsidR="00694227">
              <w:rPr>
                <w:rFonts w:hint="eastAsia"/>
                <w:color w:val="0070C0"/>
                <w:sz w:val="22"/>
              </w:rPr>
              <w:instrText>μ</w:instrText>
            </w:r>
            <w:r w:rsidR="00694227">
              <w:rPr>
                <w:color w:val="0070C0"/>
                <w:sz w:val="22"/>
              </w:rPr>
              <w:instrText>g/L in midstream Bloukrans River. Uitenhage wastewater effluent has bisphenol A concentration of 1.684 μg/L while it was 0.477 μg/L in the downstream samples of the Bloukrans River. Generally, the upstream samples of the rivers had lesser concentrations of the compounds. The wastewater treatment plants were not able to achieve total removal of the compounds in the wastewater while runoffs and wastes dump from the cities contributed to the concentrations of the compounds in the rivers.","author":[{"dropping-particle":"","family":"Farounbi","given":"Adebayo I.","non-dropping-particle":"","parse-names":false,"suffix":""},{"dropping-particle":"","family":"Ngqwala","given":"Nosiphiwe P.","non-dropping-particle":"","parse-names":false,"suffix":""}],"container-title":"Environmental Science and Pollution Research","id":"ITEM-1","issue":"14","issued":{"date-parts":[["2020"]]},"page":"17268-17279","publisher":"Environmental Science and Pollution Research","title":"Occurrence of selected endocrine disrupting compounds in the eastern cape province of South Africa","type":"article-journal","volume":"27"},"uris":["http://www.mendeley.com/documents/?uuid=117ef236-228e-4bf7-9e70-356d5524871b"]}],"mendeley":{"formattedCitation":"&lt;sup&gt;92&lt;/sup&gt;","plainTextFormattedCitation":"92","previouslyFormattedCitation":"&lt;sup&gt;92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92</w:t>
            </w:r>
            <w:r w:rsidRPr="00E547AD">
              <w:rPr>
                <w:color w:val="0070C0"/>
                <w:sz w:val="22"/>
              </w:rPr>
              <w:fldChar w:fldCharType="end"/>
            </w:r>
          </w:p>
        </w:tc>
      </w:tr>
      <w:tr w:rsidR="005E13E8" w:rsidRPr="00E547AD" w14:paraId="20B0C59D"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248CA5F"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1D88863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Sudan</w:t>
            </w:r>
          </w:p>
        </w:tc>
        <w:tc>
          <w:tcPr>
            <w:tcW w:w="0" w:type="auto"/>
          </w:tcPr>
          <w:p w14:paraId="1991AE7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2017</w:t>
            </w:r>
          </w:p>
        </w:tc>
        <w:tc>
          <w:tcPr>
            <w:tcW w:w="0" w:type="auto"/>
          </w:tcPr>
          <w:p w14:paraId="04DE035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Sudan</w:t>
            </w:r>
          </w:p>
        </w:tc>
        <w:tc>
          <w:tcPr>
            <w:tcW w:w="0" w:type="auto"/>
          </w:tcPr>
          <w:p w14:paraId="5431DAD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39</w:t>
            </w:r>
          </w:p>
          <w:p w14:paraId="17A6697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(5-134)</w:t>
            </w:r>
          </w:p>
        </w:tc>
        <w:tc>
          <w:tcPr>
            <w:tcW w:w="0" w:type="auto"/>
          </w:tcPr>
          <w:p w14:paraId="6627D204" w14:textId="4CD4ECFB"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{"citationItems":[{"id":"ITEM-1","itemData":{"DOI":"10.5696/2156-9614-10.25.200304","ISSN":"21569614","abstract":"Background. Eggplant is a popular food item in Sudan, however pesticides are heavily used. Objective. To investigate the presence of pesticide residues in fresh eggplants in Khartoum State, Sudan. Methods. Eggplant fruit samples from three different regions in Khartoum State (central vegetable market, east Nile farms, and west Nile farms) were analyzed for residues of commonly used pesticides. Pesticide residues were analyzed by gas chromatography coupled with mass spectrometry and results were expressed in μg/kg fruit. Results. Out of the 11 active ingredients analyzed, residues were identified for four pesticides (imidacloprid, dimethoate, endosulfan (α and β isomers) and 2, 4-D). Levels of omethoate, diazinon, malathion, chlorpyrifos, atrazine, and pendimethalin were below the detection limits. Conclusions. Residues of four insecticides out of the 11 analyzed (imidacloprid, dimethoate, endosulfan (α, β isomers), and 2, 4-D) were detected in the current study. The health implications of these violative levels should be regularly observed along with strict enforcement of laws and regulations coupled with agricultural extension interventions. Competing Interests. The authors declare no competing financial interests.","author":[{"dropping-particle":"","family":"Abdelbagi","given":"Azhari Omer","non-dropping-particle":"","parse-names":false,"suffix":""},{"dropping-particle":"","family":"Ismail","given":"Rihab Eltahir Abdalla","non-dropping-particle":"","parse-names":false,"suffix":""},{"dropping-particle":"","family":"Ishag","given":"Abd Elaziz Sulieman Ahmed","non-dropping-particle":"","parse-names":false,"suffix":""},{"dropping-particle":"","family":"Hammad","given":"Ahmed Mohammed Ali","non-dropping-particle":"","parse-names":false,"suffix":""}],"container-title":"Journal of Health and Pollution","id":"ITEM-1","issue":"25","issued":{"date-parts":[["2020"]]},"page":"1-11","title":"Pesticide residues in eggplant fruit from Khartoum State, Sudan","type":"article-journal","volume":"10"},"uris":["http://www.mendeley.com/documents/?uuid=5132871b-8d6f-4e90-8b97-ce1cca8e02ac"]}],"mendeley":{"formattedCitation":"&lt;sup&gt;93&lt;/sup&gt;","plainTextFormattedCitation":"93","previouslyFormattedCitation":"&lt;sup&gt;93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93</w:t>
            </w:r>
            <w:r w:rsidRPr="00E547AD">
              <w:rPr>
                <w:color w:val="0070C0"/>
                <w:sz w:val="22"/>
              </w:rPr>
              <w:fldChar w:fldCharType="end"/>
            </w:r>
          </w:p>
        </w:tc>
      </w:tr>
      <w:tr w:rsidR="002D64E5" w:rsidRPr="00E547AD" w14:paraId="4A72243A"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99C990"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7ED6759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Zimbabwe</w:t>
            </w:r>
          </w:p>
        </w:tc>
        <w:tc>
          <w:tcPr>
            <w:tcW w:w="0" w:type="auto"/>
          </w:tcPr>
          <w:p w14:paraId="046B4C9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2019</w:t>
            </w:r>
          </w:p>
        </w:tc>
        <w:tc>
          <w:tcPr>
            <w:tcW w:w="0" w:type="auto"/>
          </w:tcPr>
          <w:p w14:paraId="236567F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Zimbabwe</w:t>
            </w:r>
          </w:p>
        </w:tc>
        <w:tc>
          <w:tcPr>
            <w:tcW w:w="0" w:type="auto"/>
          </w:tcPr>
          <w:p w14:paraId="045229E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62</w:t>
            </w:r>
          </w:p>
        </w:tc>
        <w:tc>
          <w:tcPr>
            <w:tcW w:w="0" w:type="auto"/>
          </w:tcPr>
          <w:p w14:paraId="5F1F2F9B" w14:textId="3814C73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{"citationItems":[{"id":"ITEM-1","itemData":{"DOI":"10.1007/s11356-019-06569-x","ISSN":"16147499","PMID":"31808085","abstract":"A study was carried out to assess the levels and effects of atrazine, dimethoate, and dichlorodiphenyltrichloroethane on freshwater fish (Oreochromis mossambicus). Water and fish were sampled once from a dam within the Hippo Valley A2 farmlands in Chiredzi, in the southeastern part of Zimbabwe. The samples were screened for atrazine, dimethoate, and dichlorodiphenyltrichloroethane (DDT), the pesticides commonly used in the region. Atrazine and dimethoate are pesticides commonly used in the control of weeds and pests in the agricultural production of sugarcane in Hippo Valley, Chiredzi region. The effects of the pesticides on biochemical endpoints of the sampled fish were determined. The analyzed biochemical end parameters were superoxide dismutase, catalase, glutathione S-transferase, and glutathione peroxidase activities in liver and white muscle fish extracts. Dichlorodiphenyltrichloroethane was observed in water and fish muscle tissue at concentrations of 131.3 μg/l and 171.7 μg/kg, respectively, while atrazine was detected at concentrations of 6.15 μg/l and 142.0 μg/kg in water and fish muscle tissue, respectively. The observed concentrations of atrazine and DDT in water samples were above the limits permissible by the World Health Organization in drinking water. Dimethoate was found in concentrations of 4.21 μg/l and 1.30 μg/kg in water and fish muscle tissue respectively. The observed concentration of dimethoate in water was below the acceptable limit set by the Guidelines for Canadian Drinking Water. Antioxidant enzyme activities were increased significantly (p &lt; 0.05) in fish exposed to water from Hippo Valley, Chiredzi, when compared with the controls. The enhanced activities of the studied antioxidant enzyme system were attributed to exposure to pollutants in the water body. Alterations of the biochemical integrity of fish indicate negative effects of the pesticides on the well-being of fish and undoubtedly other aquatic biota as well.","author":[{"dropping-particle":"","family":"Basopo","given":"Norah","non-dropping-particle":"","parse-names":false,"suffix":""},{"dropping-particle":"","family":"Muzvidziwa","given":"Asah","non-dropping-particle":"","parse-names":false,"suffix":""}],"container-title":"Environmental Science and Pollution Research","id":"ITEM-1","issue":"1","issued":{"date-parts":[["2020"]]},"page":"579-586","publisher":"Environmental Science and Pollution Research","title":"Assessment of the effects of atrazine, dichlorodiphenyltrichloroethane, and dimethoate on freshwater fish (Oreochromis mossambicus): a case study of the A2 farmlands in Chiredzi, in the southeastern part of Zimbabwe","type":"article-journal","volume":"27"},"uris":["http://www.mendeley.com/documents/?uuid=d49e26a6-c807-4f65-9a0c-cddbdd583948"]}],"mendeley":{"formattedCitation":"&lt;sup&gt;94&lt;/sup&gt;","plainTextFormattedCitation":"94","previouslyFormattedCitation":"&lt;sup&gt;94&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94</w:t>
            </w:r>
            <w:r w:rsidRPr="00E547AD">
              <w:rPr>
                <w:color w:val="0070C0"/>
                <w:sz w:val="22"/>
              </w:rPr>
              <w:fldChar w:fldCharType="end"/>
            </w:r>
          </w:p>
        </w:tc>
      </w:tr>
      <w:tr w:rsidR="005E13E8" w:rsidRPr="00E547AD" w14:paraId="10EC713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7E49386"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36FC35F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Cameroon</w:t>
            </w:r>
          </w:p>
        </w:tc>
        <w:tc>
          <w:tcPr>
            <w:tcW w:w="0" w:type="auto"/>
          </w:tcPr>
          <w:p w14:paraId="04AF777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5A85BF5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Cameroon</w:t>
            </w:r>
          </w:p>
        </w:tc>
        <w:tc>
          <w:tcPr>
            <w:tcW w:w="0" w:type="auto"/>
          </w:tcPr>
          <w:p w14:paraId="5809E9D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139</w:t>
            </w:r>
          </w:p>
          <w:p w14:paraId="0F5C74F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(19-461)</w:t>
            </w:r>
          </w:p>
        </w:tc>
        <w:tc>
          <w:tcPr>
            <w:tcW w:w="0" w:type="auto"/>
          </w:tcPr>
          <w:p w14:paraId="68FEC585" w14:textId="7900799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{"citationItems":[{"id":"ITEM-1","itemData":{"DOI":"10.1007/s11356-018-1798-4","ISSN":"16147499","PMID":"29671229","abstract":"Urban agriculture is crucial to local populations, but the risk of it contaminating water has rarely been documented. The aim of this study was to assess pesticide contamination of surface waters from the Méfou watershed (Yaoundé, Cameroon) by 32 selected herbicides, fungicides, and insecticides (mainly polar) according to their local application, using both grab sampling and polar organic compounds integrative samplers (POCIS). Three sampling campaigns were conducted in the March/April and October/November 2015 and June/July 2016 rainy seasons in urban and peri-urban areas. The majority of the targeted compounds were detected. The quantification frequencies of eight pesticides were more than 20% with both POCIS and grab sampling, and that of diuron and atrazine reached 100%. Spatial differences in contamination were evidenced with higher contamination in urban than peri-urban rivers. In particular, diuron was identified as an urban contaminant of concern because its concentrations frequently exceeded the European water quality guideline of 0.200 μg/L in freshwater and may thus represent an ecological risk due to a risk quotient &gt; 1 for algae observed in 94% of grab samples. This study raises concerns about the impacts of urban agriculture on the quality of water resources and to a larger extent on the health of the inhabitants of cities in developing countries. [Figure not available: see fulltext.].","author":[{"dropping-particle":"","family":"Branchet","given":"Perrine","non-dropping-particle":"","parse-names":false,"suffix":""},{"dropping-particle":"","family":"Cadot","given":"Emmanuelle","non-dropping-particle":"","parse-names":false,"suffix":""},{"dropping-particle":"","family":"Fenet","given":"Hélène","non-dropping-particle":"","parse-names":false,"suffix":""},{"dropping-particle":"","family":"Sebag","given":"David","non-dropping-particle":"","parse-names":false,"suffix":""},{"dropping-particle":"","family":"Ngatcha","given":"Benjamin Ngounou","non-dropping-particle":"","parse-names":false,"suffix":""},{"dropping-particle":"","family":"Borrell-Estupina","given":"Valérie","non-dropping-particle":"","parse-names":false,"suffix":""},{"dropping-particle":"","family":"Ngoupayou","given":"Jules Remy Ndam","non-dropping-particle":"","parse-names":false,"suffix":""},{"dropping-particle":"","family":"Kengne","given":"Ives","non-dropping-particle":"","parse-names":false,"suffix":""},{"dropping-particle":"","family":"Braun","given":"Jean Jacques","non-dropping-particle":"","parse-names":false,"suffix":""},{"dropping-particle":"","family":"Gonzalez","given":"Catherine","non-dropping-particle":"","parse-names":false,"suffix":""}],"container-title":"Environmental Science and Pollution Research","id":"ITEM-1","issue":"18","issued":{"date-parts":[["2018"]]},"page":"17690-17715","publisher":"Environmental Science and Pollution Research","title":"Polar pesticide contamination of an urban and peri-urban tropical watershed affected by agricultural activities (Yaoundé, Center Region, Cameroon)","type":"article-journal","volume":"25"},"uris":["http://www.mendeley.com/documents/?uuid=bf88d44e-bcd2-462c-a399-b98713864a7f"]}],"mendeley":{"formattedCitation":"&lt;sup&gt;87&lt;/sup&gt;","plainTextFormattedCitation":"87","previouslyFormattedCitation":"&lt;sup&gt;87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87</w:t>
            </w:r>
            <w:r w:rsidRPr="00E547AD">
              <w:rPr>
                <w:color w:val="0070C0"/>
                <w:sz w:val="22"/>
              </w:rPr>
              <w:fldChar w:fldCharType="end"/>
            </w:r>
          </w:p>
        </w:tc>
      </w:tr>
      <w:tr w:rsidR="002D64E5" w:rsidRPr="00E547AD" w14:paraId="477EAA01"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9BFDBB0"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305BDC2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Morocco</w:t>
            </w:r>
          </w:p>
        </w:tc>
        <w:tc>
          <w:tcPr>
            <w:tcW w:w="0" w:type="auto"/>
          </w:tcPr>
          <w:p w14:paraId="4F1ACA7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2019</w:t>
            </w:r>
          </w:p>
        </w:tc>
        <w:tc>
          <w:tcPr>
            <w:tcW w:w="0" w:type="auto"/>
          </w:tcPr>
          <w:p w14:paraId="51D63DC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Morocco</w:t>
            </w:r>
          </w:p>
        </w:tc>
        <w:tc>
          <w:tcPr>
            <w:tcW w:w="0" w:type="auto"/>
          </w:tcPr>
          <w:p w14:paraId="230DC40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w:t>
            </w:r>
          </w:p>
        </w:tc>
        <w:tc>
          <w:tcPr>
            <w:tcW w:w="0" w:type="auto"/>
          </w:tcPr>
          <w:p w14:paraId="62252EBB" w14:textId="0AC07A6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{"citationItems":[{"id":"ITEM-1","itemData":{"DOI":"10.1016/j.gsd.2021.100620","ISSN":"2352801X","abstract":"This study evaluates the effect of anthropogenic activities on the quality of groundwater beneath a rural area (R'mel area) located in the perimeter of Loukkos, Northwest Morocco. Ten public wells for drinking water were sampled and characterized for physicochemical parameters, heavy metals and pesticides occurrence. Multivariate Statistical Analysis (MSA), Water Quality Index (WQI) and geographic information system (GIS) were employed to identify the sources of groundwater pollution, the suitability for drinking purposes and the groundwater quality distribution within the R'mel aquifer. The results showed that almost all the samples had concentrations of NO3− and Ca2+ exceeding the WHO limits set at 50 mg/L and 75 mg/L, respectively. The heavy metal content was very low in the groundwater except for arsenic which exceeded the WHO threshold of 10 μg/L in four locations. Nine pesticides including Atrazine, Trietazine, Terbutryn, Chlorpyriphos ethyl, Endosulfan sulphate, Endosulfan alpha, Endosulfan beta, Metribuzin and Metolachlor were detected in four sites. However, no pesticides exceeded the standard of 0.1 μg/L set by the European Union. The Principal Component Analysis (PCA) demonstrated that the R'mel groundwater was exposed to two types of pollution that depend on groundwater redox conditions, the first being defined as the release of geogenic/anthropogenic As under reducing conditions (minor pollution), while the second represents the nonpoint source pollution from agriculture (major pollution). The Hierarchical Cluster Analysis (HCA) has classified the samples into four clusters reflecting the rate of groundwater mineralization in the study area. Differently to HCA, the WQI has generated three groups. The comparison between WQI and HCA showed that the combined use of the two methods may lead to a better classification of groundwater samples. The spatial distribution of NO3− and WQI indicated the areas affected by irrigated agriculture, and the impact of anthropogenic activities on the R'mel groundwater has been assessed.","author":[{"dropping-particle":"","family":"Sarti","given":"Otmane","non-dropping-particle":"","parse-names":false,"suffix":""},{"dropping-particle":"","family":"Otal","given":"Emilia","non-dropping-particle":"","parse-names":false,"suffix":""},{"dropping-particle":"","family":"Morillo","given":"José","non-dropping-particle":"","parse-names":false,"suffix":""},{"dropping-particle":"","family":"Ouassini","given":"Abdelhamid","non-dropping-particle":"","parse-names":false,"suffix":""}],"container-title":"Groundwater for Sustainable Development","id":"ITEM-1","issue":"March","issued":{"date-parts":[["2021"]]},"title":"Integrated assessment of groundwater quality beneath the rural area of R'mel, Northwest of Morocco","type":"article-journal","volume":"14"},"uris":["http://www.mendeley.com/documents/?uuid=e83a86d9-3b02-4b81-8165-75fca269e889"]}],"mendeley":{"formattedCitation":"&lt;sup&gt;95&lt;/sup&gt;","plainTextFormattedCitation":"95","previouslyFormattedCitation":"&lt;sup&gt;95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95</w:t>
            </w:r>
            <w:r w:rsidRPr="00E547AD">
              <w:rPr>
                <w:color w:val="0070C0"/>
                <w:sz w:val="22"/>
              </w:rPr>
              <w:fldChar w:fldCharType="end"/>
            </w:r>
          </w:p>
        </w:tc>
      </w:tr>
      <w:tr w:rsidR="005E13E8" w:rsidRPr="00E547AD" w14:paraId="0B12F1F7"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14CBBAF"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57C901D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Senegal</w:t>
            </w:r>
          </w:p>
        </w:tc>
        <w:tc>
          <w:tcPr>
            <w:tcW w:w="0" w:type="auto"/>
          </w:tcPr>
          <w:p w14:paraId="55576F3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2018</w:t>
            </w:r>
          </w:p>
        </w:tc>
        <w:tc>
          <w:tcPr>
            <w:tcW w:w="0" w:type="auto"/>
          </w:tcPr>
          <w:p w14:paraId="165264F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Senegal</w:t>
            </w:r>
          </w:p>
        </w:tc>
        <w:tc>
          <w:tcPr>
            <w:tcW w:w="0" w:type="auto"/>
          </w:tcPr>
          <w:p w14:paraId="71F8960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102</w:t>
            </w:r>
          </w:p>
        </w:tc>
        <w:tc>
          <w:tcPr>
            <w:tcW w:w="0" w:type="auto"/>
          </w:tcPr>
          <w:p w14:paraId="68A13248" w14:textId="63886FF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{"citationItems":[{"id":"ITEM-1","itemData":{"DOI":"10.1038/s41467-018-03189-w","ISSN":"20411723","PMID":"29483531","abstract":"Schistosomiasis is a snail-borne parasitic disease that ranks among the most important water-based diseases of humans in developing countries. Increased prevalence and spread of human schistosomiasis to non-endemic areas has been consistently linked with water resource management related to agricultural expansion. However, the role of agrochemical pollution in human schistosome transmission remains unexplored, despite strong evidence of agrochemicals increasing snail-borne diseases of wildlife and a projected 2- to 5-fold increase in global agrochemical use by 2050. Using a field mesocosm experiment, we show that environmentally relevant concentrations of fertilizer, a herbicide, and an insecticide, individually and as mixtures, increase densities of schistosome-infected snails by increasing the algae snails eat and decreasing densities of snail predators. Epidemiological models indicate that these agrochemical effects can increase transmission of schistosomes. Identifying agricultural practices or agrochemicals that minimize disease risk will be critical to meeting growing food demands while improving human wellbeing.","author":[{"dropping-particle":"","family":"Halstead","given":"Neal T.","non-dropping-particle":"","parse-names":false,"suffix":""},{"dropping-particle":"","family":"Hoover","given":"Christopher M.","non-dropping-particle":"","parse-names":false,"suffix":""},{"dropping-particle":"","family":"Arakala","given":"Arathi","non-dropping-particle":"","parse-names":false,"suffix":""},{"dropping-particle":"","family":"Civitello","given":"David J.","non-dropping-particle":"","parse-names":false,"suffix":""},{"dropping-particle":"","family":"Leo","given":"Giulio A.","non-dropping-particle":"De","parse-names":false,"suffix":""},{"dropping-particle":"","family":"Gambhir","given":"Manoj","non-dropping-particle":"","parse-names":false,"suffix":""},{"dropping-particle":"","family":"Johnson","given":"Steve A.","non-dropping-particle":"","parse-names":false,"suffix":""},{"dropping-particle":"","family":"Jouanard","given":"Nicolas","non-dropping-particle":"","parse-names":false,"suffix":""},{"dropping-particle":"","family":"Loerns","given":"Kristin A.","non-dropping-particle":"","parse-names":false,"suffix":""},{"dropping-particle":"","family":"McMahon","given":"Taegan A.","non-dropping-particle":"","parse-names":false,"suffix":""},{"dropping-particle":"","family":"Ndione","given":"Raphael A.","non-dropping-particle":"","parse-names":false,"suffix":""},{"dropping-particle":"","family":"Nguyen","given":"Karena","non-dropping-particle":"","parse-names":false,"suffix":""},{"dropping-particle":"","family":"Raffel","given":"Thomas R.","non-dropping-particle":"","parse-names":false,"suffix":""},{"dropping-particle":"V.","family":"Remais","given":"Justin","non-dropping-particle":"","parse-names":false,"suffix":""},{"dropping-particle":"","family":"Riveau","given":"Gilles","non-dropping-particle":"","parse-names":false,"suffix":""},{"dropping-particle":"","family":"Sokolow","given":"Susanne H.","non-dropping-particle":"","parse-names":false,"suffix":""},{"dropping-particle":"","family":"Rohr","given":"Jason R.","non-dropping-particle":"","parse-names":false,"suffix":""}],"container-title":"Nature Communications","id":"ITEM-1","issue":"1","issued":{"date-parts":[["2018"]]},"publisher":"Springer US","title":"Agrochemicals increase risk of human schistosomiasis by supporting higher densities of intermediate hosts","type":"article-journal","volume":"9"},"uris":["http://www.mendeley.com/documents/?uuid=5a670e2b-42ed-4a30-ad8a-464be2b67c17"]}],"mendeley":{"formattedCitation":"&lt;sup&gt;96&lt;/sup&gt;","plainTextFormattedCitation":"96","previouslyFormattedCitation":"&lt;sup&gt;96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96</w:t>
            </w:r>
            <w:r w:rsidRPr="00E547AD">
              <w:rPr>
                <w:color w:val="0070C0"/>
                <w:sz w:val="22"/>
              </w:rPr>
              <w:fldChar w:fldCharType="end"/>
            </w:r>
          </w:p>
        </w:tc>
      </w:tr>
      <w:tr w:rsidR="002D64E5" w:rsidRPr="00E547AD" w14:paraId="2A91D6C9"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D9433B"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59F5189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Burkina Faso</w:t>
            </w:r>
          </w:p>
        </w:tc>
        <w:tc>
          <w:tcPr>
            <w:tcW w:w="0" w:type="auto"/>
          </w:tcPr>
          <w:p w14:paraId="2ABDDAF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2016</w:t>
            </w:r>
          </w:p>
        </w:tc>
        <w:tc>
          <w:tcPr>
            <w:tcW w:w="0" w:type="auto"/>
          </w:tcPr>
          <w:p w14:paraId="5086C5D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Burkina Faso</w:t>
            </w:r>
          </w:p>
        </w:tc>
        <w:tc>
          <w:tcPr>
            <w:tcW w:w="0" w:type="auto"/>
          </w:tcPr>
          <w:p w14:paraId="5D61CB0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15</w:t>
            </w:r>
          </w:p>
        </w:tc>
        <w:tc>
          <w:tcPr>
            <w:tcW w:w="0" w:type="auto"/>
          </w:tcPr>
          <w:p w14:paraId="0BB7F07E" w14:textId="374562C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{"citationItems":[{"id":"ITEM-1","itemData":{"DOI":"10.1007/s11356-017-0665-z","ISSN":"16147499","PMID":"29164468","abstract":"This study proposes a comprehensive approach to investigate water resource contamination by pesticides under the specific climatic and hydrological conditions of the Sudano-Sahelian climate. Samples were collected from traditional wells, boreholes, and a lake in Burkina Faso. A multiresidue analysis was developed for 25 pesticides identified during field surveys. Polar organic chemical integrative samplers (POCIS) were used to confirm trends observed with grab samples. Uptake kinetics of POCIS were assessed by in situ calibration. The proposed use of nonlinear least squares regression proved to be a robust approach for estimating time-weighted average concentration in cases of nonlinear uptake. High sampling rates for triazines in a quasi-stagnant lake were attributed to warm water temperatures (30.8 ± 1.3 °C). The combination of sampling techniques during a 3-year monitoring period allowed for identifying potential interactions between resources, seasonal patterns, and origins of contaminants. Atrazine, azadirachtin, carbofuran, chlorpyrifos, cypermethrin, dieldrin, imidacloprid, and profenofos exceeded 0.1 μg L−1, indicating a potential risk for the consumers. Ecological risk assessment was performed using the Pesticide Tool Index for fish, cladocerans, and benthic invertebrates. Peak concentrations of cypermethrin and chlorpyrifos were systematically associated with hazard to the studied taxa.","author":[{"dropping-particle":"","family":"Lehmann","given":"Edouard","non-dropping-particle":"","parse-names":false,"suffix":""},{"dropping-particle":"","family":"Fargues","given":"Morgan","non-dropping-particle":"","parse-names":false,"suffix":""},{"dropping-particle":"","family":"Nfon Dibié","given":"Jean Jacques","non-dropping-particle":"","parse-names":false,"suffix":""},{"dropping-particle":"","family":"Konaté","given":"Yacouba","non-dropping-particle":"","parse-names":false,"suffix":""},{"dropping-particle":"","family":"Alencastro","given":"Luiz Felippe","non-dropping-particle":"de","parse-names":false,"suffix":""}],"container-title":"Environmental Science and Pollution Research","id":"ITEM-1","issue":"4","issued":{"date-parts":[["2018"]]},"page":"3681-3694","publisher":"Environmental Science and Pollution Research","title":"Assessment of water resource contamination by pesticides in vegetable-producing areas in Burkina Faso","type":"article-journal","volume":"25"},"uris":["http://www.mendeley.com/documents/?uuid=0c73cd5b-2482-409f-b326-81ac82709df5"]}],"mendeley":{"formattedCitation":"&lt;sup&gt;97&lt;/sup&gt;","plainTextFormattedCitation":"97","previouslyFormattedCitation":"&lt;sup&gt;97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97</w:t>
            </w:r>
            <w:r w:rsidRPr="00E547AD">
              <w:rPr>
                <w:color w:val="0070C0"/>
                <w:sz w:val="22"/>
              </w:rPr>
              <w:fldChar w:fldCharType="end"/>
            </w:r>
          </w:p>
        </w:tc>
      </w:tr>
      <w:tr w:rsidR="005E13E8" w:rsidRPr="00E547AD" w14:paraId="50182BA9"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7E99BA9" w14:textId="77777777" w:rsidR="005E13E8" w:rsidRPr="00E547AD" w:rsidRDefault="005E13E8" w:rsidP="002D64E5">
            <w:pPr>
              <w:rPr>
                <w:rFonts w:eastAsia="等线"/>
                <w:color w:val="000000"/>
                <w:sz w:val="22"/>
              </w:rPr>
            </w:pPr>
            <w:r w:rsidRPr="00E547AD">
              <w:rPr>
                <w:rFonts w:eastAsia="等线"/>
                <w:color w:val="000000"/>
                <w:sz w:val="22"/>
              </w:rPr>
              <w:t>Africa</w:t>
            </w:r>
          </w:p>
        </w:tc>
        <w:tc>
          <w:tcPr>
            <w:tcW w:w="0" w:type="auto"/>
          </w:tcPr>
          <w:p w14:paraId="1805768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Tanzania</w:t>
            </w:r>
          </w:p>
        </w:tc>
        <w:tc>
          <w:tcPr>
            <w:tcW w:w="0" w:type="auto"/>
          </w:tcPr>
          <w:p w14:paraId="24A1654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5EB7F44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Tanzania</w:t>
            </w:r>
          </w:p>
        </w:tc>
        <w:tc>
          <w:tcPr>
            <w:tcW w:w="0" w:type="auto"/>
          </w:tcPr>
          <w:p w14:paraId="5223B95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60</w:t>
            </w:r>
          </w:p>
        </w:tc>
        <w:tc>
          <w:tcPr>
            <w:tcW w:w="0" w:type="auto"/>
          </w:tcPr>
          <w:p w14:paraId="3F8AEFA4" w14:textId="797158A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{"citationItems":[{"id":"ITEM-1","itemData":{"DOI":"10.1080/15226514.2014.909775","ISSN":"15497879","PMID":"25409243","abstract":"This study aimed to evaluate the herbicidal activity of picloram on the biomass of the remediation plants Eleusine coracana and Panicum maximum after cultivation in a soil contaminated with this herbicide. These species were grown in three soils, differentiated based on texture (clayish, middle, and sandy, with 460, 250, and 40 g kg–1 of the clay, respectively), previously contaminated with picloram (0, 80, and 160 g ha–1). After 90 days, the plants were harvested and an extract was produced by maceration of leaves and stems of these plants. It was applied to pots containing washed sand, comprising a bioassay in a growth chamber using soybean as a bioindicator for picloram. Soil and plant samples were analyzed by HPLC. The results showed the presence of picloram or metabolites with herbicidal activity in the shoots of E. coracana and P. maximum at phytotoxic levels with regard to soybean plants, indicating that they work only as phytoextractors and that the presence of straw on the soil surface can promote recontamination within the area. It is not recommended to cultivate species susceptible to picloram in areas where it was reported remediation by E. indica and P. maximum and still present residues of these species.","author":[{"dropping-particle":"","family":"Nascimento","given":"Alex Favaro","non-dropping-particle":"","parse-names":false,"suffix":""},{"dropping-particle":"","family":"Pires","given":"Fábio Ribeiro","non-dropping-particle":"","parse-names":false,"suffix":""},{"dropping-particle":"","family":"Chagas","given":"Kristhiano","non-dropping-particle":"","parse-names":false,"suffix":""},{"dropping-particle":"","family":"Procópio","given":"Sergio de Oliveira","non-dropping-particle":"","parse-names":false,"suffix":""},{"dropping-particle":"","family":"Oliveira","given":"Marcelo Antonio","non-dropping-particle":"","parse-names":false,"suffix":""},{"dropping-particle":"","family":"Cargnelutti Filho","given":"Alberto","non-dropping-particle":"","parse-names":false,"suffix":""},{"dropping-particle":"","family":"Belo","given":"Alessandra Ferreira","non-dropping-particle":"","parse-names":false,"suffix":""},{"dropping-particle":"","family":"Egreja Filho","given":"Fernando Barboza","non-dropping-particle":"","parse-names":false,"suffix":""}],"container-title":"International Journal of Phytoremediation","id":"ITEM-1","issue":"4","issued":{"date-parts":[["2015"]]},"page":"313-321","title":"Risk of Soil Recontamination Due to Using Eleusine coracana and Panicum maximum Straw After Phytoremediation of Picloram","type":"article-journal","volume":"17"},"uris":["http://www.mendeley.com/documents/?uuid=1f4dc660-3c8c-41a9-a730-fc04acfab156"]}],"mendeley":{"formattedCitation":"&lt;sup&gt;98&lt;/sup&gt;","plainTextFormattedCitation":"98","previouslyFormattedCitation":"&lt;sup&gt;98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98</w:t>
            </w:r>
            <w:r w:rsidRPr="00E547AD">
              <w:rPr>
                <w:color w:val="0070C0"/>
                <w:sz w:val="22"/>
              </w:rPr>
              <w:fldChar w:fldCharType="end"/>
            </w:r>
          </w:p>
        </w:tc>
      </w:tr>
      <w:tr w:rsidR="002D64E5" w:rsidRPr="00E547AD" w14:paraId="0BA4AFC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A4FDE5E" w14:textId="77777777" w:rsidR="005E13E8" w:rsidRPr="00E547AD" w:rsidRDefault="005E13E8" w:rsidP="002D64E5">
            <w:pPr>
              <w:rPr>
                <w:rFonts w:eastAsia="等线"/>
                <w:color w:val="000000"/>
                <w:sz w:val="22"/>
              </w:rPr>
            </w:pPr>
            <w:r w:rsidRPr="00E547AD">
              <w:rPr>
                <w:sz w:val="22"/>
              </w:rPr>
              <w:t>Europe</w:t>
            </w:r>
          </w:p>
        </w:tc>
        <w:tc>
          <w:tcPr>
            <w:tcW w:w="0" w:type="auto"/>
          </w:tcPr>
          <w:p w14:paraId="75128C2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Egypt</w:t>
            </w:r>
          </w:p>
        </w:tc>
        <w:tc>
          <w:tcPr>
            <w:tcW w:w="0" w:type="auto"/>
          </w:tcPr>
          <w:p w14:paraId="63984D8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1991</w:t>
            </w:r>
          </w:p>
        </w:tc>
        <w:tc>
          <w:tcPr>
            <w:tcW w:w="0" w:type="auto"/>
          </w:tcPr>
          <w:p w14:paraId="64E2E9E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Nile Delta</w:t>
            </w:r>
          </w:p>
        </w:tc>
        <w:tc>
          <w:tcPr>
            <w:tcW w:w="0" w:type="auto"/>
          </w:tcPr>
          <w:p w14:paraId="7034A6D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1.0</w:t>
            </w:r>
          </w:p>
        </w:tc>
        <w:tc>
          <w:tcPr>
            <w:tcW w:w="0" w:type="auto"/>
          </w:tcPr>
          <w:p w14:paraId="2EF1C1CD" w14:textId="510C291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{"citationItems":[{"id":"ITEM-1","itemData":{"DOI":"https://doi.org/10.1016/0025-326X(93)90500-J","ISSN":"0025-326X","abstract":"The reported data offers the first extensive evidence that significant concentrations of some herbicides persist in marine systems. In the areas studied (the Ebro delta on the Eastern Coast of Spain, the Rhone delta in the South of France, the River Po, Italy/the Northern Adriatic Sea, the Thermaikos and Amvrakikos Gulfs in Greece and the Nile delta in Egypt) the most commonly encountered herbicides were atrazine, simazine, alachlor, metolachlor and molinate. In general, aqueous concentrations encountered in the riverine inputs were comparable to (or below) those reported for rivers in other regions of the World. Concentrations generally declined from freshwater locations through estuaries to marine waters. The distributions of some herbicides (e.g. the triazines) in sediments endorsed the environmental persistence of these compounds. In contrast to the other areas studied, no herbicides were detected in samples from a preliminary survey of the Nile delta.","author":[{"dropping-particle":"","family":"Readman","given":"J W","non-dropping-particle":"","parse-names":false,"suffix":""},{"dropping-particle":"","family":"Albanis","given":"T A","non-dropping-particle":"","parse-names":false,"suffix":""},{"dropping-particle":"","family":"Barcelo","given":"D","non-dropping-particle":"","parse-names":false,"suffix":""},{"dropping-particle":"","family":"Galassi","given":"S","non-dropping-particle":"","parse-names":false,"suffix":""},{"dropping-particle":"","family":"Tronczynski","given":"J","non-dropping-particle":"","parse-names":false,"suffix":""},{"dropping-particle":"","family":"Gabrielides","given":"G P","non-dropping-particle":"","parse-names":false,"suffix":""}],"container-title":"Marine Pollution Bulletin","id":"ITEM-1","issue":"11","issued":{"date-parts":[["1993"]]},"page":"613-619","title":"Herbicide contamination of Mediterranean estuarine waters: Results from a MED POL pilot survey","type":"article-journal","volume":"26"},"uris":["http://www.mendeley.com/documents/?uuid=a35644c1-fd14-400b-be5a-6b1301c7d420"]}],"mendeley":{"formattedCitation":"&lt;sup&gt;99&lt;/sup&gt;","plainTextFormattedCitation":"99","previouslyFormattedCitation":"&lt;sup&gt;99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99</w:t>
            </w:r>
            <w:r w:rsidRPr="00E547AD">
              <w:rPr>
                <w:color w:val="0070C0"/>
                <w:sz w:val="22"/>
              </w:rPr>
              <w:fldChar w:fldCharType="end"/>
            </w:r>
          </w:p>
        </w:tc>
      </w:tr>
      <w:tr w:rsidR="005E13E8" w:rsidRPr="00E547AD" w14:paraId="0B92D7BB"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7F7A0F5" w14:textId="77777777" w:rsidR="005E13E8" w:rsidRPr="00E547AD" w:rsidRDefault="005E13E8" w:rsidP="002D64E5">
            <w:pPr>
              <w:rPr>
                <w:rFonts w:eastAsia="等线"/>
                <w:color w:val="000000"/>
                <w:sz w:val="22"/>
              </w:rPr>
            </w:pPr>
            <w:r w:rsidRPr="00E547AD">
              <w:rPr>
                <w:sz w:val="22"/>
              </w:rPr>
              <w:lastRenderedPageBreak/>
              <w:t>Europe</w:t>
            </w:r>
          </w:p>
        </w:tc>
        <w:tc>
          <w:tcPr>
            <w:tcW w:w="0" w:type="auto"/>
          </w:tcPr>
          <w:p w14:paraId="01E6BE0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0C15096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1992</w:t>
            </w:r>
          </w:p>
        </w:tc>
        <w:tc>
          <w:tcPr>
            <w:tcW w:w="0" w:type="auto"/>
          </w:tcPr>
          <w:p w14:paraId="1E15AB3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Tarragona</w:t>
            </w:r>
          </w:p>
        </w:tc>
        <w:tc>
          <w:tcPr>
            <w:tcW w:w="0" w:type="auto"/>
          </w:tcPr>
          <w:p w14:paraId="4056AA8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800</w:t>
            </w:r>
          </w:p>
        </w:tc>
        <w:tc>
          <w:tcPr>
            <w:tcW w:w="0" w:type="auto"/>
          </w:tcPr>
          <w:p w14:paraId="57D7C44E" w14:textId="6F1B5755"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{"citationItems":[{"id":"ITEM-1","itemData":{"DOI":"10.1021/ac970843h","ISSN":"00032700","abstract":"A new automated on-line immunosorbent phase extraction method was developed and validated for the analysis of triazine and phenylurea herbicides in environmental matrixes such as sediments and natural waters. This method is a first application and consists of trace analyte extraction using an immunosorbent column-containing either anti-atrazine or anti-chlortoluron antibodies-combined with a liquid Chromatograph by use of an online sample preparation system coupled directiy to an atmospheric pressure chemical ionization/mass spectrometer in positive mode of operation. After the percolation of 20 mL of water through the immunosorbent columns, high recoveries of extraction were obtained for all the compounds with the exception of deisopropylatrazine and diflubenzuron. Calibration curves were linear in the range between 0.01 and 0.2 μg/L in groundwater. The limits of detection ranged from 0.001 to 0.005 μg/L, indicating good sensitivity achieved by both types of immunosorbents. Environmental sediment samples from the Ebre Delta area (Tarragona, Spain) containing several triazines and linuron were Soxhlet extracted with methanol, and the extracts were brought to a volume of 100 mL in water in order to perform the extraction with the immunosorbents. No significant interferences from the sample matrix were noticed, thus indicating a good selectivity of the immunosorbents used. Seawater samples from a marina nearby (Masnou, Barcelona, Spain) were also analyzed. An interlaboratory study using Aquacheck-certified groundwater samples was carried out in order to validate the application of the method for the analysis of environmental samples.","author":[{"dropping-particle":"","family":"Ferrer","given":"Imma","non-dropping-particle":"","parse-names":false,"suffix":""},{"dropping-particle":"","family":"Hennion","given":"Marie Claire","non-dropping-particle":"","parse-names":false,"suffix":""},{"dropping-particle":"","family":"Barceló","given":"Damià","non-dropping-particle":"","parse-names":false,"suffix":""}],"container-title":"Analytical Chemistry","id":"ITEM-1","issue":"22","issued":{"date-parts":[["1997"]]},"page":"4508-4514","title":"Immunosorbents Coupled On-Line with Liquid Chromatography/Atmospheric Pressure Chemical Ionization/Mass Spectrometry for the Part per Trillion Level Determination of Pesticides in Sediments and Natural Waters Using Low Preconcentration Volumes","type":"article-journal","volume":"69"},"uris":["http://www.mendeley.com/documents/?uuid=15725248-837e-47a6-a48a-c7d0748564ce"]}],"mendeley":{"formattedCitation":"&lt;sup&gt;100&lt;/sup&gt;","plainTextFormattedCitation":"100","previouslyFormattedCitation":"&lt;sup&gt;100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100</w:t>
            </w:r>
            <w:r w:rsidRPr="00E547AD">
              <w:rPr>
                <w:color w:val="0070C0"/>
                <w:sz w:val="22"/>
              </w:rPr>
              <w:fldChar w:fldCharType="end"/>
            </w:r>
          </w:p>
        </w:tc>
      </w:tr>
      <w:tr w:rsidR="002D64E5" w:rsidRPr="00E547AD" w14:paraId="4E9DBAF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6AC9EC" w14:textId="77777777" w:rsidR="005E13E8" w:rsidRPr="00E547AD" w:rsidRDefault="005E13E8" w:rsidP="002D64E5">
            <w:pPr>
              <w:rPr>
                <w:rFonts w:eastAsia="等线"/>
                <w:color w:val="000000"/>
                <w:sz w:val="22"/>
              </w:rPr>
            </w:pPr>
            <w:r w:rsidRPr="00E547AD">
              <w:rPr>
                <w:sz w:val="22"/>
              </w:rPr>
              <w:t>Europe</w:t>
            </w:r>
          </w:p>
        </w:tc>
        <w:tc>
          <w:tcPr>
            <w:tcW w:w="0" w:type="auto"/>
          </w:tcPr>
          <w:p w14:paraId="6AD123E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England</w:t>
            </w:r>
          </w:p>
        </w:tc>
        <w:tc>
          <w:tcPr>
            <w:tcW w:w="0" w:type="auto"/>
          </w:tcPr>
          <w:p w14:paraId="745BEF9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1997</w:t>
            </w:r>
          </w:p>
        </w:tc>
        <w:tc>
          <w:tcPr>
            <w:tcW w:w="0" w:type="auto"/>
          </w:tcPr>
          <w:p w14:paraId="06048D5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Thames Estuary</w:t>
            </w:r>
          </w:p>
        </w:tc>
        <w:tc>
          <w:tcPr>
            <w:tcW w:w="0" w:type="auto"/>
          </w:tcPr>
          <w:p w14:paraId="77AF0FB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109</w:t>
            </w:r>
          </w:p>
        </w:tc>
        <w:tc>
          <w:tcPr>
            <w:tcW w:w="0" w:type="auto"/>
          </w:tcPr>
          <w:p w14:paraId="11FA6913" w14:textId="396A2F5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{"citationItems":[{"id":"ITEM-1","itemData":{"DOI":"10.1016/S0269-7491(98)00158-4","ISBN":"1204261725","ISSN":"02697491","abstract":"Trends in the concentrations of atrazine, lindane and simazine in the estuary of the River Thames between 1988 and 1997 were examined using linear regression methods to determine whether attempted reductions in pesticide discharges had improved estuarine water quality. Concentrations of all the studied pesticides declined over the period, despite the influences of drought induced reductions in freshwater flow from the Thames catchment. Measures to control pesticide discharges resulted in dramatic reductions (&gt;90%) of the triazines atrazine and simazine, and a 73% reduction in lindane. Achieved reductions in the Thames compare favourably with those recorded for the Humber Estuary. Measured concentrations in the Thames Estuary are now similar to those found in other UK and European estuaries, suggesting that the Thames Estuary is no longer of special concern. Although worries have been expressed about possible long-term exposure effects on estuarine fauna of sublethal levels of the studied pesticides, current measured concentrations are below literature-reported chronic threshold values. Current levels, therefore, do not appear to pose significant ecotoxicological risks to exposed estuarine biota. Copyright (C) 1998 Elsevier Science Ltd.","author":[{"dropping-particle":"","family":"Power","given":"M.","non-dropping-particle":"","parse-names":false,"suffix":""},{"dropping-particle":"","family":"Attrill","given":"M. J.","non-dropping-particle":"","parse-names":false,"suffix":""},{"dropping-particle":"","family":"Thomas","given":"R. M.","non-dropping-particle":"","parse-names":false,"suffix":""}],"container-tit</w:instrText>
            </w:r>
            <w:r w:rsidR="00694227">
              <w:rPr>
                <w:rFonts w:hint="eastAsia"/>
                <w:color w:val="0070C0"/>
                <w:sz w:val="22"/>
              </w:rPr>
              <w:instrText>le":"Environmental Pollution","id":"ITEM-1","issue":"1","issued":{"date-parts":[["1999"]]},"note":"</w:instrText>
            </w:r>
            <w:r w:rsidR="00694227">
              <w:rPr>
                <w:rFonts w:hint="eastAsia"/>
                <w:color w:val="0070C0"/>
                <w:sz w:val="22"/>
              </w:rPr>
              <w:instrText>泰晤士河口阿特拉津的浓度变化趋势，在禁用阿特拉津之后浓度有了明显的下降</w:instrText>
            </w:r>
            <w:r w:rsidR="00694227">
              <w:rPr>
                <w:rFonts w:hint="eastAsia"/>
                <w:color w:val="0070C0"/>
                <w:sz w:val="22"/>
              </w:rPr>
              <w:instrText>","page":"31-39","title":"Trends in agricultural pesticide (atrazine, lindane, simazine) concentrations in the Thames Est</w:instrText>
            </w:r>
            <w:r w:rsidR="00694227">
              <w:rPr>
                <w:color w:val="0070C0"/>
                <w:sz w:val="22"/>
              </w:rPr>
              <w:instrText>uary","type":"article-journal","volume":"104"},"uris":["http://www.mendeley.com/documents/?uuid=9c557ece-e930-49ee-a25a-bb4239e1e887"]}],"mendeley":{"formattedCitation":"&lt;sup&gt;101&lt;/sup&gt;","plainTextFormattedCitation":"101","previouslyFormattedCitation":"&lt;sup&gt;101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101</w:t>
            </w:r>
            <w:r w:rsidRPr="00E547AD">
              <w:rPr>
                <w:color w:val="0070C0"/>
                <w:sz w:val="22"/>
              </w:rPr>
              <w:fldChar w:fldCharType="end"/>
            </w:r>
          </w:p>
        </w:tc>
      </w:tr>
      <w:tr w:rsidR="005E13E8" w:rsidRPr="00E547AD" w14:paraId="2639896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41A975C" w14:textId="77777777" w:rsidR="005E13E8" w:rsidRPr="00E547AD" w:rsidRDefault="005E13E8" w:rsidP="002D64E5">
            <w:pPr>
              <w:rPr>
                <w:rFonts w:eastAsia="等线"/>
                <w:color w:val="000000"/>
                <w:sz w:val="22"/>
              </w:rPr>
            </w:pPr>
            <w:r w:rsidRPr="00E547AD">
              <w:rPr>
                <w:sz w:val="22"/>
              </w:rPr>
              <w:t>Europe</w:t>
            </w:r>
          </w:p>
        </w:tc>
        <w:tc>
          <w:tcPr>
            <w:tcW w:w="0" w:type="auto"/>
          </w:tcPr>
          <w:p w14:paraId="5B2D610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France</w:t>
            </w:r>
          </w:p>
        </w:tc>
        <w:tc>
          <w:tcPr>
            <w:tcW w:w="0" w:type="auto"/>
          </w:tcPr>
          <w:p w14:paraId="76F0947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1996</w:t>
            </w:r>
          </w:p>
        </w:tc>
        <w:tc>
          <w:tcPr>
            <w:tcW w:w="0" w:type="auto"/>
          </w:tcPr>
          <w:p w14:paraId="067BD52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Vannetin</w:t>
            </w:r>
            <w:proofErr w:type="spellEnd"/>
            <w:r w:rsidRPr="00E547AD">
              <w:rPr>
                <w:rFonts w:eastAsia="等线"/>
                <w:color w:val="000000"/>
                <w:sz w:val="22"/>
              </w:rPr>
              <w:t xml:space="preserve"> river</w:t>
            </w:r>
          </w:p>
        </w:tc>
        <w:tc>
          <w:tcPr>
            <w:tcW w:w="0" w:type="auto"/>
          </w:tcPr>
          <w:p w14:paraId="57ABDBE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1050</w:t>
            </w:r>
          </w:p>
        </w:tc>
        <w:tc>
          <w:tcPr>
            <w:tcW w:w="0" w:type="auto"/>
          </w:tcPr>
          <w:p w14:paraId="77201E5B" w14:textId="4A10EEC9"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{"citationItems":[{"id":"ITEM-1","itemData":{"DOI":"10.1016/j.chemosphere.2003.12.007","ISSN":"00456535","PMID":"15051367","abstract":"Twenty-two pesticides and metabolites selected on the basis of a regional priority list, were surveyed in surface river waters by high performance liquid chromatography coupled in tandem with UV diode array detection and mass spectrometry, after an off-line pre-concentration step. Pesticide concentrations ranged between 0.07 and 4.8 μg/l according to the compound and sampling period. Analytical results were linked to the environmental risk of pesticides, evaluated by their system investigation of risk by integration of score (SIRIS) rank. © 2004 Elsevier Ltd. All rights reserved.","author":[{"dropping-particle":"","family":"Irace-Guigand","given":"S.","non-dropping-particle":"","parse-names":false,"suffix":""},{"dropping-particle":"","family":"Aaron","given":"J. J.","non-dropping-particle":"","parse-names":false,"suffix":""},{"dropping-particle":"","family":"Scribe","given":"P.","non-dropping-particle":"","parse-names":false,"suffix":""},{"dropping-particle":"","family":"Barcelo","given":"D.","non-dropping-particle":"","parse-names":false,"suffix":""}],"container-title":"Chemosphere","id":"ITEM-1","issue":"7","issued":{"date-parts":[["2004"]]},"page":"973-981","title":"A comparison of the environmental impact of pesticide multiresidues and their occurrence in river waters surveyed by liquid chromatography coupled in tandem with UV diode array detection and mass spectrometry","type":"article-journal","volume":"55"},"uris":["http://www.mendeley.com/documents/?uuid=3102b207-c104-4548-a8a7-f69a4938cff4"]}],"mendeley":{"formattedCitation":"&lt;sup&gt;102&lt;/sup&gt;","plainTextFormattedCitation":"102","previouslyFormattedCitation":"&lt;sup&gt;102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102</w:t>
            </w:r>
            <w:r w:rsidRPr="00E547AD">
              <w:rPr>
                <w:color w:val="0070C0"/>
                <w:sz w:val="22"/>
              </w:rPr>
              <w:fldChar w:fldCharType="end"/>
            </w:r>
          </w:p>
        </w:tc>
      </w:tr>
      <w:tr w:rsidR="002D64E5" w:rsidRPr="00E547AD" w14:paraId="2BB836E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85960D5" w14:textId="77777777" w:rsidR="005E13E8" w:rsidRPr="00E547AD" w:rsidRDefault="005E13E8" w:rsidP="002D64E5">
            <w:pPr>
              <w:rPr>
                <w:rFonts w:eastAsia="等线"/>
                <w:color w:val="000000"/>
                <w:sz w:val="22"/>
              </w:rPr>
            </w:pPr>
            <w:r w:rsidRPr="00E547AD">
              <w:rPr>
                <w:sz w:val="22"/>
              </w:rPr>
              <w:t>Europe</w:t>
            </w:r>
          </w:p>
        </w:tc>
        <w:tc>
          <w:tcPr>
            <w:tcW w:w="0" w:type="auto"/>
          </w:tcPr>
          <w:p w14:paraId="67E47D2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France</w:t>
            </w:r>
          </w:p>
        </w:tc>
        <w:tc>
          <w:tcPr>
            <w:tcW w:w="0" w:type="auto"/>
          </w:tcPr>
          <w:p w14:paraId="43A14C3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2016</w:t>
            </w:r>
          </w:p>
        </w:tc>
        <w:tc>
          <w:tcPr>
            <w:tcW w:w="0" w:type="auto"/>
          </w:tcPr>
          <w:p w14:paraId="1DF5525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European Alps</w:t>
            </w:r>
          </w:p>
        </w:tc>
        <w:tc>
          <w:tcPr>
            <w:tcW w:w="0" w:type="auto"/>
          </w:tcPr>
          <w:p w14:paraId="6764993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0.2</w:t>
            </w:r>
          </w:p>
        </w:tc>
        <w:tc>
          <w:tcPr>
            <w:tcW w:w="0" w:type="auto"/>
          </w:tcPr>
          <w:p w14:paraId="1956A302" w14:textId="75D7D165"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{"citationItems":[{"id":"ITEM-1","itemData":{"DOI":"10.1016/j.envpol.2019.02.067","ISSN":"18736424","PMID":"30849583","abstract":"We analysed the spatial and temporal distribution of a selection of pesticides in Alpine glaciers used on the Po Plain in Northern Italy, near the Alps. By analysing a 102-m ice core taken from the Lys Glacier (Monte Rosa massif, Italy), we highlight historical contamination from the insecticide chlorpyrifos and the herbicide terbuthylazine, confirming the role of alpine glaciers as temporal sinks. In addition, we collected meltwater samples from six glaciers distributed along the Alpine Arc during the summer of 2016, which showed widespread contamination by pesticides. Overall, chlorpyrifos and terbuthylazine dominated the contaminant fingerprint of all of the studied glaciers, with contamination peaks occurring at the beginning of the melting season. This highlights the importance of the medium-range atmospheric transport of these pesticides in connection with agricultural practices in the areas beneath the Italian Alps, where they are widely applied. The release of pesticides in meltwater can lead to potential risks to the aquatic ecosystems of headwater streams, as we demonstrate for chlorpyrifos. This suggests that the medium-range atmospheric transport of pesticides should be considered as part of regulations to protect the water quality of these pristine environments.","author":[{"dropping-particle":"","family":"Rizzi","given":"C.","non-dropping-particle":"","parse-names":false,"suffix":""},{"dropping-particle":"","family":"Finizio","given":"A.","non-dropping-particle":"","parse-names":false,"suffix":""},{"dropping-particle":"","family":"Maggi","given":"V.","non-dropping-particle":"","parse-names":false,"suffix":""},{"dropping-particle":"","family":"Villa","given":"S.","non-dropping-particle":"","parse-names":false,"suffix":""}],"container-title":"Environmental Pollution","id":"ITEM-1","issued":{"date-parts":[["2019"]]},"page":"659-666","publisher":"Elsevier Ltd","title":"Spatial-temporal analysis and risk characterisation of pesticides in Alpine glacial streams","type":"article-journal","volume":"248"},"uris":["http://www.mendeley.com/documents/?uuid=b65a0a8d-31be-405a-acf7-1dd07e550b5a"]}],"mendeley":{"formattedCitation":"&lt;sup&gt;103&lt;/sup&gt;","plainTextFormattedCitation":"103","previouslyFormattedCitation":"&lt;sup&gt;103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103</w:t>
            </w:r>
            <w:r w:rsidRPr="00E547AD">
              <w:rPr>
                <w:color w:val="0070C0"/>
                <w:sz w:val="22"/>
              </w:rPr>
              <w:fldChar w:fldCharType="end"/>
            </w:r>
          </w:p>
        </w:tc>
      </w:tr>
      <w:tr w:rsidR="005E13E8" w:rsidRPr="00E547AD" w14:paraId="791D76D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51F1814" w14:textId="77777777" w:rsidR="005E13E8" w:rsidRPr="00E547AD" w:rsidRDefault="005E13E8" w:rsidP="002D64E5">
            <w:pPr>
              <w:rPr>
                <w:rFonts w:eastAsia="等线"/>
                <w:color w:val="000000"/>
                <w:sz w:val="22"/>
              </w:rPr>
            </w:pPr>
            <w:r w:rsidRPr="00E547AD">
              <w:rPr>
                <w:sz w:val="22"/>
              </w:rPr>
              <w:t>Europe</w:t>
            </w:r>
          </w:p>
        </w:tc>
        <w:tc>
          <w:tcPr>
            <w:tcW w:w="0" w:type="auto"/>
          </w:tcPr>
          <w:p w14:paraId="24EBA12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France</w:t>
            </w:r>
          </w:p>
        </w:tc>
        <w:tc>
          <w:tcPr>
            <w:tcW w:w="0" w:type="auto"/>
          </w:tcPr>
          <w:p w14:paraId="7E91AEC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2007</w:t>
            </w:r>
          </w:p>
        </w:tc>
        <w:tc>
          <w:tcPr>
            <w:tcW w:w="0" w:type="auto"/>
          </w:tcPr>
          <w:p w14:paraId="35EBEEAD"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Brittany</w:t>
            </w:r>
          </w:p>
        </w:tc>
        <w:tc>
          <w:tcPr>
            <w:tcW w:w="0" w:type="auto"/>
          </w:tcPr>
          <w:p w14:paraId="3730349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14</w:t>
            </w:r>
          </w:p>
        </w:tc>
        <w:tc>
          <w:tcPr>
            <w:tcW w:w="0" w:type="auto"/>
          </w:tcPr>
          <w:p w14:paraId="4F5E8B93" w14:textId="3FCF5C7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Caquet1","given":"Th.","non-dropping-particle":"","parse-names":false,"suffix":""},{"dropping-particle":"","family":"Roucaute1","given":"M.","non-dropping-particle":"","parse-names":false,"suffix":""},{"dropping-particle":"","family":"Mazzella","given":"N.","non-dropping-particle":"","parse-names":false,"suffix":""},{"dropping-particle":"","family":"Delmas2","given":"F.","non-dropping-particle":"","parse-names":false,"suffix":""},{"dropping-particle":"","family":"Madigou","given":"C.","non-dropping-particle":"","parse-names":false,"suffix":""},{"dropping-particle":"","family":"Farcy","given":"E.","non-dropping-particle":"","parse-names":false,"suffix":""},{"dropping-particle":"","family":"Burgeot","given":"Th.","non-dropping-particle":"","parse-names":false,"suffix":""},{"dropping-particle":"","family":"Allenou","given":"J.-P.","non-dropping-particle":"","parse-names":false,"suffix":""},{"dropping-particle":"","family":"Gabellec4","given":"R.","non-dropping-particle":"","parse-names":false,"suffix":""},{"dropping-particle":"","family":"1","given":"","non-dropping-particle":"","parse-names":false,"suffix":""}],"container-title":"Environmental Science and Pollution Research","id":"ITEM-1","issue":"2","issued":{"date-parts":[["2013"]]},"page":"651-666","title":"Risk assessment of herbicides and booster biocides along estuarine continuums in the Bay of Vilaine area (Brittany, France) Th.","type":"article-journal","volume":"20"},"uris":["http://www.mendeley.com/documents/?uuid=1f4159e2-4c6b-4115-88b3-c9fcf440599e"]}],"mendeley":{"formattedCitation":"&lt;sup&gt;104&lt;/sup&gt;","plainTextFormattedCitation":"104","previouslyFormattedCitation":"&lt;sup&gt;104&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104</w:t>
            </w:r>
            <w:r w:rsidRPr="00E547AD">
              <w:rPr>
                <w:color w:val="0070C0"/>
                <w:sz w:val="22"/>
              </w:rPr>
              <w:fldChar w:fldCharType="end"/>
            </w:r>
          </w:p>
        </w:tc>
      </w:tr>
      <w:tr w:rsidR="002D64E5" w:rsidRPr="00E547AD" w14:paraId="7A2B0AA2"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661523" w14:textId="77777777" w:rsidR="005E13E8" w:rsidRPr="00E547AD" w:rsidRDefault="005E13E8" w:rsidP="002D64E5">
            <w:pPr>
              <w:rPr>
                <w:rFonts w:eastAsia="等线"/>
                <w:color w:val="000000"/>
                <w:sz w:val="22"/>
              </w:rPr>
            </w:pPr>
            <w:r w:rsidRPr="00E547AD">
              <w:rPr>
                <w:sz w:val="22"/>
              </w:rPr>
              <w:t>Europe</w:t>
            </w:r>
          </w:p>
        </w:tc>
        <w:tc>
          <w:tcPr>
            <w:tcW w:w="0" w:type="auto"/>
          </w:tcPr>
          <w:p w14:paraId="3945CE8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Greece</w:t>
            </w:r>
          </w:p>
        </w:tc>
        <w:tc>
          <w:tcPr>
            <w:tcW w:w="0" w:type="auto"/>
          </w:tcPr>
          <w:p w14:paraId="46112A1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2012</w:t>
            </w:r>
          </w:p>
        </w:tc>
        <w:tc>
          <w:tcPr>
            <w:tcW w:w="0" w:type="auto"/>
          </w:tcPr>
          <w:p w14:paraId="1B89C4A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proofErr w:type="spellStart"/>
            <w:r w:rsidRPr="00E547AD">
              <w:rPr>
                <w:rFonts w:eastAsia="等线"/>
                <w:color w:val="000000"/>
                <w:sz w:val="22"/>
              </w:rPr>
              <w:t>Louros</w:t>
            </w:r>
            <w:proofErr w:type="spellEnd"/>
          </w:p>
        </w:tc>
        <w:tc>
          <w:tcPr>
            <w:tcW w:w="0" w:type="auto"/>
          </w:tcPr>
          <w:p w14:paraId="0F48EE0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13</w:t>
            </w:r>
          </w:p>
        </w:tc>
        <w:tc>
          <w:tcPr>
            <w:tcW w:w="0" w:type="auto"/>
          </w:tcPr>
          <w:p w14:paraId="7BE0CD25" w14:textId="35584DEF"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{"citationItems":[{"id":"ITEM-1","itemData":{"DOI":"10.1016/j.scitotenv.2018.09.185","ISSN":"18791026","PMID":"30292989","abstract":"Estuarine environments are being constantly stressed by new sources of pollution (e.g. pesticides) derived from activities of industry and intensive agriculture. The present study aims at quantify pesticides of three different categories (fungicides, herbicides and insecticides) in the Louros River (Epirus region, North-Western Greece). A monitoring study of 34 compounds was carried out in surface river waters from June 2011 until May 2012. Seven water sampling stations were established and 35 water samples were collected. A solid-phase extraction (SPE) method coupled with gas chromatography–mass spectrometry (GC–MS) and liquid chromatography-mass spectrometry (LC-MS), depending on the compound, was developed and validated. During the monitoring study 25 pesticides were detected (13 herbicides, 9 insecticides, 3 fungicides). The most commonly encountered pesticides were quizalofop-ethyl, trifluralin and pendimethaline. Tebufenpyrad was found in all sampling stations and seasons, with the highest concentrations of 0.330 μg/L at Tsopeli Lagoon exceeding the rather low concentrations reported nationwide. Regarding the environmental risk due to the presence of target compounds in surface waters, this was estimated by calculating risk quotients (RQs) for different aquatic organisms (algae, zooplankton and fish). The results denoted a possible threat for the aquatic environment, rendering in this way the RQ method as a useful screening tool. In any case, further extensive study is needed for acetochlor, pirimiphos-methyl, endosulfan-a and azinphos-ethyl in order to better correlate their occurrence and potential toxic effects in aquatic life and humans.","author":[{"dropping-particle":"","family":"Kapsi","given":"Margarita","non-dropping-particle":"","parse-names":false,"suffix":""},{"dropping-particle":"","family":"Tsoutsi","given":"Charoula","non-dropping-particle":"","parse-names":false,"suffix":""},{"dropping-particle":"","family":"Paschalidou","given":"Anastasia","non-dropping-particle":"","parse-names":false,"suffix":""},{"dropping-particle":"","family":"Albanis","given":"Triantafyllos","non-dropping-particle":"","parse-names":false,"suffix":""}],"container-title":"Science of the Total Environment","id":"ITEM-1","issued":{"date-parts":[["2019"]]},"page":"2188-2198","publisher":"Elsevier B.V.","title":"Environmental monitoring and risk assessment of pesticide residues in surface waters of the Louros River (N.W. Greece)","type":"article-journal","volume":"650"},"uris":["http://www.mendeley.com/documents/?uuid=848f057f-9afa-44f9-b41f-239c3d89ee9a"]}],"mendeley":{"formattedCitation":"&lt;sup&gt;105&lt;/sup&gt;","plainTextFormattedCitation":"105","previouslyFormattedCitation":"&lt;sup&gt;105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105</w:t>
            </w:r>
            <w:r w:rsidRPr="00E547AD">
              <w:rPr>
                <w:color w:val="0070C0"/>
                <w:sz w:val="22"/>
              </w:rPr>
              <w:fldChar w:fldCharType="end"/>
            </w:r>
          </w:p>
        </w:tc>
      </w:tr>
      <w:tr w:rsidR="005E13E8" w:rsidRPr="00E547AD" w14:paraId="0A8D251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043F557" w14:textId="77777777" w:rsidR="005E13E8" w:rsidRPr="00E547AD" w:rsidRDefault="005E13E8" w:rsidP="002D64E5">
            <w:pPr>
              <w:rPr>
                <w:rFonts w:eastAsia="等线"/>
                <w:color w:val="000000"/>
                <w:sz w:val="22"/>
              </w:rPr>
            </w:pPr>
            <w:r w:rsidRPr="00E547AD">
              <w:rPr>
                <w:sz w:val="22"/>
              </w:rPr>
              <w:t>Europe</w:t>
            </w:r>
          </w:p>
        </w:tc>
        <w:tc>
          <w:tcPr>
            <w:tcW w:w="0" w:type="auto"/>
          </w:tcPr>
          <w:p w14:paraId="2A27FAA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Greece</w:t>
            </w:r>
          </w:p>
        </w:tc>
        <w:tc>
          <w:tcPr>
            <w:tcW w:w="0" w:type="auto"/>
          </w:tcPr>
          <w:p w14:paraId="5AC694C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1991</w:t>
            </w:r>
          </w:p>
        </w:tc>
        <w:tc>
          <w:tcPr>
            <w:tcW w:w="0" w:type="auto"/>
          </w:tcPr>
          <w:p w14:paraId="0F478405"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bookmarkStart w:id="5" w:name="OLE_LINK2"/>
            <w:proofErr w:type="spellStart"/>
            <w:r w:rsidRPr="00E547AD">
              <w:rPr>
                <w:rFonts w:eastAsia="等线"/>
                <w:color w:val="000000"/>
                <w:sz w:val="22"/>
              </w:rPr>
              <w:t>Thermaikos</w:t>
            </w:r>
            <w:proofErr w:type="spellEnd"/>
            <w:r w:rsidRPr="00E547AD">
              <w:rPr>
                <w:rFonts w:eastAsia="等线"/>
                <w:color w:val="000000"/>
                <w:sz w:val="22"/>
              </w:rPr>
              <w:t xml:space="preserve"> </w:t>
            </w:r>
            <w:bookmarkEnd w:id="5"/>
            <w:r w:rsidRPr="00E547AD">
              <w:rPr>
                <w:rFonts w:eastAsia="等线"/>
                <w:color w:val="000000"/>
                <w:sz w:val="22"/>
              </w:rPr>
              <w:t>Gulf</w:t>
            </w:r>
          </w:p>
        </w:tc>
        <w:tc>
          <w:tcPr>
            <w:tcW w:w="0" w:type="auto"/>
          </w:tcPr>
          <w:p w14:paraId="45A07DD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100</w:t>
            </w:r>
          </w:p>
          <w:p w14:paraId="3908B2F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(50-150)</w:t>
            </w:r>
          </w:p>
        </w:tc>
        <w:tc>
          <w:tcPr>
            <w:tcW w:w="0" w:type="auto"/>
          </w:tcPr>
          <w:p w14:paraId="1DC786DA" w14:textId="7FA5566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{"citationItems":[{"id":"ITEM-1","itemData":{"DOI":"https://doi.org/10.1016/0025-326X(93)90500-J","ISSN":"0025-326X","abstract":"The reported data offers the first extensive evidence that significant concentrations of some herbicides persist in marine systems. In the areas studied (the Ebro delta on the Eastern Coast of Spain, the Rhone delta in the South of France, the River Po, Italy/the Northern Adriatic Sea, the Thermaikos and Amvrakikos Gulfs in Greece and the Nile delta in Egypt) the most commonly encountered herbicides were atrazine, simazine, alachlor, metolachlor and molinate. In general, aqueous concentrations encountered in the riverine inputs were comparable to (or below) those reported for rivers in other regions of the World. Concentrations generally declined from freshwater locations through estuaries to marine waters. The distributions of some herbicides (e.g. the triazines) in sediments endorsed the environmental persistence of these compounds. In contrast to the other areas studied, no herbicides were detected in samples from a preliminary survey of the Nile delta.","author":[{"dropping-particle":"","family":"Readman","given":"J W","non-dropping-particle":"","parse-names":false,"suffix":""},{"dropping-particle":"","family":"Albanis","given":"T A","non-dropping-particle":"","parse-names":false,"suffix":""},{"dropping-particle":"","family":"Barcelo","given":"D","non-dropping-particle":"","parse-names":false,"suffix":""},{"dropping-particle":"","family":"Galassi","given":"S","non-dropping-particle":"","parse-names":false,"suffix":""},{"dropping-particle":"","family":"Tronczynski","given":"J","non-dropping-particle":"","parse-names":false,"suffix":""},{"dropping-particle":"","family":"Gabrielides","given":"G P","non-dropping-particle":"","parse-names":false,"suffix":""}],"container-title":"Marine Pollution Bulletin","id":"ITEM-1","issue":"11","issued":{"date-parts":[["1993"]]},"page":"613-619","title":"Herbicide contamination of Mediterranean estuarine waters: Results from a MED POL pilot survey","type":"article-journal","volume":"26"},"uris":["http://www.mendeley.com/documents/?uuid=6abe5907-c4df-408d-90fa-937f2cbc4f69"]}],"mendeley":{"formattedCitation":"&lt;sup&gt;99&lt;/sup&gt;","plainTextFormattedCitation":"99","previouslyFormattedCitation":"&lt;sup&gt;99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99</w:t>
            </w:r>
            <w:r w:rsidRPr="00E547AD">
              <w:rPr>
                <w:color w:val="0070C0"/>
                <w:sz w:val="22"/>
              </w:rPr>
              <w:fldChar w:fldCharType="end"/>
            </w:r>
          </w:p>
        </w:tc>
      </w:tr>
      <w:tr w:rsidR="002D64E5" w:rsidRPr="00E547AD" w14:paraId="545DE78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3D509FE" w14:textId="77777777" w:rsidR="005E13E8" w:rsidRPr="00E547AD" w:rsidRDefault="005E13E8" w:rsidP="002D64E5">
            <w:pPr>
              <w:rPr>
                <w:rFonts w:eastAsia="等线"/>
                <w:color w:val="000000"/>
                <w:sz w:val="22"/>
              </w:rPr>
            </w:pPr>
            <w:r w:rsidRPr="00E547AD">
              <w:rPr>
                <w:sz w:val="22"/>
              </w:rPr>
              <w:t>Europe</w:t>
            </w:r>
          </w:p>
        </w:tc>
        <w:tc>
          <w:tcPr>
            <w:tcW w:w="0" w:type="auto"/>
          </w:tcPr>
          <w:p w14:paraId="7EED544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Greece</w:t>
            </w:r>
          </w:p>
        </w:tc>
        <w:tc>
          <w:tcPr>
            <w:tcW w:w="0" w:type="auto"/>
          </w:tcPr>
          <w:p w14:paraId="71C6FD0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1991</w:t>
            </w:r>
          </w:p>
        </w:tc>
        <w:tc>
          <w:tcPr>
            <w:tcW w:w="0" w:type="auto"/>
          </w:tcPr>
          <w:p w14:paraId="79E71D8F"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proofErr w:type="spellStart"/>
            <w:r w:rsidRPr="00E547AD">
              <w:rPr>
                <w:rFonts w:eastAsia="等线"/>
                <w:color w:val="000000"/>
                <w:sz w:val="22"/>
              </w:rPr>
              <w:t>Amvrakikos</w:t>
            </w:r>
            <w:proofErr w:type="spellEnd"/>
            <w:r w:rsidRPr="00E547AD">
              <w:rPr>
                <w:rFonts w:eastAsia="等线"/>
                <w:color w:val="000000"/>
                <w:sz w:val="22"/>
              </w:rPr>
              <w:t xml:space="preserve"> Gulf</w:t>
            </w:r>
          </w:p>
        </w:tc>
        <w:tc>
          <w:tcPr>
            <w:tcW w:w="0" w:type="auto"/>
          </w:tcPr>
          <w:p w14:paraId="3265F38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425</w:t>
            </w:r>
          </w:p>
          <w:p w14:paraId="0C3D6B2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(50-800)</w:t>
            </w:r>
          </w:p>
        </w:tc>
        <w:tc>
          <w:tcPr>
            <w:tcW w:w="0" w:type="auto"/>
          </w:tcPr>
          <w:p w14:paraId="2B436A9E" w14:textId="5B9CE3F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{"citationItems":[{"id":"ITEM-1","itemData":{"DOI":"https://doi.org/10.1016/0025-326X(93)90500-J","ISSN":"0025-326X","abstract":"The reported data offers the first extensive evidence that significant concentrations of some herbicides persist in marine systems. In the areas studied (the Ebro delta on the Eastern Coast of Spain, the Rhone delta in the South of France, the River Po, Italy/the Northern Adriatic Sea, the Thermaikos and Amvrakikos Gulfs in Greece and the Nile delta in Egypt) the most commonly encountered herbicides were atrazine, simazine, alachlor, metolachlor and molinate. In general, aqueous concentrations encountered in the riverine inputs were comparable to (or below) those reported for rivers in other regions of the World. Concentrations generally declined from freshwater locations through estuaries to marine waters. The distributions of some herbicides (e.g. the triazines) in sediments endorsed the environmental persistence of these compounds. In contrast to the other areas studied, no herbicides were detected in samples from a preliminary survey of the Nile delta.","author":[{"dropping-particle":"","family":"Readman","given":"J W","non-dropping-particle":"","parse-names":false,"suffix":""},{"dropping-particle":"","family":"Albanis","given":"T A","non-dropping-particle":"","parse-names":false,"suffix":""},{"dropping-particle":"","family":"Barcelo","given":"D","non-dropping-particle":"","parse-names":false,"suffix":""},{"dropping-particle":"","family":"Galassi","given":"S","non-dropping-particle":"","parse-names":false,"suffix":""},{"dropping-particle":"","family":"Tronczynski","given":"J","non-dropping-particle":"","parse-names":false,"suffix":""},{"dropping-particle":"","family":"Gabrielides","given":"G P","non-dropping-particle":"","parse-names":false,"suffix":""}],"container-title":"Marine Pollution Bulletin","id":"ITEM-1","issue":"11","issued":{"date-parts":[["1993"]]},"page":"613-619","title":"Herbicide contamination of Mediterranean estuarine waters: Results from a MED POL pilot survey","type":"article-journal","volume":"26"},"uris":["http://www.mendeley.com/documents/?uuid=6abe5907-c4df-408d-90fa-937f2cbc4f69"]}],"mendeley":{"formattedCitation":"&lt;sup&gt;99&lt;/sup&gt;","plainTextFormattedCitation":"99","previouslyFormattedCitation":"&lt;sup&gt;99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99</w:t>
            </w:r>
            <w:r w:rsidRPr="00E547AD">
              <w:rPr>
                <w:color w:val="0070C0"/>
                <w:sz w:val="22"/>
              </w:rPr>
              <w:fldChar w:fldCharType="end"/>
            </w:r>
          </w:p>
        </w:tc>
      </w:tr>
      <w:tr w:rsidR="005E13E8" w:rsidRPr="00E547AD" w14:paraId="3C72CB04"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187B508" w14:textId="77777777" w:rsidR="005E13E8" w:rsidRPr="00E547AD" w:rsidRDefault="005E13E8" w:rsidP="002D64E5">
            <w:pPr>
              <w:rPr>
                <w:rFonts w:eastAsia="等线"/>
                <w:color w:val="000000"/>
                <w:sz w:val="22"/>
              </w:rPr>
            </w:pPr>
            <w:r w:rsidRPr="00E547AD">
              <w:rPr>
                <w:sz w:val="22"/>
              </w:rPr>
              <w:t>Europe</w:t>
            </w:r>
          </w:p>
        </w:tc>
        <w:tc>
          <w:tcPr>
            <w:tcW w:w="0" w:type="auto"/>
          </w:tcPr>
          <w:p w14:paraId="3E38B3F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Italy</w:t>
            </w:r>
          </w:p>
        </w:tc>
        <w:tc>
          <w:tcPr>
            <w:tcW w:w="0" w:type="auto"/>
          </w:tcPr>
          <w:p w14:paraId="205D168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2005</w:t>
            </w:r>
          </w:p>
        </w:tc>
        <w:tc>
          <w:tcPr>
            <w:tcW w:w="0" w:type="auto"/>
          </w:tcPr>
          <w:p w14:paraId="2E36D07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Sacca</w:t>
            </w:r>
            <w:proofErr w:type="spellEnd"/>
            <w:r w:rsidRPr="00E547AD">
              <w:rPr>
                <w:rFonts w:eastAsia="等线"/>
                <w:color w:val="000000"/>
                <w:sz w:val="22"/>
              </w:rPr>
              <w:t xml:space="preserve"> di </w:t>
            </w:r>
            <w:proofErr w:type="spellStart"/>
            <w:r w:rsidRPr="00E547AD">
              <w:rPr>
                <w:rFonts w:eastAsia="等线"/>
                <w:color w:val="000000"/>
                <w:sz w:val="22"/>
              </w:rPr>
              <w:t>Goro</w:t>
            </w:r>
            <w:proofErr w:type="spellEnd"/>
            <w:r w:rsidRPr="00E547AD">
              <w:rPr>
                <w:rFonts w:eastAsia="等线"/>
                <w:color w:val="000000"/>
                <w:sz w:val="22"/>
              </w:rPr>
              <w:t xml:space="preserve"> lagoon</w:t>
            </w:r>
          </w:p>
        </w:tc>
        <w:tc>
          <w:tcPr>
            <w:tcW w:w="0" w:type="auto"/>
          </w:tcPr>
          <w:p w14:paraId="07E7B29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(2-8)</w:t>
            </w:r>
          </w:p>
        </w:tc>
        <w:tc>
          <w:tcPr>
            <w:tcW w:w="0" w:type="auto"/>
          </w:tcPr>
          <w:p w14:paraId="5EBAB9B2" w14:textId="4E3D88E9"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{"citationItems":[{"id":"ITEM-1","itemData":{"DOI":"10.1016/j.marpolbul.2006.02.025","ISSN":"0025326X","PMID":"16643962","abstract":"Sacca di Goro is a shallow coastal microtidal lagoon with a surface area of 26 km2, and an average depth of about 1.5 m. Fresh water pollutant loads from Po River branches and several drainage canals lead to anthropogenic eutrophication, frequent summer anoxia crises and chemical contamination. Such events not only affect the lagoon ecosystem but also cause serious economic losses, the lagoon being the second largest producer of clams in Italy. The present work aims at using a fate model coupled with COHERENS 3D hydrodynamic model to simulate and to explain the spatial distribution and temporal variations of s-triazines herbicides in the Sacca di Goro lagoon. The simulation results of spatial and temporal dynamic behaviour of atrazine, simazine and terbuthylazine have been compared with experimental data obtained during an annual monitoring programme. © 2006 Elsevier Ltd. All rights reserved.","author":[{"dropping-particle":"","family":"Carafa","given":"R.","non-dropping-particle":"","parse-names":false,"suffix":""},{"dropping-particle":"","family":"Marinov","given":"D.","non-dropping-particle":"","parse-names":false,"suffix":""},{"dropping-particle":"","family":"Dueri","given":"S.","non-dropping-particle":"","parse-names":false,"suffix":""},{"dropping-particle":"","family":"Wollgast","given":"J.","non-dropping-particle":"","parse-names":false,"suffix":""},{"dropping-particle":"","family":"Ligthart","given":"J.","non-dropping-particle":"","parse-names":false,"suffix":""},{"dropping-particle":"","family":"Canuti","given":"E.","non-dropping-particle":"","parse-names":false,"suffix":""},{"dropping-particle":"","family":"Viaroli","given":"P.","non-dropping-particle":"","parse-names":false,"suffix":""},{"dropping-particle":"","family":"Zaldívar","given":"J. M.","non-dropping-particle":"","parse-names":false,"suffix":""}],"container-title":"Marine Pollution Bulletin","id":"ITEM-1","issue":"10","issued":{"date-parts":[["2006"]]},"page":"1231-1248","title":"A 3D hydrodynamic fate and transport model for herbicides in Sacca di Goro coastal lagoon (Northern Adriatic)","type":"article-journal","volume":"52"},"uris":["http://www.mendeley.com/documents/?uuid=82b2d56d-7bd0-4201-9e9c-3bcfb14ad88d"]}],"mendeley":{"formattedCitation":"&lt;sup&gt;106&lt;/sup&gt;","plainTextFormattedCitation":"106","previouslyFormattedCitation":"&lt;sup&gt;106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106</w:t>
            </w:r>
            <w:r w:rsidRPr="00E547AD">
              <w:rPr>
                <w:color w:val="0070C0"/>
                <w:sz w:val="22"/>
              </w:rPr>
              <w:fldChar w:fldCharType="end"/>
            </w:r>
          </w:p>
        </w:tc>
      </w:tr>
      <w:tr w:rsidR="002D64E5" w:rsidRPr="00E547AD" w14:paraId="425E58B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AE31AC4" w14:textId="77777777" w:rsidR="005E13E8" w:rsidRPr="00E547AD" w:rsidRDefault="005E13E8" w:rsidP="002D64E5">
            <w:pPr>
              <w:rPr>
                <w:rFonts w:eastAsia="等线"/>
                <w:color w:val="000000"/>
                <w:sz w:val="22"/>
              </w:rPr>
            </w:pPr>
            <w:r w:rsidRPr="00E547AD">
              <w:rPr>
                <w:sz w:val="22"/>
              </w:rPr>
              <w:t>Europe</w:t>
            </w:r>
          </w:p>
        </w:tc>
        <w:tc>
          <w:tcPr>
            <w:tcW w:w="0" w:type="auto"/>
          </w:tcPr>
          <w:p w14:paraId="1586A18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Italy</w:t>
            </w:r>
          </w:p>
        </w:tc>
        <w:tc>
          <w:tcPr>
            <w:tcW w:w="0" w:type="auto"/>
          </w:tcPr>
          <w:p w14:paraId="68EF871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2010</w:t>
            </w:r>
          </w:p>
        </w:tc>
        <w:tc>
          <w:tcPr>
            <w:tcW w:w="0" w:type="auto"/>
          </w:tcPr>
          <w:p w14:paraId="481E6F6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Baltic Estuary</w:t>
            </w:r>
          </w:p>
        </w:tc>
        <w:tc>
          <w:tcPr>
            <w:tcW w:w="0" w:type="auto"/>
          </w:tcPr>
          <w:p w14:paraId="52A4611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1.6</w:t>
            </w:r>
          </w:p>
          <w:p w14:paraId="072C87D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(1.7-2.1)</w:t>
            </w:r>
          </w:p>
        </w:tc>
        <w:tc>
          <w:tcPr>
            <w:tcW w:w="0" w:type="auto"/>
          </w:tcPr>
          <w:p w14:paraId="52633112" w14:textId="4CA0DE9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{"citationItems":[{"id":"ITEM-1","itemData":{"DOI":"10.1016/j.marpolbul.2013.02.018","ISSN":"0025326X","PMID":"23481690","abstract":"Despite its EU-wide ban in 2004 the triazine herbicide atrazine (ATR) and its transformation products (TPs) are frequently detected in the aqueous environment. In this study, concentrations of ATR, two of its TPs, and terbuthylazine (TERB) are presented and discussed in coastal waters of the Northern Aegean Sea, the Dardanelles, the Baltic Sea (Germany), the Northern Adriatic Sea (Italy), and the coastline close to Barcelona (Spain). The water samples (n=132) were taken in 2009-2011. Sediment samples (n=7) were taken from Baltic Sea (Germany) and Thermaikos Gulf (Greece). Maximum ATR concentrations (31-41ngL-1) were detected in Istanbul and the Dardanelles. A concentration gradient from East to West in the Aegean Sea was observed, indicating ongoing ATR contamination via the Dardanelles. Low concentrations and detection frequencies were observed at the other locations, indicating the success of the prohibition. However, the presence of TERB in the Northern Adriatic Sea raises concern. © 2013 Elsevier Ltd.","author":[{"dropping-particle":"","family":"Nödler","given":"Karsten","non-dropping-particle":"","parse-names":false,"suffix":""},{"dropping-particle":"","family":"Licha","given":"Tobias","non-dropping-particle":"","parse-names":false,"suffix":""},{"dropping-particle":"","family":"Voutsa","given":"Dimitra","non-dropping-particle":"","parse-names":false,"suffix":""}],"container-title":"Marine Pollution Bulletin","id":"ITEM-1","issue":"1-2","issued":{"date-parts":[["2013"]]},"page":"112-118","title":"Twenty years later - Atrazine concentrations in selected coastal waters of the Mediterranean and the Baltic Sea","type":"article-journal","volume":"70"},"uris":["http://www.mendeley.com/documents/?uuid=4e185494-55ea-427d-9a4a-030dfe61f6cc"]}],"mendeley":{"formattedCitation":"&lt;sup&gt;107&lt;/sup&gt;","plainTextFormattedCitation":"107","previouslyFormattedCitation":"&lt;sup&gt;107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107</w:t>
            </w:r>
            <w:r w:rsidRPr="00E547AD">
              <w:rPr>
                <w:color w:val="0070C0"/>
                <w:sz w:val="22"/>
              </w:rPr>
              <w:fldChar w:fldCharType="end"/>
            </w:r>
          </w:p>
        </w:tc>
      </w:tr>
      <w:tr w:rsidR="005E13E8" w:rsidRPr="00E547AD" w14:paraId="5BC510C8"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87DD113" w14:textId="77777777" w:rsidR="005E13E8" w:rsidRPr="00E547AD" w:rsidRDefault="005E13E8" w:rsidP="002D64E5">
            <w:pPr>
              <w:rPr>
                <w:rFonts w:eastAsia="等线"/>
                <w:color w:val="000000"/>
                <w:sz w:val="22"/>
              </w:rPr>
            </w:pPr>
            <w:r w:rsidRPr="00E547AD">
              <w:rPr>
                <w:sz w:val="22"/>
              </w:rPr>
              <w:t>Europe</w:t>
            </w:r>
          </w:p>
        </w:tc>
        <w:tc>
          <w:tcPr>
            <w:tcW w:w="0" w:type="auto"/>
          </w:tcPr>
          <w:p w14:paraId="4DCA9E0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Portugal</w:t>
            </w:r>
          </w:p>
        </w:tc>
        <w:tc>
          <w:tcPr>
            <w:tcW w:w="0" w:type="auto"/>
          </w:tcPr>
          <w:p w14:paraId="711CF0A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7E49BB9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Arade</w:t>
            </w:r>
            <w:proofErr w:type="spellEnd"/>
            <w:r w:rsidRPr="00E547AD">
              <w:rPr>
                <w:rFonts w:eastAsia="等线"/>
                <w:color w:val="000000"/>
                <w:sz w:val="22"/>
              </w:rPr>
              <w:t xml:space="preserve"> estuary</w:t>
            </w:r>
          </w:p>
        </w:tc>
        <w:tc>
          <w:tcPr>
            <w:tcW w:w="0" w:type="auto"/>
          </w:tcPr>
          <w:p w14:paraId="6DAD95CB"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(2-3)</w:t>
            </w:r>
          </w:p>
        </w:tc>
        <w:tc>
          <w:tcPr>
            <w:tcW w:w="0" w:type="auto"/>
          </w:tcPr>
          <w:p w14:paraId="37589125" w14:textId="1690FBF3"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{"citationItems":[{"id":"ITEM-1","itemData":{"DOI":"10.1016/j.marpolbul.2015.04.029","ISSN":"18793363","PMID":"25998726","abstract":"This paper deals with the detection and quantification of APIs and other priority substances in the Arade River estuary (Portugal) providing the usefulness of Polar Organic Compound Integrative Samplers (POCIS). Thirteen APIs were detected whose variation was site and time dependent. Caffeine was at the highest concentration (804 ± 209. ng/L) followed by theophylline (184 ± 44. ng/L). Other APIs were analgesic, anticonvulsant, non-steroidal anti-inflammatory drugs, anti-lipidemic, anxiolytic and antidepressants. Twenty pesticides comprising atrazine, diuron, isoproturon, terbutryn and simazine included in the Water Framework Directive priority list were also site and time dependent. Carbendazim occurred at the highest concentration (45 ± 18. ng/L at site 1) but atrazine, diuron, isoproturon and simazine levels were below the Environmental Quality Standards. Although the summer impact was unclear, the results highlighted POCIS suitability for profiling these contaminants. This is to our knowledge the first study concerning APIs and pesticides in this area.","author":[{"dropping-particle":"","family":"Gonzalez-Rey","given":"Maria","non-dropping-particle":"","parse-names":false,"suffix":""},{"dropping-particle":"","family":"Tapie","given":"Nathalie","non-dropping-particle":"","parse-names":false,"suffix":""},{"dropping-particle":"","family":"Menach","given":"Karyn","non-dropping-particle":"Le","parse-names":false,"suffix":""},{"dropping-particle":"","family":"Dévier","given":"Marie Hélène","non-dropping-particle":"","parse-names":false,"suffix":""},{"dropping-particle":"","family":"Budzinski","given":"Hélène","non-dropping-particle":"","parse-names":false,"suffix":""},{"dropping-particle":"","family":"Bebianno","given":"Maria João","non-dropping-particle":"","parse-names":false,"suffix":""}],"container-title":"Marine Pollution Bulletin","id":"ITEM-1","issue":"1-2","issued":{"date-parts":[["2015"]]},"page":"384-400","publisher":"Elsevier Ltd","title":"Occurrence of pharmaceutical compounds and pesticides in aquatic systems","type":"article-journal","volume":"96"},"uris":["http://www.mendeley.com/documents/?uuid=3dfb9193-368e-444d-9662-c8c65514125f"]}],"mendeley":{"formattedCitation":"&lt;sup&gt;108&lt;/sup&gt;","plainTextFormattedCitation":"108","previouslyFormattedCitation":"&lt;sup&gt;108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108</w:t>
            </w:r>
            <w:r w:rsidRPr="00E547AD">
              <w:rPr>
                <w:color w:val="0070C0"/>
                <w:sz w:val="22"/>
              </w:rPr>
              <w:fldChar w:fldCharType="end"/>
            </w:r>
          </w:p>
        </w:tc>
      </w:tr>
      <w:tr w:rsidR="002D64E5" w:rsidRPr="00E547AD" w14:paraId="008B2298"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21A86A" w14:textId="77777777" w:rsidR="005E13E8" w:rsidRPr="00E547AD" w:rsidRDefault="005E13E8" w:rsidP="002D64E5">
            <w:pPr>
              <w:rPr>
                <w:rFonts w:eastAsia="等线"/>
                <w:color w:val="000000"/>
                <w:sz w:val="22"/>
              </w:rPr>
            </w:pPr>
            <w:r w:rsidRPr="00E547AD">
              <w:rPr>
                <w:sz w:val="22"/>
              </w:rPr>
              <w:t>Europe</w:t>
            </w:r>
          </w:p>
        </w:tc>
        <w:tc>
          <w:tcPr>
            <w:tcW w:w="0" w:type="auto"/>
          </w:tcPr>
          <w:p w14:paraId="5046C997"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Portugal</w:t>
            </w:r>
          </w:p>
        </w:tc>
        <w:tc>
          <w:tcPr>
            <w:tcW w:w="0" w:type="auto"/>
          </w:tcPr>
          <w:p w14:paraId="46B092F3"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2017</w:t>
            </w:r>
          </w:p>
        </w:tc>
        <w:tc>
          <w:tcPr>
            <w:tcW w:w="0" w:type="auto"/>
          </w:tcPr>
          <w:p w14:paraId="7F026018" w14:textId="069E1FB3"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Portugal</w:t>
            </w:r>
            <w:r w:rsidR="00AE51DF">
              <w:rPr>
                <w:rFonts w:eastAsia="等线"/>
                <w:color w:val="000000"/>
                <w:sz w:val="22"/>
              </w:rPr>
              <w:t xml:space="preserve"> </w:t>
            </w:r>
            <w:r w:rsidR="00AE51DF" w:rsidRPr="00E547AD">
              <w:rPr>
                <w:rFonts w:eastAsia="等线"/>
                <w:color w:val="000000"/>
                <w:sz w:val="22"/>
              </w:rPr>
              <w:t>Estuar</w:t>
            </w:r>
            <w:r w:rsidR="00AE51DF">
              <w:rPr>
                <w:rFonts w:eastAsia="等线"/>
                <w:color w:val="000000"/>
                <w:sz w:val="22"/>
              </w:rPr>
              <w:t>ies</w:t>
            </w:r>
          </w:p>
        </w:tc>
        <w:tc>
          <w:tcPr>
            <w:tcW w:w="0" w:type="auto"/>
          </w:tcPr>
          <w:p w14:paraId="192D878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(na-16.5)</w:t>
            </w:r>
          </w:p>
        </w:tc>
        <w:tc>
          <w:tcPr>
            <w:tcW w:w="0" w:type="auto"/>
          </w:tcPr>
          <w:p w14:paraId="02B54E57" w14:textId="35CBBDA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{"citationItems":[{"id":"ITEM-1","itemData":{"DOI":"10.1016/j.marpolbul.2020.111120","ISSN":"18793363","PMID":"32319933","abstract":"This work provides the first spatial distribution report of micropollutants (MPs) in the entire Portuguese coast, comprising the ocean shore (sea water, SW) and whenever possible the nearest river discharging on it (estuarine water, EW). This surface water monitoring programme aimed to assess the spatial distribution of 38 MPs with a wide chemical nature, including some substances prioritized by the European Union Directive 39/2013/EU and contaminants of emerging concern targeted in the Watch List of Decisions 495/2015/EU and 840/2018/EU. The risk quotients were estimated in each sampling point for the detected MPs. High concentrations of diclofenac, tramadol and carbamazepine were determined, the latter with medium to high risk for algae. Some pharmaceuticals and perfluorooctanesulfonic acid (PFOS) were broadly distributed, maybe due to the direct discharge into the sea. Atrazine and alachlor were found in the majority of the samples, with alachlor levels often considered as medium to high risk.","author":[{"dropping-particle":"","family":"Sousa","given":"João C.G.","non-dropping-particle":"","parse-names":false,"suffix":""},{"dropping-particle":"","family":"Barbosa","given":"Marta O.","non-dropping-particle":"","parse-names":false,"suffix":""},{"dropping-particle":"","family":"Ribeiro","given":"Ana R.L.","non-dropping-particle":"","parse-names":false,"suffix":""},{"dropping-particle":"","family":"Ratola","given":"Nuno","non-dropping-particle":"","parse-names":false,"suffix":""},{"dropping-particle":"","family":"Pereira","given":"Manuel F.R.","non-dropping-particle":"","parse-names":false,"suffix":""},{"dropping-particle":"","family":"Silva","given":"Adrián M.T.","non-dropping-particle":"","parse-names":false,"suffix":""}],"container-title":"Marine Pollution Bulletin","id":"ITEM-1","issue":"May 2019","issued":{"date-parts":[["2020"]]},"page":"111120","publisher":"Elsevier","title":"Distribution of micropollutants in estuarine and sea water along the Portuguese coast","type":"article-journal","volume":"154"},"uris":["http://www.mendeley.com/documents/?uuid=af726e4e-dd05-46cf-a278-edd1abe3bd52"]}],"mendeley":{"formattedCitation":"&lt;sup&gt;109&lt;/sup&gt;","plainTextFormattedCitation":"109","previouslyFormattedCitation":"&lt;sup&gt;109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109</w:t>
            </w:r>
            <w:r w:rsidRPr="00E547AD">
              <w:rPr>
                <w:color w:val="0070C0"/>
                <w:sz w:val="22"/>
              </w:rPr>
              <w:fldChar w:fldCharType="end"/>
            </w:r>
          </w:p>
        </w:tc>
      </w:tr>
      <w:tr w:rsidR="005E13E8" w:rsidRPr="00E547AD" w14:paraId="1BCCB0D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74BAE388" w14:textId="77777777" w:rsidR="005E13E8" w:rsidRPr="00E547AD" w:rsidRDefault="005E13E8" w:rsidP="002D64E5">
            <w:pPr>
              <w:rPr>
                <w:rFonts w:eastAsia="等线"/>
                <w:color w:val="000000"/>
                <w:sz w:val="22"/>
              </w:rPr>
            </w:pPr>
            <w:r w:rsidRPr="00E547AD">
              <w:rPr>
                <w:sz w:val="22"/>
              </w:rPr>
              <w:t>Europe</w:t>
            </w:r>
          </w:p>
        </w:tc>
        <w:tc>
          <w:tcPr>
            <w:tcW w:w="0" w:type="auto"/>
          </w:tcPr>
          <w:p w14:paraId="40B7BFB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Portugal</w:t>
            </w:r>
          </w:p>
        </w:tc>
        <w:tc>
          <w:tcPr>
            <w:tcW w:w="0" w:type="auto"/>
          </w:tcPr>
          <w:p w14:paraId="64431BC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2012</w:t>
            </w:r>
          </w:p>
        </w:tc>
        <w:tc>
          <w:tcPr>
            <w:tcW w:w="0" w:type="auto"/>
          </w:tcPr>
          <w:p w14:paraId="7D8EBAD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Guadiana River</w:t>
            </w:r>
          </w:p>
        </w:tc>
        <w:tc>
          <w:tcPr>
            <w:tcW w:w="0" w:type="auto"/>
          </w:tcPr>
          <w:p w14:paraId="67A3113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8.2</w:t>
            </w:r>
          </w:p>
          <w:p w14:paraId="75D7501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(na-18.61)</w:t>
            </w:r>
          </w:p>
        </w:tc>
        <w:tc>
          <w:tcPr>
            <w:tcW w:w="0" w:type="auto"/>
          </w:tcPr>
          <w:p w14:paraId="6028E456" w14:textId="6E09469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{"citationItems":[{"id":"ITEM-1","itemData":{"DOI":"10.1016/j.scitotenv.2014.04.088","ISSN":"18791026","PMID":"24836129","abstract":"The purpose of this study was to evaluate the potential impact of the pesticides detected in the Alqueva reservoir (Guadiana Basin, South Iberian Peninsula) on the aquatic organisms belonging to this ecosystem. For this purpose, the occurrence and risk assessment of 25 pesticides and of a number of their degradation products were determined in the Alqueva surface waters. The areas (sampling stations) most polluted by pesticides were Sra. Ajuda, Lucefecit and Álamos in the northern and in the middle portions of the reservoir, respectively. The aquatic risk assessment revealed that from the various compounds analysed terbuthylazine, chlorfenvinphos and diazinon presented non-acceptable risk when maximum concentrations were used as the measured environmental concentrations (MEC). The locations that had more samples with risk quotients higher than 1 (high risk) were Sra. Ajuda followed by Lucefécit. The use of risk assessment allowed us to conclude that, despite that the pesticides' concentrations in the water column fulfil the European environmental quality standards, a number of the compounds show a high ecotoxicological risk for the aquatic organisms in the Alqueva ecosystem. The results thereby demonstrate that to have an efficient risk management process, the regulatory authorities of each country must consider an integrative chemical and ecotoxicological approach. © 2014 Elsevier B.V.","author":[{"dropping-particle":"","family":"Palma","given":"P.","non-dropping-particle":"","parse-names":false,"suffix":""},{"dropping-particle":"","family":"Köck-Schulmeyer","given":"M.","non-dropping-particle":"","parse-names":false,"suffix":""},{"dropping-particle":"","family":"Alvarenga","given":"P.","non-dropping-particle":"","parse-names":false,"suffix":""},{"dropping-particle":"","family":"Ledo","given":"L.","non-dropping-particle":"","parse-names":false,"suffix":""},{"dropping-particle":"","family":"Barbosa","given":"I. R.","non-dropping-particle":"","parse-names":false,"suffix":""},{"dropping-particle":"","family":"López de Alda","given":"M.","non-dropping-particle":"","parse-names":false,"suffix":""},{"dropping-particle":"","family":"Barceló","given":"D.","non-dropping-particle":"","parse-names":false,"suffix":""}],"container-title":"Science of the Total Environment","id":"ITEM-1","issue":"1","issued":{"date-parts":[["2014"]]},"page":"208-219","publisher":"Elsevier B.V.","title":"Risk assessment of pesticides detected in surface water of the Alqueva reservoir (Guadiana basin, southern of Portugal)","type":"article-journal","volume":"488-489"},"uris":["http://www.mendeley.com/documents/?uuid=e1eb526f-4edd-4e3b-a769-d46c553c72c2"]}],"mendeley":{"formattedCitation":"&lt;sup&gt;110&lt;/sup&gt;","plainTextFormattedCitation":"110","previouslyFormattedCitation":"&lt;sup&gt;110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110</w:t>
            </w:r>
            <w:r w:rsidRPr="00E547AD">
              <w:rPr>
                <w:color w:val="0070C0"/>
                <w:sz w:val="22"/>
              </w:rPr>
              <w:fldChar w:fldCharType="end"/>
            </w:r>
          </w:p>
        </w:tc>
      </w:tr>
      <w:tr w:rsidR="002D64E5" w:rsidRPr="00E547AD" w14:paraId="7BF3F68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6A96D78" w14:textId="77777777" w:rsidR="005E13E8" w:rsidRPr="00E547AD" w:rsidRDefault="005E13E8" w:rsidP="002D64E5">
            <w:pPr>
              <w:rPr>
                <w:rFonts w:eastAsia="等线"/>
                <w:color w:val="000000"/>
                <w:sz w:val="22"/>
              </w:rPr>
            </w:pPr>
            <w:r w:rsidRPr="00E547AD">
              <w:rPr>
                <w:sz w:val="22"/>
              </w:rPr>
              <w:t>Europe</w:t>
            </w:r>
          </w:p>
        </w:tc>
        <w:tc>
          <w:tcPr>
            <w:tcW w:w="0" w:type="auto"/>
          </w:tcPr>
          <w:p w14:paraId="7CD9590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Portugal</w:t>
            </w:r>
          </w:p>
        </w:tc>
        <w:tc>
          <w:tcPr>
            <w:tcW w:w="0" w:type="auto"/>
          </w:tcPr>
          <w:p w14:paraId="39384EF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2017</w:t>
            </w:r>
          </w:p>
        </w:tc>
        <w:tc>
          <w:tcPr>
            <w:tcW w:w="0" w:type="auto"/>
          </w:tcPr>
          <w:p w14:paraId="403AE84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Mediterranean Sea</w:t>
            </w:r>
          </w:p>
        </w:tc>
        <w:tc>
          <w:tcPr>
            <w:tcW w:w="0" w:type="auto"/>
          </w:tcPr>
          <w:p w14:paraId="2EEE81C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(na-16.5)</w:t>
            </w:r>
          </w:p>
        </w:tc>
        <w:tc>
          <w:tcPr>
            <w:tcW w:w="0" w:type="auto"/>
          </w:tcPr>
          <w:p w14:paraId="0EF584CA" w14:textId="56E94CB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{"citationItems":[{"id":"ITEM-1","itemData":{"DOI":"10.1016/j.marpolbul.2020.111120","ISSN":"18793363","PMID":"32319933","abstract":"This work provides the first spatial distribution report of micropollutants (MPs) in the entire Portuguese coast, comprising the ocean shore (sea water, SW) and whenever possible the nearest river discharging on it (estuarine water, EW). This surface water monitoring programme aimed to assess the spatial distribution of 38 MPs with a wide chemical nature, including some substances prioritized by the European Union Directive 39/2013/EU and contaminants of emerging concern targeted in the Watch List of Decisions 495/2015/EU and 840/2018/EU. The risk quotients were estimated in each sampling point for the detected MPs. High concentrations of diclofenac, tramadol and carbamazepine were determined, the latter with medium to high risk for algae. Some pharmaceuticals and perfluorooctanesulfonic acid (PFOS) were broadly distributed, maybe due to the direct discharge into the sea. Atrazine and alachlor were found in the majority of the samples, with alachlor levels often considered as medium to high risk.","author":[{"dropping-particle":"","family":"Sousa","given":"João C.G.","non-dropping-particle":"","parse-names":false,"suffix":""},{"dropping-particle":"","family":"Barbosa","given":"Marta O.","non-dropping-particle":"","parse-names":false,"suffix":""},{"dropping-particle":"","family":"Ribeiro","given":"Ana R.L.","non-dropping-particle":"","parse-names":false,"suffix":""},{"dropping-particle":"","family":"Ratola","given":"Nuno","non-dropping-particle":"","parse-names":false,"suffix":""},{"dropping-particle":"","family":"Pereira","given":"Manuel F.R.","non-dropping-particle":"","parse-names":false,"suffix":""},{"dropping-particle":"","family":"Silva","given":"Adrián M.T.","non-dropping-particle":"","parse-names":false,"suffix":""}],"container-title":"Marine Pollution Bulletin","id":"ITEM-1","issue":"May 2019","issued":{"date-parts":[["2020"]]},"page":"111120","publisher":"Elsevier","title":"Distribution of micropollutants in estuarine and sea water along the Portuguese coast","type":"article-journal","volume":"154"},"uris":["http://www.mendeley.com/documents/?uuid=af726e4e-dd05-46cf-a278-edd1abe3bd52"]}],"mendeley":{"formattedCitation":"&lt;sup&gt;109&lt;/sup&gt;","plainTextFormattedCitation":"109","previouslyFormattedCitation":"&lt;sup&gt;109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109</w:t>
            </w:r>
            <w:r w:rsidRPr="00E547AD">
              <w:rPr>
                <w:color w:val="0070C0"/>
                <w:sz w:val="22"/>
              </w:rPr>
              <w:fldChar w:fldCharType="end"/>
            </w:r>
          </w:p>
        </w:tc>
      </w:tr>
      <w:tr w:rsidR="005E13E8" w:rsidRPr="00E547AD" w14:paraId="1056E571"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94554E9" w14:textId="77777777" w:rsidR="005E13E8" w:rsidRPr="00E547AD" w:rsidRDefault="005E13E8" w:rsidP="002D64E5">
            <w:pPr>
              <w:rPr>
                <w:rFonts w:eastAsia="等线"/>
                <w:color w:val="000000"/>
                <w:sz w:val="22"/>
              </w:rPr>
            </w:pPr>
            <w:r w:rsidRPr="00E547AD">
              <w:rPr>
                <w:sz w:val="22"/>
              </w:rPr>
              <w:t>Europe</w:t>
            </w:r>
          </w:p>
        </w:tc>
        <w:tc>
          <w:tcPr>
            <w:tcW w:w="0" w:type="auto"/>
          </w:tcPr>
          <w:p w14:paraId="53D74D9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Portugal</w:t>
            </w:r>
          </w:p>
        </w:tc>
        <w:tc>
          <w:tcPr>
            <w:tcW w:w="0" w:type="auto"/>
          </w:tcPr>
          <w:p w14:paraId="05C805E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2017</w:t>
            </w:r>
          </w:p>
        </w:tc>
        <w:tc>
          <w:tcPr>
            <w:tcW w:w="0" w:type="auto"/>
          </w:tcPr>
          <w:p w14:paraId="659822C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Mediterranean Sea</w:t>
            </w:r>
          </w:p>
        </w:tc>
        <w:tc>
          <w:tcPr>
            <w:tcW w:w="0" w:type="auto"/>
          </w:tcPr>
          <w:p w14:paraId="187BD3D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(na-35.3)</w:t>
            </w:r>
          </w:p>
        </w:tc>
        <w:tc>
          <w:tcPr>
            <w:tcW w:w="0" w:type="auto"/>
          </w:tcPr>
          <w:p w14:paraId="61799506" w14:textId="4B8C3813"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{"citationItems":[{"id":"ITEM-1","itemData":{"DOI":"10.1016/j.marpolbul.2020.111120","ISSN":"18793363","PMID":"32319933","abstract":"This work provides the first spatial distribution report of micropollutants (MPs) in the entire Portuguese coast, comprising the ocean shore (sea water, SW) and whenever possible the nearest river discharging on it (estuarine water, EW). This surface water monitoring programme aimed to assess the spatial distribution of 38 MPs with a wide chemical nature, including some substances prioritized by the European Union Directive 39/2013/EU and contaminants of emerging concern targeted in the Watch List of Decisions 495/2015/EU and 840/2018/EU. The risk quotients were estimated in each sampling point for the detected MPs. High concentrations of diclofenac, tramadol and carbamazepine were determined, the latter with medium to high risk for algae. Some pharmaceuticals and perfluorooctanesulfonic acid (PFOS) were broadly distributed, maybe due to the direct discharge into the sea. Atrazine and alachlor were found in the majority of the samples, with alachlor levels often considered as medium to high risk.","author":[{"dropping-particle":"","family":"Sousa","given":"João C.G.","non-dropping-particle":"","parse-names":false,"suffix":""},{"dropping-particle":"","family":"Barbosa","given":"Marta O.","non-dropping-particle":"","parse-names":false,"suffix":""},{"dropping-particle":"","family":"Ribeiro","given":"Ana R.L.","non-dropping-particle":"","parse-names":false,"suffix":""},{"dropping-particle":"","family":"Ratola","given":"Nuno","non-dropping-particle":"","parse-names":false,"suffix":""},{"dropping-particle":"","family":"Pereira","given":"Manuel F.R.","non-dropping-particle":"","parse-names":false,"suffix":""},{"dropping-particle":"","family":"Silva","given":"Adrián M.T.","non-dropping-particle":"","parse-names":false,"suffix":""}],"container-title":"Marine Pollution Bulletin","id":"ITEM-1","issue":"May 2019","issued":{"date-parts":[["2020"]]},"page":"111120","publisher":"Elsevier","title":"Distribution of micropollutants in estuarine and sea water along the Portuguese coast","type":"article-journal","volume":"154"},"uris":["http://www.mendeley.com/documents/?uuid=af726e4e-dd05-46cf-a278-edd1abe3bd52"]}],"mendeley":{"formattedCitation":"&lt;sup&gt;109&lt;/sup&gt;","plainTextFormattedCitation":"109","previouslyFormattedCitation":"&lt;sup&gt;109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109</w:t>
            </w:r>
            <w:r w:rsidRPr="00E547AD">
              <w:rPr>
                <w:color w:val="0070C0"/>
                <w:sz w:val="22"/>
              </w:rPr>
              <w:fldChar w:fldCharType="end"/>
            </w:r>
          </w:p>
        </w:tc>
      </w:tr>
      <w:tr w:rsidR="002D64E5" w:rsidRPr="00E547AD" w14:paraId="7C49170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ACE6DB" w14:textId="77777777" w:rsidR="005E13E8" w:rsidRPr="00E547AD" w:rsidRDefault="005E13E8" w:rsidP="002D64E5">
            <w:pPr>
              <w:rPr>
                <w:rFonts w:eastAsia="等线"/>
                <w:color w:val="000000"/>
                <w:sz w:val="22"/>
              </w:rPr>
            </w:pPr>
            <w:r w:rsidRPr="00E547AD">
              <w:rPr>
                <w:sz w:val="22"/>
              </w:rPr>
              <w:t>Europe</w:t>
            </w:r>
          </w:p>
        </w:tc>
        <w:tc>
          <w:tcPr>
            <w:tcW w:w="0" w:type="auto"/>
          </w:tcPr>
          <w:p w14:paraId="3421525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Portugal</w:t>
            </w:r>
          </w:p>
        </w:tc>
        <w:tc>
          <w:tcPr>
            <w:tcW w:w="0" w:type="auto"/>
          </w:tcPr>
          <w:p w14:paraId="7D6104A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2014</w:t>
            </w:r>
          </w:p>
        </w:tc>
        <w:tc>
          <w:tcPr>
            <w:tcW w:w="0" w:type="auto"/>
          </w:tcPr>
          <w:p w14:paraId="0DFCA98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Mondego Estuary</w:t>
            </w:r>
          </w:p>
        </w:tc>
        <w:tc>
          <w:tcPr>
            <w:tcW w:w="0" w:type="auto"/>
          </w:tcPr>
          <w:p w14:paraId="31015E44"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88</w:t>
            </w:r>
          </w:p>
          <w:p w14:paraId="1C8A1A9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(25-150)</w:t>
            </w:r>
          </w:p>
        </w:tc>
        <w:tc>
          <w:tcPr>
            <w:tcW w:w="0" w:type="auto"/>
          </w:tcPr>
          <w:p w14:paraId="792ADC0F" w14:textId="7EC506A8"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{"citationItems":[{"id":"ITEM-1","itemData":{"DOI":"10.1016/j.ecoenv.2017.12.047","ISSN":"10902414","PMID":"29288903","abstract":"The present study aims to contribute to a better assessment of pesticide environmental and human health (here evaluated in the context of human exposure via food items) risks for the estuarine system by comprehensively studying the spatial and temporal occurrence of the pesticides atrazine, azoxystrobin, bentazon, λ-cyhalothrin, penoxsulam and terbuthylazine in the River Mondego estuary (Portugal). Pesticide quantification was performed in surface water, sediment, macroalgae (Ulva spp., Gracilaria gracilis, Fucus vesiculosus), aquatic plants (Zostera noltii, Spartina maritime, Scirpus maritimus) and bivalves (Scrobicularia plana). Since intense precipitation could promote the runoff of pesticides from the surrounding agricultural fields, a single long-duration flood event was also studied in this estuarine system. Under normal flow conditions, quantified concentrations were determined mostly during summer in agreement with the pesticide application period. Azoxystrobin presented the highest detection frequency and atrazine (an herbicide used globally but banned in the EU) presented the second highest frequency, thus highlighting the need to include legacy pesticides in monitoring programmes. Pesticide concentrations in surface water determined in the present study suggest low risk to estuarine organisms. However, all the pesticides were bioaccumulated by S. plana, leading us to consider that pesticides may not only cause adverse effects on the aquatic organism itself, but should also be an alert for human exposure, for this is an edible species and is considered of economic interest. Concern is also expressed about edible seaweeds, since s-triazine pesticides were found in Ulva spp. and G. gracilis. Acknowledging these concerns, developing and establishing allowable pesticide safety values for edible seaweeds and bivalves is recommended, as well as monitoring bivalve pesticide levels, using the whole animal, as a human health exposure indicator for estuarine systems. During the studied flood event, it appears that no serious pesticide contamination has occurred in the River Mondego estuary.","author":[{"dropping-particle":"","family":"Rodrigues","given":"Elsa Teresa","non-dropping-particle":"","parse-names":false,"suffix":""},{"dropping-particle":"","family":"Alpendurada","given":"Maria Fátima","non-dropping-particle":"","parse-names":false,"suffix":""},{"dropping-particle":"","family":"Ramos","given":"Fernando","non-dropping-particle":"","parse-names":false,"suffix":""},{"dropping-particle":"","family":"Pardal","given":"Miguel Ângelo","non-dropping-particle":"","parse-names":false,"suffix":""}],"container-title":"Ecotoxicology and Environmental Safety","id":"ITEM-1","issue":"December 2017","issued":{"date-parts":[["2018"]]},"page":"224-231","title":"Environmental and human health risk indicators for agricultural pesticides in estuaries","type":"article-journal","volume":"150"},"uris":["http://www.mendeley.com/documents/?uuid=5ccd2fa2-21ee-4d97-a0f6-1b79e3e0dd11"]}],"mendeley":{"formattedCitation":"&lt;sup&gt;30&lt;/sup&gt;","plainTextFormattedCitation":"30","previouslyFormattedCitation":"&lt;sup&gt;30&lt;/sup&gt;"},"properties":{"noteIndex":0},"schema":"https://github.com/citation-style-language/schema/raw/master/csl-citation.json"}</w:instrText>
            </w:r>
            <w:r w:rsidRPr="00E547AD">
              <w:rPr>
                <w:color w:val="0070C0"/>
                <w:sz w:val="22"/>
              </w:rPr>
              <w:fldChar w:fldCharType="separate"/>
            </w:r>
            <w:r w:rsidR="00694227" w:rsidRPr="00694227">
              <w:rPr>
                <w:noProof/>
                <w:color w:val="0070C0"/>
                <w:sz w:val="22"/>
                <w:vertAlign w:val="superscript"/>
              </w:rPr>
              <w:t>30</w:t>
            </w:r>
            <w:r w:rsidRPr="00E547AD">
              <w:rPr>
                <w:color w:val="0070C0"/>
                <w:sz w:val="22"/>
              </w:rPr>
              <w:fldChar w:fldCharType="end"/>
            </w:r>
          </w:p>
        </w:tc>
      </w:tr>
      <w:tr w:rsidR="005E13E8" w:rsidRPr="00E547AD" w14:paraId="5978CC3B"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B05FAE8" w14:textId="77777777" w:rsidR="005E13E8" w:rsidRPr="00E547AD" w:rsidRDefault="005E13E8" w:rsidP="002D64E5">
            <w:pPr>
              <w:rPr>
                <w:rFonts w:eastAsia="等线"/>
                <w:color w:val="000000"/>
                <w:sz w:val="22"/>
              </w:rPr>
            </w:pPr>
            <w:r w:rsidRPr="00E547AD">
              <w:rPr>
                <w:sz w:val="22"/>
              </w:rPr>
              <w:t>Europe</w:t>
            </w:r>
          </w:p>
        </w:tc>
        <w:tc>
          <w:tcPr>
            <w:tcW w:w="0" w:type="auto"/>
          </w:tcPr>
          <w:p w14:paraId="4F775E2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Scotland</w:t>
            </w:r>
          </w:p>
        </w:tc>
        <w:tc>
          <w:tcPr>
            <w:tcW w:w="0" w:type="auto"/>
          </w:tcPr>
          <w:p w14:paraId="316345F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2014</w:t>
            </w:r>
          </w:p>
        </w:tc>
        <w:tc>
          <w:tcPr>
            <w:tcW w:w="0" w:type="auto"/>
          </w:tcPr>
          <w:p w14:paraId="4880327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North East Scotland</w:t>
            </w:r>
          </w:p>
        </w:tc>
        <w:tc>
          <w:tcPr>
            <w:tcW w:w="0" w:type="auto"/>
          </w:tcPr>
          <w:p w14:paraId="791C738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(na-2.7)</w:t>
            </w:r>
          </w:p>
        </w:tc>
        <w:tc>
          <w:tcPr>
            <w:tcW w:w="0" w:type="auto"/>
          </w:tcPr>
          <w:p w14:paraId="53896872" w14:textId="2615E598"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{"citationItems":[{"id":"ITEM-1","itemData":{"DOI":"10.1016/j.scitotenv.2019.134228","ISSN":"18791026","PMID":"31505364","abstract":"Current and historic pesticide use has potential to compromise e.g. drinking water sources due to both primary and secondary emission sources. Understanding the spatial and temporal dynamics of emissions might help inform management decisions. To explore this potential; water, sediment and soil samples were concurrently collected from the River Ugie, Scotland over four seasons. Occurrence and fate of nine pesticides including four historic-use pesticides (HUPs): simazine, atrazine, isoproturon and permethrin, and five current-use pesticides (CUPs): metaldehyde, chlorpyrifos, chlortoluron, epoxiconazole and cypermethrin were analysed. Concentrations of target pesticides in water, sediments and soils were 4.5–45.6 ng·L−1, 0.9–4.6 ng·g−1 dw (dry weight) and 1.7–8.0 ng·g−1 dw, respectively. Concentrations of pesticides in water were found to significantly differ between seasons (p &lt; 0.05). Significant differences in pesticide concentrations also occurred spatially within sediments (p &lt; 0.01), indicating spatial and temporal associations with pesticide use. Sediment-water exchange showed that the sediment acts as an important secondary emission source particularly for the HUPs, while current local application and sediment emission are both major driving forces for CUPs in the riverine environment. These findings were supported by concentration ratios between different media, which showed potential as a preliminary assessment tool for identifying the source of pollutants in aquatic environments.","author":[{"dropping-particle":"","family":"Cui","given":"Song","non-dropping-particle":"","parse-names":false,"suffix":""},{"dropping-particle":"","family":"Hough","given":"Rupert","non-dropping-particle":"","parse-names":false,"suffix":""},{"dropping-particle":"","family":"Yates","given":"K.","non-dropping-particle":"","parse-names":false,"suffix":""},{"dropping-particle":"","family":"Osprey","given":"Mark","non-dropping-particle":"","parse-names":false,"suffix":""},{"dropping-particle":"","family":"Kerr","given":"Christine","non-dropping-particle":"","parse-names":false,"suffix":""},{"dropping-particle":"","family":"Cooper","given":"Pat","non-dropping-particle":"","parse-names":false,"suffix":""},{"dropping-particle":"","family":"Coull","given":"Malcolm","non-dropping-particle":"","parse-names":false,"suffix":""},{"dropping-particle":"","family":"Zhang","given":"Z.","non-dropping-particle":"","parse-names":false,"suffix":""}],"container-title":"Science of the Total Environment","id":"ITEM-1","issued":{"date-parts":[["2020"]]},"page":"134228","publisher":"Elsevier B.V.","title":"Effects of season and sediment-water exchange processes on the partitioning of pesticides in the catchment environment: Implications for pesticides monitoring","type":"article-journal","volume":"698"},"uris":["http://www.mendeley.com/documents/?uuid=2aefa509-ca09-42f1-a75e-a8041b7e3460"]}],"mendeley":{"formattedCitation":"&lt;sup&gt;111&lt;/sup&gt;","plainTextFormattedCitation":"111","previouslyFormattedCitation":"&lt;sup&gt;111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111</w:t>
            </w:r>
            <w:r w:rsidRPr="00E547AD">
              <w:rPr>
                <w:color w:val="0070C0"/>
                <w:sz w:val="22"/>
              </w:rPr>
              <w:fldChar w:fldCharType="end"/>
            </w:r>
          </w:p>
        </w:tc>
      </w:tr>
      <w:tr w:rsidR="002D64E5" w:rsidRPr="00E547AD" w14:paraId="47C933B2"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3FE614" w14:textId="77777777" w:rsidR="005E13E8" w:rsidRPr="00E547AD" w:rsidRDefault="005E13E8" w:rsidP="002D64E5">
            <w:pPr>
              <w:rPr>
                <w:rFonts w:eastAsia="等线"/>
                <w:color w:val="000000"/>
                <w:sz w:val="22"/>
              </w:rPr>
            </w:pPr>
            <w:r w:rsidRPr="00E547AD">
              <w:rPr>
                <w:sz w:val="22"/>
              </w:rPr>
              <w:t>Europe</w:t>
            </w:r>
          </w:p>
        </w:tc>
        <w:tc>
          <w:tcPr>
            <w:tcW w:w="0" w:type="auto"/>
          </w:tcPr>
          <w:p w14:paraId="506A3D4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Scotland</w:t>
            </w:r>
          </w:p>
        </w:tc>
        <w:tc>
          <w:tcPr>
            <w:tcW w:w="0" w:type="auto"/>
          </w:tcPr>
          <w:p w14:paraId="16BE50A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2014</w:t>
            </w:r>
          </w:p>
        </w:tc>
        <w:tc>
          <w:tcPr>
            <w:tcW w:w="0" w:type="auto"/>
          </w:tcPr>
          <w:p w14:paraId="1E28A116"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proofErr w:type="spellStart"/>
            <w:r w:rsidRPr="00E547AD">
              <w:rPr>
                <w:rFonts w:eastAsia="等线"/>
                <w:color w:val="000000"/>
                <w:sz w:val="22"/>
              </w:rPr>
              <w:t>Ugie</w:t>
            </w:r>
            <w:proofErr w:type="spellEnd"/>
            <w:r w:rsidRPr="00E547AD">
              <w:rPr>
                <w:rFonts w:eastAsia="等线"/>
                <w:color w:val="000000"/>
                <w:sz w:val="22"/>
              </w:rPr>
              <w:t xml:space="preserve"> river</w:t>
            </w:r>
          </w:p>
        </w:tc>
        <w:tc>
          <w:tcPr>
            <w:tcW w:w="0" w:type="auto"/>
          </w:tcPr>
          <w:p w14:paraId="17B885F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1.4</w:t>
            </w:r>
          </w:p>
          <w:p w14:paraId="1CF8E8D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(0.3-2.7)</w:t>
            </w:r>
          </w:p>
        </w:tc>
        <w:tc>
          <w:tcPr>
            <w:tcW w:w="0" w:type="auto"/>
          </w:tcPr>
          <w:p w14:paraId="14096736" w14:textId="505453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{"citationItems":[{"id":"ITEM-1","itemData":{"DOI":"10.1016/j.scitotenv.2019.134228","ISSN":"18791026","PMID":"31505364","abstract":"Current and historic pesticide use has potential to compromise e.g. drinking water sources due to both primary and secondary emission sources. Understanding the spatial and temporal dynamics of emissions might help inform management decisions. To explore this potential; water, sediment and soil samples were concurrently collected from the River Ugie, Scotland over four seasons. Occurrence and fate of nine pesticides including four historic-use pesticides (HUPs): simazine, atrazine, isoproturon and permethrin, and five current-use pesticides (CUPs): metaldehyde, chlorpyrifos, chlortoluron, epoxiconazole and cypermethrin were analysed. Concentrations of target pesticides in water, sediments and soils were 4.5–45.6 ng·L−1, 0.9–4.6 ng·g−1 dw (dry weight) and 1.7–8.0 ng·g−1 dw, respectively. Concentrations of pesticides in water were found to significantly differ between seasons (p &lt; 0.05). Significant differences in pesticide concentrations also occurred spatially within sediments (p &lt; 0.01), indicating spatial and temporal associations with pesticide use. Sediment-water exchange showed that the sediment acts as an important secondary emission source particularly for the HUPs, while current local application and sediment emission are both major driving forces for CUPs in the riverine environment. These findings were supported by concentration ratios between different media, which showed potential as a preliminary assessment tool for identifying the source of pollutants in aquatic environments.","author":[{"dropping-particle":"","family":"Cui","given":"Song","non-dropping-particle":"","parse-names":false,"suffix":""},{"dropping-particle":"","family":"Hough","given":"Rupert","non-dropping-particle":"","parse-names":false,"suffix":""},{"dropping-particle":"","family":"Yates","given":"K.","non-dropping-particle":"","parse-names":false,"suffix":""},{"dropping-particle":"","family":"Osprey","given":"Mark","non-dropping-particle":"","parse-names":false,"suffix":""},{"dropping-particle":"","family":"Kerr","given":"Christine","non-dropping-particle":"","parse-names":false,"suffix":""},{"dropping-particle":"","family":"Cooper","given":"Pat","non-dropping-particle":"","parse-names":false,"suffix":""},{"dropping-particle":"","family":"Coull","given":"Malcolm","non-dropping-particle":"","parse-names":false,"suffix":""},{"dropping-particle":"","family":"Zhang","given":"Z.","non-dropping-particle":"","parse-names":false,"suffix":""}],"container-title":"Science of the Total Environment","id":"ITEM-1","issued":{"date-parts":[["2020"]]},"page":"134228","publisher":"Elsevier B.V.","title":"Effects of season and sediment-water exchange processes on the partitioning of pesticides in the catchment environment: Implications for pesticides monitoring","type":"article-journal","volume":"698"},"uris":["http://www.mendeley.com/documents/?uuid=2aefa509-ca09-42f1-a75e-a8041b7e3460"]}],"mendeley":{"formattedCitation":"&lt;sup&gt;111&lt;/sup&gt;","plainTextFormattedCitation":"111","previouslyFormattedCitation":"&lt;sup&gt;111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111</w:t>
            </w:r>
            <w:r w:rsidRPr="00E547AD">
              <w:rPr>
                <w:color w:val="0070C0"/>
                <w:sz w:val="22"/>
              </w:rPr>
              <w:fldChar w:fldCharType="end"/>
            </w:r>
          </w:p>
        </w:tc>
      </w:tr>
      <w:tr w:rsidR="005E13E8" w:rsidRPr="00E547AD" w14:paraId="608223C5"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CD10C88" w14:textId="77777777" w:rsidR="005E13E8" w:rsidRPr="00E547AD" w:rsidRDefault="005E13E8" w:rsidP="002D64E5">
            <w:pPr>
              <w:rPr>
                <w:rFonts w:eastAsia="等线"/>
                <w:color w:val="000000"/>
                <w:sz w:val="22"/>
              </w:rPr>
            </w:pPr>
            <w:r w:rsidRPr="00E547AD">
              <w:rPr>
                <w:sz w:val="22"/>
              </w:rPr>
              <w:t>Europe</w:t>
            </w:r>
          </w:p>
        </w:tc>
        <w:tc>
          <w:tcPr>
            <w:tcW w:w="0" w:type="auto"/>
          </w:tcPr>
          <w:p w14:paraId="4ADA8137"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3B9C039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2009</w:t>
            </w:r>
          </w:p>
        </w:tc>
        <w:tc>
          <w:tcPr>
            <w:tcW w:w="0" w:type="auto"/>
          </w:tcPr>
          <w:p w14:paraId="6B42347B"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 xml:space="preserve">The </w:t>
            </w:r>
            <w:proofErr w:type="spellStart"/>
            <w:r w:rsidRPr="00E547AD">
              <w:rPr>
                <w:rFonts w:eastAsia="等线"/>
                <w:color w:val="000000"/>
                <w:sz w:val="22"/>
              </w:rPr>
              <w:t>Llobregat</w:t>
            </w:r>
            <w:proofErr w:type="spellEnd"/>
          </w:p>
        </w:tc>
        <w:tc>
          <w:tcPr>
            <w:tcW w:w="0" w:type="auto"/>
          </w:tcPr>
          <w:p w14:paraId="65E44C3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0.2</w:t>
            </w:r>
          </w:p>
          <w:p w14:paraId="024CCBC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(0.04-0.4)</w:t>
            </w:r>
          </w:p>
        </w:tc>
        <w:tc>
          <w:tcPr>
            <w:tcW w:w="0" w:type="auto"/>
          </w:tcPr>
          <w:p w14:paraId="57332793" w14:textId="27A59925"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{"citationItems":[{"id":"ITEM-1","itemData":{"DOI":"10.1016/j.envpol.2013.02.022","ISSN":"02697491","PMID":"23583942","abstract":"We investigated the effects of pharmaceuticals and pesticides detected in a Mediterranean river, on fluvial biofilms by translocation experiments performed under controlled conditions. Water was sampled from three sites along a pollution gradient. Biofilms grown in mesocosms containing relatively clean water were translocated to heavily polluted water. Several biofilm descriptors were measured before and after translocations. Fifty-seven pharmaceuticals and sixteen pesticides compounds were detected in river waters. The translocation from less to more polluted site was the most effective. Autotrophic biomass and peptidase increased while phosphatase and photosynthetic efficiency decreased. Multivariate analysis revealed that analgesics and anti-inflammatories significantly affected biofilm responses. Ibuprofen and paracetamol were associated with negative effects on photosynthesis, and with the decrease of the green algae/cyanobacteria ratio, while diclofenac was associated with phosphatase activity. The effects of these emerging compounds on biofilms structure and function may cause important alterations in river ecosystem functioning.© 2013 Elsevier Ltd. All rights reserved.","author":[{"dropping-particle":"","family":"Proia","given":"L.","non-dropping-particle":"","parse-names":false,"suffix":""},{"dropping-particle":"","family":"Osorio","given":"V.","non-dropping-particle":"","parse-names":false,"suffix":""},{"dropping-particle":"","family":"Soley","given":"S.","non-dropping-particle":"","parse-names":false,"suffix":""},{"dropping-particle":"","family":"Köck-Schulmeyer","given":"M.","non-dropping-particle":"","parse-names":false,"suffix":""},{"dropping-particle":"","family":"Pérez","given":"S.","non-dropping-particle":"","parse-names":false,"suffix":""},{"dropping-particle":"","family":"Barceló","given":"D.","non-dropping-particle":"","parse-names":false,"suffix":""},{"dropping-particle":"","family":"Romaní","given":"A. M.","non-dropping-particle":"","parse-names":false,"suffix":""},{"dropping-particle":"","family":"Sabater","given":"S.","non-dropping-particle":"","parse-names":false,"suffix":""}],"container-title":"Environmental Pollution","id":"ITEM-1","issued":{"date-parts":[["2013"]]},"page":"220-228","publisher":"Elsevier Ltd","title":"Effects of pesticides and pharmaceuticals on biofilms in a highly impacted river","type":"article-journal","volume":"178"},"uris":["http://www.mendeley.com/documents/?uuid=24501862-ea21-418f-9748-811759b239cc"]}],"mendeley":{"formattedCitation":"&lt;sup&gt;112&lt;/sup&gt;","plainTextFormattedCitation":"112","previouslyFormattedCitation":"&lt;sup&gt;112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112</w:t>
            </w:r>
            <w:r w:rsidRPr="00E547AD">
              <w:rPr>
                <w:color w:val="0070C0"/>
                <w:sz w:val="22"/>
              </w:rPr>
              <w:fldChar w:fldCharType="end"/>
            </w:r>
          </w:p>
        </w:tc>
      </w:tr>
      <w:tr w:rsidR="002D64E5" w:rsidRPr="00E547AD" w14:paraId="1441892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A32696" w14:textId="77777777" w:rsidR="005E13E8" w:rsidRPr="00E547AD" w:rsidRDefault="005E13E8" w:rsidP="002D64E5">
            <w:pPr>
              <w:rPr>
                <w:rFonts w:eastAsia="等线"/>
                <w:color w:val="000000"/>
                <w:sz w:val="22"/>
              </w:rPr>
            </w:pPr>
            <w:r w:rsidRPr="00E547AD">
              <w:rPr>
                <w:sz w:val="22"/>
              </w:rPr>
              <w:t>Europe</w:t>
            </w:r>
          </w:p>
        </w:tc>
        <w:tc>
          <w:tcPr>
            <w:tcW w:w="0" w:type="auto"/>
          </w:tcPr>
          <w:p w14:paraId="3D0C4985"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1B6D451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2009</w:t>
            </w:r>
          </w:p>
        </w:tc>
        <w:tc>
          <w:tcPr>
            <w:tcW w:w="0" w:type="auto"/>
          </w:tcPr>
          <w:p w14:paraId="49FF572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 xml:space="preserve">The </w:t>
            </w:r>
            <w:proofErr w:type="spellStart"/>
            <w:r w:rsidRPr="00E547AD">
              <w:rPr>
                <w:rFonts w:eastAsia="等线"/>
                <w:color w:val="000000"/>
                <w:sz w:val="22"/>
              </w:rPr>
              <w:t>Llobregat</w:t>
            </w:r>
            <w:proofErr w:type="spellEnd"/>
          </w:p>
        </w:tc>
        <w:tc>
          <w:tcPr>
            <w:tcW w:w="0" w:type="auto"/>
          </w:tcPr>
          <w:p w14:paraId="63BFFD16"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0.3</w:t>
            </w:r>
          </w:p>
          <w:p w14:paraId="575D277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(0.02-3.1)</w:t>
            </w:r>
          </w:p>
        </w:tc>
        <w:tc>
          <w:tcPr>
            <w:tcW w:w="0" w:type="auto"/>
          </w:tcPr>
          <w:p w14:paraId="2BC08881" w14:textId="5B1E8EAB"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{"citationItems":[{"id":"ITEM-1","itemData":{"DOI":"10.1016/j.envpol.2013.02.022","ISSN":"02697491","PMID":"23583942","abstract":"We investigated the effects of pharmaceuticals and pesticides detected in a Mediterranean river, on fluvial biofilms by translocation experiments performed under controlled conditions. Water was sampled from three sites along a pollution gradient. Biofilms grown in mesocosms containing relatively clean water were translocated to heavily polluted water. Several biofilm descriptors were measured before and after translocations. Fifty-seven pharmaceuticals and sixteen pesticides compounds were detected in river waters. The translocation from less to more polluted site was the most effective. Autotrophic biomass and peptidase increased while phosphatase and photosynthetic efficiency decreased. Multivariate analysis revealed that analgesics and anti-inflammatories significantly affected biofilm responses. Ibuprofen and paracetamol were associated with negative effects on photosynthesis, and with the decrease of the green algae/cyanobacteria ratio, while diclofenac was associated with phosphatase activity. The effects of these emerging compounds on biofilms structure and function may cause important alterations in river ecosystem functioning.© 2013 Elsevier Ltd. All rights reserved.","author":[{"dropping-particle":"","family":"Proia","given":"L.","non-dropping-particle":"","parse-names":false,"suffix":""},{"dropping-particle":"","family":"Osorio","given":"V.","non-dropping-particle":"","parse-names":false,"suffix":""},{"dropping-particle":"","family":"Soley","given":"S.","non-dropping-particle":"","parse-names":false,"suffix":""},{"dropping-particle":"","family":"Köck-Schulmeyer","given":"M.","non-dropping-particle":"","parse-names":false,"suffix":""},{"dropping-particle":"","family":"Pérez","given":"S.","non-dropping-particle":"","parse-names":false,"suffix":""},{"dropping-particle":"","family":"Barceló","given":"D.","non-dropping-particle":"","parse-names":false,"suffix":""},{"dropping-particle":"","family":"Romaní","given":"A. M.","non-dropping-particle":"","parse-names":false,"suffix":""},{"dropping-particle":"","family":"Sabater","given":"S.","non-dropping-particle":"","parse-names":false,"suffix":""}],"container-title":"Environmental Pollution","id":"ITEM-1","issued":{"date-parts":[["2013"]]},"page":"220-228","publisher":"Elsevier Ltd","title":"Effects of pesticides and pharmaceuticals on biofilms in a highly impacted river","type":"article-journal","volume":"178"},"uris":["http://www.mendeley.com/documents/?uuid=24501862-ea21-418f-9748-811759b239cc"]}],"mendeley":{"formattedCitation":"&lt;sup&gt;112&lt;/sup&gt;","plainTextFormattedCitation":"112","previouslyFormattedCitation":"&lt;sup&gt;112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112</w:t>
            </w:r>
            <w:r w:rsidRPr="00E547AD">
              <w:rPr>
                <w:color w:val="0070C0"/>
                <w:sz w:val="22"/>
              </w:rPr>
              <w:fldChar w:fldCharType="end"/>
            </w:r>
          </w:p>
        </w:tc>
      </w:tr>
      <w:tr w:rsidR="005E13E8" w:rsidRPr="00E547AD" w14:paraId="679E5C1C"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1370079" w14:textId="77777777" w:rsidR="005E13E8" w:rsidRPr="00E547AD" w:rsidRDefault="005E13E8" w:rsidP="002D64E5">
            <w:pPr>
              <w:rPr>
                <w:rFonts w:eastAsia="等线"/>
                <w:color w:val="000000"/>
                <w:sz w:val="22"/>
              </w:rPr>
            </w:pPr>
            <w:r w:rsidRPr="00E547AD">
              <w:rPr>
                <w:sz w:val="22"/>
              </w:rPr>
              <w:t>Europe</w:t>
            </w:r>
          </w:p>
        </w:tc>
        <w:tc>
          <w:tcPr>
            <w:tcW w:w="0" w:type="auto"/>
          </w:tcPr>
          <w:p w14:paraId="2619E5F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4A99186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2009</w:t>
            </w:r>
          </w:p>
        </w:tc>
        <w:tc>
          <w:tcPr>
            <w:tcW w:w="0" w:type="auto"/>
          </w:tcPr>
          <w:p w14:paraId="6E4A7DD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 xml:space="preserve">The </w:t>
            </w:r>
            <w:proofErr w:type="spellStart"/>
            <w:r w:rsidRPr="00E547AD">
              <w:rPr>
                <w:rFonts w:eastAsia="等线"/>
                <w:color w:val="000000"/>
                <w:sz w:val="22"/>
              </w:rPr>
              <w:t>Llobregat</w:t>
            </w:r>
            <w:proofErr w:type="spellEnd"/>
          </w:p>
        </w:tc>
        <w:tc>
          <w:tcPr>
            <w:tcW w:w="0" w:type="auto"/>
          </w:tcPr>
          <w:p w14:paraId="3ACB5B9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0.2</w:t>
            </w:r>
          </w:p>
          <w:p w14:paraId="268523F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(0.02-0.5)</w:t>
            </w:r>
          </w:p>
        </w:tc>
        <w:tc>
          <w:tcPr>
            <w:tcW w:w="0" w:type="auto"/>
          </w:tcPr>
          <w:p w14:paraId="5CC0B2F6" w14:textId="47BAA1F1"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{"citationItems":[{"id":"ITEM-1","itemData":{"DOI":"10.1016/j.envpol.2013.02.022","ISSN":"02697491","PMID":"23583942","abstract":"We investigated the effects of pharmaceuticals and pesticides detected in a Mediterranean river, on fluvial biofilms by translocation experiments performed under controlled conditions. Water was sampled from three sites along a pollution gradient. Biofilms grown in mesocosms containing relatively clean water were translocated to heavily polluted water. Several biofilm descriptors were measured before and after translocations. Fifty-seven pharmaceuticals and sixteen pesticides compounds were detected in river waters. The translocation from less to more polluted site was the most effective. Autotrophic biomass and peptidase increased while phosphatase and photosynthetic efficiency decreased. Multivariate analysis revealed that analgesics and anti-inflammatories significantly affected biofilm responses. Ibuprofen and paracetamol were associated with negative effects on photosynthesis, and with the decrease of the green algae/cyanobacteria ratio, while diclofenac was associated with phosphatase activity. The effects of these emerging compounds on biofilms structure and function may cause important alterations in river ecosystem functioning.© 2013 Elsevier Ltd. All rights reserved.","author":[{"dropping-particle":"","family":"Proia","given":"L.","non-dropping-particle":"","parse-names":false,"suffix":""},{"dropping-particle":"","family":"Osorio","given":"V.","non-dropping-particle":"","parse-names":false,"suffix":""},{"dropping-particle":"","family":"Soley","given":"S.","non-dropping-particle":"","parse-names":false,"suffix":""},{"dropping-particle":"","family":"Köck-Schulmeyer","given":"M.","non-dropping-particle":"","parse-names":false,"suffix":""},{"dropping-particle":"","family":"Pérez","given":"S.","non-dropping-particle":"","parse-names":false,"suffix":""},{"dropping-particle":"","family":"Barceló","given":"D.","non-dropping-particle":"","parse-names":false,"suffix":""},{"dropping-particle":"","family":"Romaní","given":"A. M.","non-dropping-particle":"","parse-names":false,"suffix":""},{"dropping-particle":"","family":"Sabater","given":"S.","non-dropping-particle":"","parse-names":false,"suffix":""}],"container-title":"Environmental Pollution","id":"ITEM-1","issued":{"date-parts":[["2013"]]},"page":"220-228","publisher":"Elsevier Ltd","title":"Effects of pesticides and pharmaceuticals on biofilms in a highly impacted river","type":"article-journal","volume":"178"},"uris":["http://www.mendeley.com/documents/?uuid=24501862-ea21-418f-9748-811759b239cc"]}],"mendeley":{"formattedCitation":"&lt;sup&gt;112&lt;/sup&gt;","plainTextFormattedCitation":"112","previouslyFormattedCitation":"&lt;sup&gt;112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112</w:t>
            </w:r>
            <w:r w:rsidRPr="00E547AD">
              <w:rPr>
                <w:color w:val="0070C0"/>
                <w:sz w:val="22"/>
              </w:rPr>
              <w:fldChar w:fldCharType="end"/>
            </w:r>
          </w:p>
        </w:tc>
      </w:tr>
      <w:tr w:rsidR="002D64E5" w:rsidRPr="00E547AD" w14:paraId="786A9480"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4088B8" w14:textId="77777777" w:rsidR="005E13E8" w:rsidRPr="00E547AD" w:rsidRDefault="005E13E8" w:rsidP="002D64E5">
            <w:pPr>
              <w:rPr>
                <w:rFonts w:eastAsia="等线"/>
                <w:color w:val="000000"/>
                <w:sz w:val="22"/>
              </w:rPr>
            </w:pPr>
            <w:r w:rsidRPr="00E547AD">
              <w:rPr>
                <w:sz w:val="22"/>
              </w:rPr>
              <w:t>Europe</w:t>
            </w:r>
          </w:p>
        </w:tc>
        <w:tc>
          <w:tcPr>
            <w:tcW w:w="0" w:type="auto"/>
          </w:tcPr>
          <w:p w14:paraId="63C9DFE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52A03BD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2009</w:t>
            </w:r>
          </w:p>
        </w:tc>
        <w:tc>
          <w:tcPr>
            <w:tcW w:w="0" w:type="auto"/>
          </w:tcPr>
          <w:p w14:paraId="6824C8E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 xml:space="preserve">The </w:t>
            </w:r>
            <w:proofErr w:type="spellStart"/>
            <w:r w:rsidRPr="00E547AD">
              <w:rPr>
                <w:rFonts w:eastAsia="等线"/>
                <w:color w:val="000000"/>
                <w:sz w:val="22"/>
              </w:rPr>
              <w:t>Llobregat</w:t>
            </w:r>
            <w:proofErr w:type="spellEnd"/>
          </w:p>
        </w:tc>
        <w:tc>
          <w:tcPr>
            <w:tcW w:w="0" w:type="auto"/>
          </w:tcPr>
          <w:p w14:paraId="663B196E"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1.1</w:t>
            </w:r>
          </w:p>
          <w:p w14:paraId="044B8BEC"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(0.2-7.2)</w:t>
            </w:r>
          </w:p>
        </w:tc>
        <w:tc>
          <w:tcPr>
            <w:tcW w:w="0" w:type="auto"/>
          </w:tcPr>
          <w:p w14:paraId="614392FB" w14:textId="7D4FAD5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{"citationItems":[{"id":"ITEM-1","itemData":{"DOI":"10.1016/j.chemosphere.2011.08.034","ISSN":"18791298","PMID":"21925700","abstract":"Contamination of surface waters by pesticides continues to be the focus of concern for water authorities due to the growing evidence of their deleterious effects on aquatic life. In this context, the present work investigates the occurrence of 16 selected pesticides belonging to the classes of triazines, phenylureas, organophosphates, chloroacetanilides and thiocarbamates in surface waters from the Llobregat River (NE Spain) and some of its tributaries (Anoia and Rubí) and assesses their potential impact on the aquatic organisms by applying a recently developed index, the Short-term Pesticide Risk Index for the Surface Water System (PRISW-1), which takes into account the pesticides concentrations and their overall toxicity against three aquatic organisms (algae, Daphnia, and fish). Chemical analysis, performed by means of a fully automated method based on isotope dilution on-line solid phase extraction-liquid chromatography-electrospray-tandem mass spectrometry (on-line SPE-LC-ESI-MS/MS), revealed diuron and diazinon as the most ubiquitous and abundant compounds with levels up to 818 and 132ngL-1, respectively. Total pesticide concentrations, which in only 1 out of 66 samples surpassed 500ngL-1, were higher in the tributaries than in the river but their contribution in terms of mass-loads to the overall pesticide pollution of the Llobregat River was relatively small. Contamination increased downstream of the river and was clearly influenced by rainfall and hence river flow. Application of the PRISW-1 index indicated that, although pesticides levels fulfilled the European Union Environmental Quality Standards (EQS) for surface waters, the existing pesticide contamination poses a low to high ecotoxicological risk for aquatic organisms, that algae and macro-invertebrates are at higher risk than fish, and that the organophosphates diazinon and malathion and the phenylurea diuron are the major contributors to the overall toxicity and therefore the most problematic compounds. © 2011 Elsevier Ltd.","author":[{"dropping-particle":"","family":"Köck-Schulmeyer","given":"Marianne","non-dropping-particle":"","parse-names":false,"suffix":""},{"dropping-particle":"","family":"Ginebreda","given":"Antoni","non-dropping-particle":"","parse-names":false,"suffix":""},{"dropping-particle":"","family":"González","given":"Susana","non-dropping-particle":"","parse-names":false,"suffix":""},{"dropping-particle":"","family":"Cortina","given":"Jose Luis","non-dropping-particle":"","parse-names":false,"suffix":""},{"dropping-particle":"","family":"Alda","given":"Miren López","non-dropping-particle":"de","parse-names":false,"suffix":""},{"dropping-particle":"","family":"Barceló","given":"Damià","non-dropping-particle":"","parse-names":false,"suffix":""}],"container-title":"Chemosphere","id":"ITEM-1","issue":"1","issued":{"date-parts":[["2012"]]},"page":"8-16","publisher":"Elsevier Ltd","title":"Analysis of the occurrence and risk assessment of polar pesticides in the Llobregat River Basin (NE Spain)","type":"article-journal","volume":"86"},"uris":["http://www.mendeley.com/documents/?uuid=1f35da54-0918-4010-bc7a-facf0fa6a090"]}],"mendeley":{"formattedCitation":"&lt;sup&gt;113&lt;/sup&gt;","plainTextFormattedCitation":"113","previouslyFormattedCitation":"&lt;sup&gt;113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113</w:t>
            </w:r>
            <w:r w:rsidRPr="00E547AD">
              <w:rPr>
                <w:color w:val="0070C0"/>
                <w:sz w:val="22"/>
              </w:rPr>
              <w:fldChar w:fldCharType="end"/>
            </w:r>
          </w:p>
        </w:tc>
      </w:tr>
      <w:tr w:rsidR="005E13E8" w:rsidRPr="00E547AD" w14:paraId="4F7BDCF1"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2BCFF33A" w14:textId="77777777" w:rsidR="005E13E8" w:rsidRPr="00E547AD" w:rsidRDefault="005E13E8" w:rsidP="002D64E5">
            <w:pPr>
              <w:rPr>
                <w:rFonts w:eastAsia="等线"/>
                <w:color w:val="000000"/>
                <w:sz w:val="22"/>
              </w:rPr>
            </w:pPr>
            <w:r w:rsidRPr="00E547AD">
              <w:rPr>
                <w:sz w:val="22"/>
              </w:rPr>
              <w:t>Europe</w:t>
            </w:r>
          </w:p>
        </w:tc>
        <w:tc>
          <w:tcPr>
            <w:tcW w:w="0" w:type="auto"/>
          </w:tcPr>
          <w:p w14:paraId="63B2D44E"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5E87A52D"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2003</w:t>
            </w:r>
          </w:p>
        </w:tc>
        <w:tc>
          <w:tcPr>
            <w:tcW w:w="0" w:type="auto"/>
          </w:tcPr>
          <w:p w14:paraId="14D89E5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Western Mediterranean Sea</w:t>
            </w:r>
          </w:p>
        </w:tc>
        <w:tc>
          <w:tcPr>
            <w:tcW w:w="0" w:type="auto"/>
          </w:tcPr>
          <w:p w14:paraId="553E63A3"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82</w:t>
            </w:r>
          </w:p>
          <w:p w14:paraId="558158B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(12 - 170)</w:t>
            </w:r>
          </w:p>
        </w:tc>
        <w:tc>
          <w:tcPr>
            <w:tcW w:w="0" w:type="auto"/>
          </w:tcPr>
          <w:p w14:paraId="5E35C2B7" w14:textId="35064A9E"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{"citationItems":[{"id":"ITEM-1","itemData":{"DOI":"10.1016/j.chemosphere.2006.02.058","ISSN":"00456535","PMID":"16616295","abstract":"Annual input estimates for several organic contaminants from the Ebro River into the Northwestern Mediterranean Sea were carried out on the basis of monthly sampling from November 2002 to October 2003. Some organochlorine compounds (DDT and its degradation products, DDD and DDE, PCBs (9 congeners), HCB and γ-HCH) were selected due to their reported occurrence in the river. Furthermore, some polar pesticides used in the Ebro Delta were also determined (atrazine, simazine, diazinon, fenitrothion and molinate). Concentrations ranged from 0.4 to 19.5 ng l-1 for the organochlorine compounds (sum of particulate and dissolved phases) and from not detected (ND) to 170 ng l-1 for the more polar pesticides, which were only found in the dissolved phase. The sum of PCB congeners (mean 8.9 ng l-1) showed the highest concentrations among the organochlorine compounds and atrazine (mean 82 ng l-1) among the polar pesticides. Based on the contaminant concentrations and on hydrological data, contaminant discharges into the sea were estimated amounting in total to 167 and 1258 kg year-1 of organochlorine compounds and polar pesticides, respectively. Furthermore, it was observed that PCBs, DDTs and HCB inputs were basically influenced by spate periods due to an increase in suspended particulate matter associated to runoff and sediment resuspension. Whereas for more water soluble contaminants, such as the agrochemicals, their seasonal use had a higher incidence in contaminant fluxes. Bulk chemical parameters such as SPM, DOC, POC, %OC, %ON and C/N ratio provided additional information on the organic matter sources. This provides a better understanding of the temporal variability of the contaminant concentrations. © 2006 Elsevier Ltd. All rights reserved.","author":[{"dropping-particle":"","family":"Gómez-Gutiérrez","given":"Anna I.","non-dropping-particle":"","parse-names":false,"suffix":""},{"dropping-particle":"","family":"Jover","given":"Eric","non-dropping-particle":"","parse-names":false,"suffix":""},{"dropping-particle":"","family":"Bodineau","given":"Laurent","non-dropping-particle":"","parse-names":false,"suffix":""},{"dropping-particle":"","family":"Albaigés","given":"Joan","non-dropping-particle":"","parse-names":false,"suffix":""},{"dropping-particle":"","family":"Bayona","given":"Josep M.","non-dropping-particle":"","parse-names":false,"suffix":""}],"container-title":"Chemosphere","id":"ITEM-1","issue":"2","issued":{"date-parts":[["2006"]]},"page":"224-236","title":"Organic contaminant loads into the Western Mediterranean Sea: Estimate of Ebro River inputs","type":"article-journal","volume":"65"},"uris":["http://www.mendeley.com/documents/?uuid=1dd34209-b13f-4071-ba32-478f68a1e4dc"]}],"mendeley":{"formattedCitation":"&lt;sup&gt;114&lt;/sup&gt;","plainTextFormattedCitation":"114","previouslyFormattedCitation":"&lt;sup&gt;114&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114</w:t>
            </w:r>
            <w:r w:rsidRPr="00E547AD">
              <w:rPr>
                <w:color w:val="0070C0"/>
                <w:sz w:val="22"/>
              </w:rPr>
              <w:fldChar w:fldCharType="end"/>
            </w:r>
          </w:p>
        </w:tc>
      </w:tr>
      <w:tr w:rsidR="002D64E5" w:rsidRPr="00E547AD" w14:paraId="7A44CEC3"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D7EA0F" w14:textId="77777777" w:rsidR="005E13E8" w:rsidRPr="00E547AD" w:rsidRDefault="005E13E8" w:rsidP="002D64E5">
            <w:pPr>
              <w:rPr>
                <w:rFonts w:eastAsia="等线"/>
                <w:color w:val="000000"/>
                <w:sz w:val="22"/>
              </w:rPr>
            </w:pPr>
            <w:r w:rsidRPr="00E547AD">
              <w:rPr>
                <w:sz w:val="22"/>
              </w:rPr>
              <w:t>Europe</w:t>
            </w:r>
          </w:p>
        </w:tc>
        <w:tc>
          <w:tcPr>
            <w:tcW w:w="0" w:type="auto"/>
          </w:tcPr>
          <w:p w14:paraId="3F3B197E"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594DBAA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15FEAE9A"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Catalonia</w:t>
            </w:r>
          </w:p>
        </w:tc>
        <w:tc>
          <w:tcPr>
            <w:tcW w:w="0" w:type="auto"/>
          </w:tcPr>
          <w:p w14:paraId="667D0F2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1.1</w:t>
            </w:r>
          </w:p>
          <w:p w14:paraId="66BC2B41"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(0.03-3.8)</w:t>
            </w:r>
          </w:p>
        </w:tc>
        <w:tc>
          <w:tcPr>
            <w:tcW w:w="0" w:type="auto"/>
          </w:tcPr>
          <w:p w14:paraId="5BD44AC2" w14:textId="091D04A9"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{"citationItems":[{"id":"ITEM-1","itemData":{"DOI":"10.1016/j.chemosphere.2018.10.049","ISSN":"18791298","PMID":"30340160","abstract":"Pollution has been less investigated in marine and coastal environments than in inland waters. The low levels at which pollutants are expected to be present in seawater calls for the use of reliable and high sensitivity analytical methodologies. In this context, this work presents the optimization and validation of an analytical method to determine 26 medium to highly polar pesticides in seawater based on solid phase extraction and liquid chromatography-tandem mass spectrometry detection. The developed methodology was linear, accurate (relative recoveries within 80–120% for most analytes), repeatable (relative standard deviations &lt;18% for most analytes), and sensitive (limits of determination &lt;1 ng/L for 89% of the compounds). The use of isotopically labeled compounds as surrogate standards compensated for low analyte recoveries and matrix effects. The method was applied to the analysis of seawater samples collected along the coastline of Catalonia (NE Spain). Overall, total pesticide loads were higher inside the marinas than outside. The booster biocides diuron and irgarol used in antifouling paintings and different triazine pesticides were the most abundant compounds. Irgarol was present above the maximum allowable concentration set in European regulations in 70% of the samples collected inside the marinas. A different pesticide pollution pattern, with MCPA and bentazone presenting the highest concentrations, was observed at the Ebro Delta area due to the impact of the agricultural activities carried out there. To the authors’ knowledge, 4 out of the 26 target pesticides, namely, chlorfenvinphos, fenthion oxon, fenthion sulfone, and fenthion sulfoxide, have not been previously investigated in seawater.","author":[{"dropping-particle":"","family":"Köck-Schulmeyer","given":"Marianne","non-dropping-particle":"","parse-names":false,"suffix":""},{"dropping-particle":"","family":"Postigo","given":"Cristina","non-dropping-particle":"","parse-names":false,"suffix":""},{"dropping-particle":"","family":"Farré","given":"Marinella","non-dropping-particle":"","parse-names":false,"suffix":""},{"dropping-particle":"","family":"Barceló","given":"Damià","non-dropping-particle":"","parse-names":false,"suffix":""},{"dropping-particle":"","family":"López de Alda","given":"Miren","non-dropping-particle":"","parse-names":false,"suffix":""}],"container-title":"Chemosphere","id":"ITEM-1","issued":{"date-parts":[["2019"]]},"page":"515-523","title":"Medium to highly polar pesticides in seawater: Analysis and fate in coastal areas of Catalonia (NE Spain)","type":"article-journal","volume":"215"},"uris":["http://www.mendeley.com/documents/?uuid=b266b5b8-9dda-498e-89ee-d4707c8b433e"]}],"mendeley":{"formattedCitation":"&lt;sup&gt;115&lt;/sup&gt;","plainTextFormattedCitation":"115","previouslyFormattedCitation":"&lt;sup&gt;115&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115</w:t>
            </w:r>
            <w:r w:rsidRPr="00E547AD">
              <w:rPr>
                <w:color w:val="0070C0"/>
                <w:sz w:val="22"/>
              </w:rPr>
              <w:fldChar w:fldCharType="end"/>
            </w:r>
          </w:p>
        </w:tc>
      </w:tr>
      <w:tr w:rsidR="005E13E8" w:rsidRPr="00E547AD" w14:paraId="7CBB4026"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CBD0A52" w14:textId="77777777" w:rsidR="005E13E8" w:rsidRPr="00E547AD" w:rsidRDefault="005E13E8" w:rsidP="002D64E5">
            <w:pPr>
              <w:rPr>
                <w:rFonts w:eastAsia="等线"/>
                <w:color w:val="000000"/>
                <w:sz w:val="22"/>
              </w:rPr>
            </w:pPr>
            <w:r w:rsidRPr="00E547AD">
              <w:rPr>
                <w:sz w:val="22"/>
              </w:rPr>
              <w:t>Europe</w:t>
            </w:r>
          </w:p>
        </w:tc>
        <w:tc>
          <w:tcPr>
            <w:tcW w:w="0" w:type="auto"/>
          </w:tcPr>
          <w:p w14:paraId="3B41D2D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67416C6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2010</w:t>
            </w:r>
          </w:p>
        </w:tc>
        <w:tc>
          <w:tcPr>
            <w:tcW w:w="0" w:type="auto"/>
          </w:tcPr>
          <w:p w14:paraId="53E8620A"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 xml:space="preserve">Mina </w:t>
            </w:r>
            <w:proofErr w:type="spellStart"/>
            <w:r w:rsidRPr="00E547AD">
              <w:rPr>
                <w:rFonts w:eastAsia="等线"/>
                <w:color w:val="000000"/>
                <w:sz w:val="22"/>
              </w:rPr>
              <w:t>Pública</w:t>
            </w:r>
            <w:proofErr w:type="spellEnd"/>
            <w:r w:rsidRPr="00E547AD">
              <w:rPr>
                <w:rFonts w:eastAsia="等线"/>
                <w:color w:val="000000"/>
                <w:sz w:val="22"/>
              </w:rPr>
              <w:t xml:space="preserve"> </w:t>
            </w:r>
            <w:proofErr w:type="spellStart"/>
            <w:r w:rsidRPr="00E547AD">
              <w:rPr>
                <w:rFonts w:eastAsia="等线"/>
                <w:color w:val="000000"/>
                <w:sz w:val="22"/>
              </w:rPr>
              <w:t>Aigües</w:t>
            </w:r>
            <w:proofErr w:type="spellEnd"/>
            <w:r w:rsidRPr="00E547AD">
              <w:rPr>
                <w:rFonts w:eastAsia="等线"/>
                <w:color w:val="000000"/>
                <w:sz w:val="22"/>
              </w:rPr>
              <w:t xml:space="preserve"> </w:t>
            </w:r>
            <w:proofErr w:type="spellStart"/>
            <w:r w:rsidRPr="00E547AD">
              <w:rPr>
                <w:rFonts w:eastAsia="等线"/>
                <w:color w:val="000000"/>
                <w:sz w:val="22"/>
              </w:rPr>
              <w:t>Terrasa</w:t>
            </w:r>
            <w:proofErr w:type="spellEnd"/>
          </w:p>
        </w:tc>
        <w:tc>
          <w:tcPr>
            <w:tcW w:w="0" w:type="auto"/>
          </w:tcPr>
          <w:p w14:paraId="1506036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1.3</w:t>
            </w:r>
          </w:p>
          <w:p w14:paraId="22BE7F1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(1.1-1.6)</w:t>
            </w:r>
          </w:p>
        </w:tc>
        <w:tc>
          <w:tcPr>
            <w:tcW w:w="0" w:type="auto"/>
          </w:tcPr>
          <w:p w14:paraId="011E2698" w14:textId="516386CF"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{"citationItems":[{"id":"ITEM-1","itemData":{"DOI":"10.1016/j.chemosphere.2011.08.034","ISSN":"18791298","PMID":"21925700","abstract":"Contamination of surface waters by pesticides continues to be the focus of concern for water authorities due to the growing evidence of their deleterious effects on aquatic life. In this context, the present work investigates the occurrence of 16 selected pesticides belonging to the classes of triazines, phenylureas, organophosphates, chloroacetanilides and thiocarbamates in surface waters from the Llobregat River (NE Spain) and some of its tributaries (Anoia and Rubí) and assesses their potential impact on the aquatic organisms by applying a recently developed index, the Short-term Pesticide Risk Index for the Surface Water System (PRISW-1), which takes into account the pesticides concentrations and their overall toxicity against three aquatic organisms (algae, Daphnia, and fish). Chemical analysis, performed by means of a fully automated method based on isotope dilution on-line solid phase extraction-liquid chromatography-electrospray-tandem mass spectrometry (on-line SPE-LC-ESI-MS/MS), revealed diuron and diazinon as the most ubiquitous and abundant compounds with levels up to 818 and 132ngL-1, respectively. Total pesticide concentrations, which in only 1 out of 66 samples surpassed 500ngL-1, were higher in the tributaries than in the river but their contribution in terms of mass-loads to the overall pesticide pollution of the Llobregat River was relatively small. Contamination increased downstream of the river and was clearly influenced by rainfall and hence river flow. Application of the PRISW-1 index indicated that, although pesticides levels fulfilled the European Union Environmental Quality Standards (EQS) for surface waters, the existing pesticide contamination poses a low to high ecotoxicological risk for aquatic organisms, that algae and macro-invertebrates are at higher risk than fish, and that the organophosphates diazinon and malathion and the phenylurea diuron are the major contributors to the overall toxicity and therefore the most problematic compounds. © 2011 Elsevier Ltd.","author":[{"dropping-particle":"","family":"Köck-Schulmeyer","given":"Marianne","non-dropping-particle":"","parse-names":false,"suffix":""},{"dropping-particle":"","family":"Ginebreda","given":"Antoni","non-dropping-particle":"","parse-names":false,"suffix":""},{"dropping-particle":"","family":"González","given":"Susana","non-dropping-particle":"","parse-names":false,"suffix":""},{"dropping-particle":"","family":"Cortina","given":"Jose Luis","non-dropping-particle":"","parse-names":false,"suffix":""},{"dropping-particle":"","family":"Alda","given":"Miren López","non-dropping-particle":"de","parse-names":false,"suffix":""},{"dropping-particle":"","family":"Barceló","given":"Damià","non-dropping-particle":"","parse-names":false,"suffix":""}],"container-title":"Chemosphere","id":"ITEM-1","issue":"1","issued":{"date-parts":[["2012"]]},"page":"8-16","publisher":"Elsevier Ltd","title":"Analysis of the occurrence and risk assessment of polar pesticides in the Llobregat River Basin (NE Spain)","type":"article-journal","volume":"86"},"uris":["http://www.mendeley.com/documents/?uuid=1f35da54-0918-4010-bc7a-facf0fa6a090"]}],"mendeley":{"formattedCitation":"&lt;sup&gt;113&lt;/sup&gt;","plainTextFormattedCitation":"113","previouslyFormattedCitation":"&lt;sup&gt;113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113</w:t>
            </w:r>
            <w:r w:rsidRPr="00E547AD">
              <w:rPr>
                <w:color w:val="0070C0"/>
                <w:sz w:val="22"/>
              </w:rPr>
              <w:fldChar w:fldCharType="end"/>
            </w:r>
          </w:p>
        </w:tc>
      </w:tr>
      <w:tr w:rsidR="002D64E5" w:rsidRPr="00E547AD" w14:paraId="6A28EF34"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698F515" w14:textId="77777777" w:rsidR="005E13E8" w:rsidRPr="00E547AD" w:rsidRDefault="005E13E8" w:rsidP="002D64E5">
            <w:pPr>
              <w:rPr>
                <w:rFonts w:eastAsia="等线"/>
                <w:color w:val="000000"/>
                <w:sz w:val="22"/>
              </w:rPr>
            </w:pPr>
            <w:r w:rsidRPr="00E547AD">
              <w:rPr>
                <w:sz w:val="22"/>
              </w:rPr>
              <w:t>Europe</w:t>
            </w:r>
          </w:p>
        </w:tc>
        <w:tc>
          <w:tcPr>
            <w:tcW w:w="0" w:type="auto"/>
          </w:tcPr>
          <w:p w14:paraId="24FEEEA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6315AC0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2010</w:t>
            </w:r>
          </w:p>
        </w:tc>
        <w:tc>
          <w:tcPr>
            <w:tcW w:w="0" w:type="auto"/>
          </w:tcPr>
          <w:p w14:paraId="5176111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 xml:space="preserve">Sant Joan </w:t>
            </w:r>
            <w:proofErr w:type="spellStart"/>
            <w:r w:rsidRPr="00E547AD">
              <w:rPr>
                <w:rFonts w:eastAsia="等线"/>
                <w:color w:val="000000"/>
                <w:sz w:val="22"/>
              </w:rPr>
              <w:t>Despí</w:t>
            </w:r>
            <w:proofErr w:type="spellEnd"/>
          </w:p>
        </w:tc>
        <w:tc>
          <w:tcPr>
            <w:tcW w:w="0" w:type="auto"/>
          </w:tcPr>
          <w:p w14:paraId="397B6DB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w:t>
            </w:r>
          </w:p>
          <w:p w14:paraId="4F2BBED8"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(1.5-2.7)</w:t>
            </w:r>
          </w:p>
        </w:tc>
        <w:tc>
          <w:tcPr>
            <w:tcW w:w="0" w:type="auto"/>
          </w:tcPr>
          <w:p w14:paraId="5C45505D" w14:textId="7FFF080E"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{"citationItems":[{"id":"ITEM-1","itemData":{"DOI":"10.1016/j.chemosphere.2011.08.034","ISSN":"18791298","PMID":"21925700","abstract":"Contamination of surface waters by pesticides continues to be the focus of concern for water authorities due to the growing evidence of their deleterious effects on aquatic life. In this context, the present work investigates the occurrence of 16 selected pesticides belonging to the classes of triazines, phenylureas, organophosphates, chloroacetanilides and thiocarbamates in surface waters from the Llobregat River (NE Spain) and some of its tributaries (Anoia and Rubí) and assesses their potential impact on the aquatic organisms by applying a recently developed index, the Short-term Pesticide Risk Index for the Surface Water System (PRISW-1), which takes into account the pesticides concentrations and their overall toxicity against three aquatic organisms (algae, Daphnia, and fish). Chemical analysis, performed by means of a fully automated method based on isotope dilution on-line solid phase extraction-liquid chromatography-electrospray-tandem mass spectrometry (on-line SPE-LC-ESI-MS/MS), revealed diuron and diazinon as the most ubiquitous and abundant compounds with levels up to 818 and 132ngL-1, respectively. Total pesticide concentrations, which in only 1 out of 66 samples surpassed 500ngL-1, were higher in the tributaries than in the river but their contribution in terms of mass-loads to the overall pesticide pollution of the Llobregat River was relatively small. Contamination increased downstream of the river and was clearly influenced by rainfall and hence river flow. Application of the PRISW-1 index indicated that, although pesticides levels fulfilled the European Union Environmental Quality Standards (EQS) for surface waters, the existing pesticide contamination poses a low to high ecotoxicological risk for aquatic organisms, that algae and macro-invertebrates are at higher risk than fish, and that the organophosphates diazinon and malathion and the phenylurea diuron are the major contributors to the overall toxicity and therefore the most problematic compounds. © 2011 Elsevier Ltd.","author":[{"dropping-particle":"","family":"Köck-Schulmeyer","given":"Marianne","non-dropping-particle":"","parse-names":false,"suffix":""},{"dropping-particle":"","family":"Ginebreda","given":"Antoni","non-dropping-particle":"","parse-names":false,"suffix":""},{"dropping-particle":"","family":"González","given":"Susana","non-dropping-particle":"","parse-names":false,"suffix":""},{"dropping-particle":"","family":"Cortina","given":"Jose Luis","non-dropping-particle":"","parse-names":false,"suffix":""},{"dropping-particle":"","family":"Alda","given":"Miren López","non-dropping-particle":"de","parse-names":false,"suffix":""},{"dropping-particle":"","family":"Barceló","given":"Damià","non-dropping-particle":"","parse-names":false,"suffix":""}],"container-title":"Chemosphere","id":"ITEM-1","issue":"1","issued":{"date-parts":[["2012"]]},"page":"8-16","publisher":"Elsevier Ltd","title":"Analysis of the occurrence and risk assessment of polar pesticides in the Llobregat River Basin (NE Spain)","type":"article-journal","volume":"86"},"uris":["http://www.mendeley.com/documents/?uuid=1f35da54-0918-4010-bc7a-facf0fa6a090"]}],"mendeley":{"formattedCitation":"&lt;sup&gt;113&lt;/sup&gt;","plainTextFormattedCitation":"113","previouslyFormattedCitation":"&lt;sup&gt;113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113</w:t>
            </w:r>
            <w:r w:rsidRPr="00E547AD">
              <w:rPr>
                <w:color w:val="0070C0"/>
                <w:sz w:val="22"/>
              </w:rPr>
              <w:fldChar w:fldCharType="end"/>
            </w:r>
          </w:p>
        </w:tc>
      </w:tr>
      <w:tr w:rsidR="005E13E8" w:rsidRPr="00E547AD" w14:paraId="0C14F16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F6D7B8D" w14:textId="77777777" w:rsidR="005E13E8" w:rsidRPr="00E547AD" w:rsidRDefault="005E13E8" w:rsidP="002D64E5">
            <w:pPr>
              <w:rPr>
                <w:rFonts w:eastAsia="等线"/>
                <w:color w:val="000000"/>
                <w:sz w:val="22"/>
              </w:rPr>
            </w:pPr>
            <w:r w:rsidRPr="00E547AD">
              <w:rPr>
                <w:sz w:val="22"/>
              </w:rPr>
              <w:t>Europe</w:t>
            </w:r>
          </w:p>
        </w:tc>
        <w:tc>
          <w:tcPr>
            <w:tcW w:w="0" w:type="auto"/>
          </w:tcPr>
          <w:p w14:paraId="6629AC02"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67B8B61F"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2010</w:t>
            </w:r>
          </w:p>
        </w:tc>
        <w:tc>
          <w:tcPr>
            <w:tcW w:w="0" w:type="auto"/>
          </w:tcPr>
          <w:p w14:paraId="342FA49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proofErr w:type="spellStart"/>
            <w:r w:rsidRPr="00E547AD">
              <w:rPr>
                <w:rFonts w:eastAsia="等线"/>
                <w:color w:val="000000"/>
                <w:sz w:val="22"/>
              </w:rPr>
              <w:t>Anoia</w:t>
            </w:r>
            <w:proofErr w:type="spellEnd"/>
          </w:p>
        </w:tc>
        <w:tc>
          <w:tcPr>
            <w:tcW w:w="0" w:type="auto"/>
          </w:tcPr>
          <w:p w14:paraId="22CA3330"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0.9</w:t>
            </w:r>
          </w:p>
        </w:tc>
        <w:tc>
          <w:tcPr>
            <w:tcW w:w="0" w:type="auto"/>
          </w:tcPr>
          <w:p w14:paraId="421A755B" w14:textId="475CB540"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{"citationItems":[{"id":"ITEM-1","itemData":{"DOI":"10.1016/j.chemosphere.2011.08.034","ISSN":"18791298","PMID":"21925700","abstract":"Contamination of surface waters by pesticides continues to be the focus of concern for water authorities due to the growing evidence of their deleterious effects on aquatic life. In this context, the present work investigates the occurrence of 16 selected pesticides belonging to the classes of triazines, phenylureas, organophosphates, chloroacetanilides and thiocarbamates in surface waters from the Llobregat River (NE Spain) and some of its tributaries (Anoia and Rubí) and assesses their potential impact on the aquatic organisms by applying a recently developed index, the Short-term Pesticide Risk Index for the Surface Water System (PRISW-1), which takes into account the pesticides concentrations and their overall toxicity against three aquatic organisms (algae, Daphnia, and fish). Chemical analysis, performed by means of a fully automated method based on isotope dilution on-line solid phase extraction-liquid chromatography-electrospray-tandem mass spectrometry (on-line SPE-LC-ESI-MS/MS), revealed diuron and diazinon as the most ubiquitous and abundant compounds with levels up to 818 and 132ngL-1, respectively. Total pesticide concentrations, which in only 1 out of 66 samples surpassed 500ngL-1, were higher in the tributaries than in the river but their contribution in terms of mass-loads to the overall pesticide pollution of the Llobregat River was relatively small. Contamination increased downstream of the river and was clearly influenced by rainfall and hence river flow. Application of the PRISW-1 index indicated that, although pesticides levels fulfilled the European Union Environmental Quality Standards (EQS) for surface waters, the existing pesticide contamination poses a low to high ecotoxicological risk for aquatic organisms, that algae and macro-invertebrates are at higher risk than fish, and that the organophosphates diazinon and malathion and the phenylurea diuron are the major contributors to the overall toxicity and therefore the most problematic compounds. © 2011 Elsevier Ltd.","author":[{"dropping-particle":"","family":"Köck-Schulmeyer","given":"Marianne","non-dropping-particle":"","parse-names":false,"suffix":""},{"dropping-particle":"","family":"Ginebreda","given":"Antoni","non-dropping-particle":"","parse-names":false,"suffix":""},{"dropping-particle":"","family":"González","given":"Susana","non-dropping-particle":"","parse-names":false,"suffix":""},{"dropping-particle":"","family":"Cortina","given":"Jose Luis","non-dropping-particle":"","parse-names":false,"suffix":""},{"dropping-particle":"","family":"Alda","given":"Miren López","non-dropping-particle":"de","parse-names":false,"suffix":""},{"dropping-particle":"","family":"Barceló","given":"Damià","non-dropping-particle":"","parse-names":false,"suffix":""}],"container-title":"Chemosphere","id":"ITEM-1","issue":"1","issued":{"date-parts":[["2012"]]},"page":"8-16","publisher":"Elsevier Ltd","title":"Analysis of the occurrence and risk assessment of polar pesticides in the Llobregat River Basin (NE Spain)","type":"article-journal","volume":"86"},"uris":["http://www.mendeley.com/documents/?uuid=1f35da54-0918-4010-bc7a-facf0fa6a090"]}],"mendeley":{"formattedCitation":"&lt;sup&gt;113&lt;/sup&gt;","plainTextFormattedCitation":"113","previouslyFormattedCitation":"&lt;sup&gt;113&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113</w:t>
            </w:r>
            <w:r w:rsidRPr="00E547AD">
              <w:rPr>
                <w:color w:val="0070C0"/>
                <w:sz w:val="22"/>
              </w:rPr>
              <w:fldChar w:fldCharType="end"/>
            </w:r>
          </w:p>
        </w:tc>
      </w:tr>
      <w:tr w:rsidR="002D64E5" w:rsidRPr="00E547AD" w14:paraId="77D499D5"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A7D27D4" w14:textId="77777777" w:rsidR="005E13E8" w:rsidRPr="00E547AD" w:rsidRDefault="005E13E8" w:rsidP="002D64E5">
            <w:pPr>
              <w:rPr>
                <w:rFonts w:eastAsia="等线"/>
                <w:color w:val="000000"/>
                <w:sz w:val="22"/>
              </w:rPr>
            </w:pPr>
            <w:r w:rsidRPr="00E547AD">
              <w:rPr>
                <w:sz w:val="22"/>
              </w:rPr>
              <w:lastRenderedPageBreak/>
              <w:t>Europe</w:t>
            </w:r>
          </w:p>
        </w:tc>
        <w:tc>
          <w:tcPr>
            <w:tcW w:w="0" w:type="auto"/>
          </w:tcPr>
          <w:p w14:paraId="4E6DA0B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5EBB8F3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1991</w:t>
            </w:r>
          </w:p>
        </w:tc>
        <w:tc>
          <w:tcPr>
            <w:tcW w:w="0" w:type="auto"/>
          </w:tcPr>
          <w:p w14:paraId="5C72A2D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Ebro Delta</w:t>
            </w:r>
          </w:p>
        </w:tc>
        <w:tc>
          <w:tcPr>
            <w:tcW w:w="0" w:type="auto"/>
          </w:tcPr>
          <w:p w14:paraId="34DE458F"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29</w:t>
            </w:r>
          </w:p>
          <w:p w14:paraId="4E1F59E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(1-57)</w:t>
            </w:r>
          </w:p>
        </w:tc>
        <w:tc>
          <w:tcPr>
            <w:tcW w:w="0" w:type="auto"/>
          </w:tcPr>
          <w:p w14:paraId="23C92D1E" w14:textId="7690429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{"citationItems":[{"id":"ITEM-1","itemData":{"DOI":"https://doi.org/10.1016/0025-326X(93)90500-J","ISSN":"0025-326X","abstract":"The reported data offers the first extensive evidence that significant concentrations of some herbicides persist in marine systems. In the areas studied (the Ebro delta on the Eastern Coast of Spain, the Rhone delta in the South of France, the River Po, Italy/the Northern Adriatic Sea, the Thermaikos and Amvrakikos Gulfs in Greece and the Nile delta in Egypt) the most commonly encountered herbicides were atrazine, simazine, alachlor, metolachlor and molinate. In general, aqueous concentrations encountered in the riverine inputs were comparable to (or below) those reported for rivers in other regions of the World. Concentrations generally declined from freshwater locations through estuaries to marine waters. The distributions of some herbicides (e.g. the triazines) in sediments endorsed the environmental persistence of these compounds. In contrast to the other areas studied, no herbicides were detected in samples from a preliminary survey of the Nile delta.","author":[{"dropping-particle":"","family":"Readman","given":"J W","non-dropping-particle":"","parse-names":false,"suffix":""},{"dropping-particle":"","family":"Albanis","given":"T A","non-dropping-particle":"","parse-names":false,"suffix":""},{"dropping-particle":"","family":"Barcelo","given":"D","non-dropping-particle":"","parse-names":false,"suffix":""},{"dropping-particle":"","family":"Galassi","given":"S","non-dropping-particle":"","parse-names":false,"suffix":""},{"dropping-particle":"","family":"Tronczynski","given":"J","non-dropping-particle":"","parse-names":false,"suffix":""},{"dropping-particle":"","family":"Gabrielides","given":"G P","non-dropping-particle":"","parse-names":false,"suffix":""}],"container-title":"Marine Pollution Bulletin","id":"ITEM-1","issue":"11","issued":{"date-parts":[["1993"]]},"page":"613-619","title":"Herbicide contamination of Mediterranean estuarine waters: Results from a MED POL pilot survey","type":"article-journal","volume":"26"},"uris":["http://www.mendeley.com/documents/?uuid=a35644c1-fd14-400b-be5a-6b1301c7d420"]}],"mendeley":{"formattedCitation":"&lt;sup&gt;99&lt;/sup&gt;","plainTextFormattedCitation":"99","previouslyFormattedCitation":"&lt;sup&gt;99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99</w:t>
            </w:r>
            <w:r w:rsidRPr="00E547AD">
              <w:rPr>
                <w:color w:val="0070C0"/>
                <w:sz w:val="22"/>
              </w:rPr>
              <w:fldChar w:fldCharType="end"/>
            </w:r>
          </w:p>
        </w:tc>
      </w:tr>
      <w:tr w:rsidR="005E13E8" w:rsidRPr="00E547AD" w14:paraId="3499F45A"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321E7A97" w14:textId="77777777" w:rsidR="005E13E8" w:rsidRPr="00E547AD" w:rsidRDefault="005E13E8" w:rsidP="002D64E5">
            <w:pPr>
              <w:rPr>
                <w:rFonts w:eastAsia="等线"/>
                <w:color w:val="000000"/>
                <w:sz w:val="22"/>
              </w:rPr>
            </w:pPr>
            <w:r w:rsidRPr="00E547AD">
              <w:rPr>
                <w:sz w:val="22"/>
              </w:rPr>
              <w:t>Europe</w:t>
            </w:r>
          </w:p>
        </w:tc>
        <w:tc>
          <w:tcPr>
            <w:tcW w:w="0" w:type="auto"/>
          </w:tcPr>
          <w:p w14:paraId="5651B039"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Spain</w:t>
            </w:r>
          </w:p>
        </w:tc>
        <w:tc>
          <w:tcPr>
            <w:tcW w:w="0" w:type="auto"/>
          </w:tcPr>
          <w:p w14:paraId="16E24B7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1996</w:t>
            </w:r>
          </w:p>
        </w:tc>
        <w:tc>
          <w:tcPr>
            <w:tcW w:w="0" w:type="auto"/>
          </w:tcPr>
          <w:p w14:paraId="0276802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Ebro Delta</w:t>
            </w:r>
          </w:p>
        </w:tc>
        <w:tc>
          <w:tcPr>
            <w:tcW w:w="0" w:type="auto"/>
          </w:tcPr>
          <w:p w14:paraId="17203E07"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142</w:t>
            </w:r>
          </w:p>
        </w:tc>
        <w:tc>
          <w:tcPr>
            <w:tcW w:w="0" w:type="auto"/>
          </w:tcPr>
          <w:p w14:paraId="4AF859CD" w14:textId="5A30FC7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{"citationItems":[{"id":"ITEM-1","itemData":{"DOI":"10.1021/ac970843h","ISSN":"00032700","abstract":"A new automated on-line immunosorbent phase extraction method was developed and validated for the analysis of triazine and phenylurea herbicides in environmental matrixes such as sediments and natural waters. This method is a first application and consists of trace analyte extraction using an immunosorbent column-containing either anti-atrazine or anti-chlortoluron antibodies-combined with a liquid Chromatograph by use of an online sample preparation system coupled directiy to an atmospheric pressure chemical ionization/mass spectrometer in positive mode of operation. After the percolation of 20 mL of water through the immunosorbent columns, high recoveries of extraction were obtained for all the compounds with the exception of deisopropylatrazine and diflubenzuron. Calibration curves were linear in the range between 0.01 and 0.2 μg/L in groundwater. The limits of detection ranged from 0.001 to 0.005 μg/L, indicating good sensitivity achieved by both types of immunosorbents. Environmental sediment samples from the Ebre Delta area (Tarragona, Spain) containing several triazines and linuron were Soxhlet extracted with methanol, and the extracts were brought to a volume of 100 mL in water in order to perform the extraction with the immunosorbents. No significant interferences from the sample matrix were noticed, thus indicating a good selectivity of the immunosorbents used. Seawater samples from a marina nearby (Masnou, Barcelona, Spain) were also analyzed. An interlaboratory study using Aquacheck-certified groundwater samples was carried out in order to validate the application of the method for the analysis of environmental samples.","author":[{"dropping-particle":"","family":"Ferrer","given":"Imma","non-dropping-particle":"","parse-names":false,"suffix":""},{"dropping-particle":"","family":"Hennion","given":"Marie Claire","non-dropping-particle":"","parse-names":false,"suffix":""},{"dropping-particle":"","family":"Barceló","given":"Damià","non-dropping-particle":"","parse-names":false,"suffix":""}],"container-title":"Analytical Chemistry","id":"ITEM-1","issue":"22","issued":{"date-parts":[["1997"]]},"page":"4508-4514","title":"Immunosorbents Coupled On-Line with Liquid Chromatography/Atmospheric Pressure Chemical Ionization/Mass Spectrometry for the Part per Trillion Level Determination of Pesticides in Sediments and Natural Waters Using Low Preconcentration Volumes","type":"article-journal","volume":"69"},"uris":["http://www.mendeley.com/documents/?uuid=15725248-837e-47a6-a48a-c7d0748564ce"]}],"mendeley":{"formattedCitation":"&lt;sup&gt;100&lt;/sup&gt;","plainTextFormattedCitation":"100","previouslyFormattedCitation":"&lt;sup&gt;100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100</w:t>
            </w:r>
            <w:r w:rsidRPr="00E547AD">
              <w:rPr>
                <w:color w:val="0070C0"/>
                <w:sz w:val="22"/>
              </w:rPr>
              <w:fldChar w:fldCharType="end"/>
            </w:r>
          </w:p>
        </w:tc>
      </w:tr>
      <w:tr w:rsidR="002D64E5" w:rsidRPr="00E547AD" w14:paraId="25995F9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3FE33C" w14:textId="77777777" w:rsidR="005E13E8" w:rsidRPr="00E547AD" w:rsidRDefault="005E13E8" w:rsidP="002D64E5">
            <w:pPr>
              <w:rPr>
                <w:rFonts w:eastAsia="等线"/>
                <w:color w:val="000000"/>
                <w:sz w:val="22"/>
              </w:rPr>
            </w:pPr>
            <w:r w:rsidRPr="00E547AD">
              <w:rPr>
                <w:sz w:val="22"/>
              </w:rPr>
              <w:t>Europe</w:t>
            </w:r>
          </w:p>
        </w:tc>
        <w:tc>
          <w:tcPr>
            <w:tcW w:w="0" w:type="auto"/>
          </w:tcPr>
          <w:p w14:paraId="5AFD33A9"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Spain</w:t>
            </w:r>
          </w:p>
        </w:tc>
        <w:tc>
          <w:tcPr>
            <w:tcW w:w="0" w:type="auto"/>
          </w:tcPr>
          <w:p w14:paraId="3EB3C372"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1997</w:t>
            </w:r>
          </w:p>
        </w:tc>
        <w:tc>
          <w:tcPr>
            <w:tcW w:w="0" w:type="auto"/>
          </w:tcPr>
          <w:p w14:paraId="115DB938"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Ebro Delta</w:t>
            </w:r>
          </w:p>
        </w:tc>
        <w:tc>
          <w:tcPr>
            <w:tcW w:w="0" w:type="auto"/>
          </w:tcPr>
          <w:p w14:paraId="539753C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175</w:t>
            </w:r>
          </w:p>
        </w:tc>
        <w:tc>
          <w:tcPr>
            <w:tcW w:w="0" w:type="auto"/>
          </w:tcPr>
          <w:p w14:paraId="6F7639EE" w14:textId="3EC74573"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{"citationItems":[{"id":"ITEM-1","itemData":{"DOI":"10.1021/ac970843h","ISSN":"00032700","abstract":"A new automated on-line immunosorbent phase extraction method was developed and validated for the analysis of triazine and phenylurea herbicides in environmental matrixes such as sediments and natural waters. This method is a first application and consists of trace analyte extraction using an immunosorbent column-containing either anti-atrazine or anti-chlortoluron antibodies-combined with a liquid Chromatograph by use of an online sample preparation system coupled directiy to an atmospheric pressure chemical ionization/mass spectrometer in positive mode of operation. After the percolation of 20 mL of water through the immunosorbent columns, high recoveries of extraction were obtained for all the compounds with the exception of deisopropylatrazine and diflubenzuron. Calibration curves were linear in the range between 0.01 and 0.2 μg/L in groundwater. The limits of detection ranged from 0.001 to 0.005 μg/L, indicating good sensitivity achieved by both types of immunosorbents. Environmental sediment samples from the Ebre Delta area (Tarragona, Spain) containing several triazines and linuron were Soxhlet extracted with methanol, and the extracts were brought to a volume of 100 mL in water in order to perform the extraction with the immunosorbents. No significant interferences from the sample matrix were noticed, thus indicating a good selectivity of the immunosorbents used. Seawater samples from a marina nearby (Masnou, Barcelona, Spain) were also analyzed. An interlaboratory study using Aquacheck-certified groundwater samples was carried out in order to validate the application of the method for the analysis of environmental samples.","author":[{"dropping-particle":"","family":"Ferrer","given":"Imma","non-dropping-particle":"","parse-names":false,"suffix":""},{"dropping-particle":"","family":"Hennion","given":"Marie Claire","non-dropping-particle":"","parse-names":false,"suffix":""},{"dropping-particle":"","family":"Barceló","given":"Damià","non-dropping-particle":"","parse-names":false,"suffix":""}],"container-title":"Analytical Chemistry","id":"ITEM-1","issue":"22","issued":{"date-parts":[["1997"]]},"page":"4508-4514","title":"Immunosorbents Coupled On-Line with Liquid Chromatography/Atmospheric Pressure Chemical Ionization/Mass Spectrometry for the Part per Trillion Level Determination of Pesticides in Sediments and Natural Waters Using Low Preconcentration Volumes","type":"article-journal","volume":"69"},"uris":["http://www.mendeley.com/documents/?uuid=15725248-837e-47a6-a48a-c7d0748564ce"]}],"mendeley":{"formattedCitation":"&lt;sup&gt;100&lt;/sup&gt;","plainTextFormattedCitation":"100","previouslyFormattedCitation":"&lt;sup&gt;100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100</w:t>
            </w:r>
            <w:r w:rsidRPr="00E547AD">
              <w:rPr>
                <w:color w:val="0070C0"/>
                <w:sz w:val="22"/>
              </w:rPr>
              <w:fldChar w:fldCharType="end"/>
            </w:r>
          </w:p>
        </w:tc>
      </w:tr>
      <w:tr w:rsidR="005E13E8" w:rsidRPr="00E547AD" w14:paraId="5213D263"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07F4EEB6" w14:textId="77777777" w:rsidR="005E13E8" w:rsidRPr="00E547AD" w:rsidRDefault="005E13E8" w:rsidP="002D64E5">
            <w:pPr>
              <w:rPr>
                <w:rFonts w:eastAsia="等线"/>
                <w:color w:val="000000"/>
                <w:sz w:val="22"/>
              </w:rPr>
            </w:pPr>
            <w:r w:rsidRPr="00E547AD">
              <w:rPr>
                <w:sz w:val="22"/>
              </w:rPr>
              <w:t>Europe</w:t>
            </w:r>
          </w:p>
        </w:tc>
        <w:tc>
          <w:tcPr>
            <w:tcW w:w="0" w:type="auto"/>
          </w:tcPr>
          <w:p w14:paraId="5A76813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Switzerland</w:t>
            </w:r>
          </w:p>
        </w:tc>
        <w:tc>
          <w:tcPr>
            <w:tcW w:w="0" w:type="auto"/>
          </w:tcPr>
          <w:p w14:paraId="0F476D81"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1992</w:t>
            </w:r>
          </w:p>
        </w:tc>
        <w:tc>
          <w:tcPr>
            <w:tcW w:w="0" w:type="auto"/>
          </w:tcPr>
          <w:p w14:paraId="42409786"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Switzerland</w:t>
            </w:r>
          </w:p>
        </w:tc>
        <w:tc>
          <w:tcPr>
            <w:tcW w:w="0" w:type="auto"/>
          </w:tcPr>
          <w:p w14:paraId="4301C938"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231</w:t>
            </w:r>
          </w:p>
          <w:p w14:paraId="36914582"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(1-460)</w:t>
            </w:r>
          </w:p>
        </w:tc>
        <w:tc>
          <w:tcPr>
            <w:tcW w:w="0" w:type="auto"/>
          </w:tcPr>
          <w:p w14:paraId="7E244FBC" w14:textId="09D5CA13"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{"citationItems":[{"id":"ITEM-1","itemData":{"DOI":"10.1021/ac970843h","ISSN":"00032700","abstract":"A new automated on-line immunosorbent phase extraction method was developed and validated for the analysis of triazine and phenylurea herbicides in environmental matrixes such as sediments and natural waters. This method is a first application and consists of trace analyte extraction using an immunosorbent column-containing either anti-atrazine or anti-chlortoluron antibodies-combined with a liquid Chromatograph by use of an online sample preparation system coupled directiy to an atmospheric pressure chemical ionization/mass spectrometer in positive mode of operation. After the percolation of 20 mL of water through the immunosorbent columns, high recoveries of extraction were obtained for all the compounds with the exception of deisopropylatrazine and diflubenzuron. Calibration curves were linear in the range between 0.01 and 0.2 μg/L in groundwater. The limits of detection ranged from 0.001 to 0.005 μg/L, indicating good sensitivity achieved by both types of immunosorbents. Environmental sediment samples from the Ebre Delta area (Tarragona, Spain) containing several triazines and linuron were Soxhlet extracted with methanol, and the extracts were brought to a volume of 100 mL in water in order to perform the extraction with the immunosorbents. No significant interferences from the sample matrix were noticed, thus indicating a good selectivity of the immunosorbents used. Seawater samples from a marina nearby (Masnou, Barcelona, Spain) were also analyzed. An interlaboratory study using Aquacheck-certified groundwater samples was carried out in order to validate the application of the method for the analysis of environmental samples.","author":[{"dropping-particle":"","family":"Ferrer","given":"Imma","non-dropping-particle":"","parse-names":false,"suffix":""},{"dropping-particle":"","family":"Hennion","given":"Marie Claire","non-dropping-particle":"","parse-names":false,"suffix":""},{"dropping-particle":"","family":"Barceló","given":"Damià","non-dropping-particle":"","parse-names":false,"suffix":""}],"container-title":"Analytical Chemistry","id":"ITEM-1","issue":"22","issued":{"date-parts":[["1997"]]},"page":"4508-4514","title":"Immunosorbents Coupled On-Line with Liquid Chromatography/Atmospheric Pressure Chemical Ionization/Mass Spectrometry for the Part per Trillion Level Determination of Pesticides in Sediments and Natural Waters Using Low Preconcentration Volumes","type":"article-journal","volume":"69"},"uris":["http://www.mendeley.com/documents/?uuid=15725248-837e-47a6-a48a-c7d0748564ce"]}],"mendeley":{"formattedCitation":"&lt;sup&gt;100&lt;/sup&gt;","plainTextFormattedCitation":"100","previouslyFormattedCitation":"&lt;sup&gt;100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100</w:t>
            </w:r>
            <w:r w:rsidRPr="00E547AD">
              <w:rPr>
                <w:color w:val="0070C0"/>
                <w:sz w:val="22"/>
              </w:rPr>
              <w:fldChar w:fldCharType="end"/>
            </w:r>
          </w:p>
        </w:tc>
      </w:tr>
      <w:tr w:rsidR="002D64E5" w:rsidRPr="00E547AD" w14:paraId="5D1D3D4E"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7AF9CD" w14:textId="77777777" w:rsidR="005E13E8" w:rsidRPr="00E547AD" w:rsidRDefault="005E13E8" w:rsidP="002D64E5">
            <w:pPr>
              <w:rPr>
                <w:rFonts w:eastAsia="等线"/>
                <w:color w:val="000000"/>
                <w:sz w:val="22"/>
              </w:rPr>
            </w:pPr>
            <w:r w:rsidRPr="00E547AD">
              <w:rPr>
                <w:sz w:val="22"/>
              </w:rPr>
              <w:t>Europe</w:t>
            </w:r>
          </w:p>
        </w:tc>
        <w:tc>
          <w:tcPr>
            <w:tcW w:w="0" w:type="auto"/>
          </w:tcPr>
          <w:p w14:paraId="51CE2582"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Switzerland</w:t>
            </w:r>
          </w:p>
        </w:tc>
        <w:tc>
          <w:tcPr>
            <w:tcW w:w="0" w:type="auto"/>
          </w:tcPr>
          <w:p w14:paraId="6C81C59D"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1996</w:t>
            </w:r>
          </w:p>
        </w:tc>
        <w:tc>
          <w:tcPr>
            <w:tcW w:w="0" w:type="auto"/>
          </w:tcPr>
          <w:p w14:paraId="49870CA0"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Switzerland</w:t>
            </w:r>
          </w:p>
        </w:tc>
        <w:tc>
          <w:tcPr>
            <w:tcW w:w="0" w:type="auto"/>
          </w:tcPr>
          <w:p w14:paraId="5CFC21E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3500</w:t>
            </w:r>
          </w:p>
          <w:p w14:paraId="4FAC80B7"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(1000-6000)</w:t>
            </w:r>
          </w:p>
        </w:tc>
        <w:tc>
          <w:tcPr>
            <w:tcW w:w="0" w:type="auto"/>
          </w:tcPr>
          <w:p w14:paraId="27D2CD5D" w14:textId="1A9D0CF6"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{"citationItems":[{"id":"ITEM-1","itemData":{"DOI":"10.1021/ac970843h","ISSN":"00032700","abstract":"A new automated on-line immunosorbent phase extraction method was developed and validated for the analysis of triazine and phenylurea herbicides in environmental matrixes such as sediments and natural waters. This method is a first application and consists of trace analyte extraction using an immunosorbent column-containing either anti-atrazine or anti-chlortoluron antibodies-combined with a liquid Chromatograph by use of an online sample preparation system coupled directiy to an atmospheric pressure chemical ionization/mass spectrometer in positive mode of operation. After the percolation of 20 mL of water through the immunosorbent columns, high recoveries of extraction were obtained for all the compounds with the exception of deisopropylatrazine and diflubenzuron. Calibration curves were linear in the range between 0.01 and 0.2 μg/L in groundwater. The limits of detection ranged from 0.001 to 0.005 μg/L, indicating good sensitivity achieved by both types of immunosorbents. Environmental sediment samples from the Ebre Delta area (Tarragona, Spain) containing several triazines and linuron were Soxhlet extracted with methanol, and the extracts were brought to a volume of 100 mL in water in order to perform the extraction with the immunosorbents. No significant interferences from the sample matrix were noticed, thus indicating a good selectivity of the immunosorbents used. Seawater samples from a marina nearby (Masnou, Barcelona, Spain) were also analyzed. An interlaboratory study using Aquacheck-certified groundwater samples was carried out in order to validate the application of the method for the analysis of environmental samples.","author":[{"dropping-particle":"","family":"Ferrer","given":"Imma","non-dropping-particle":"","parse-names":false,"suffix":""},{"dropping-particle":"","family":"Hennion","given":"Marie Claire","non-dropping-particle":"","parse-names":false,"suffix":""},{"dropping-particle":"","family":"Barceló","given":"Damià","non-dropping-particle":"","parse-names":false,"suffix":""}],"container-title":"Analytical Chemistry","id":"ITEM-1","issue":"22","issued":{"date-parts":[["1997"]]},"page":"4508-4514","title":"Immunosorbents Coupled On-Line with Liquid Chromatography/Atmospheric Pressure Chemical Ionization/Mass Spectrometry for the Part per Trillion Level Determination of Pesticides in Sediments and Natural Waters Using Low Preconcentration Volumes","type":"article-journal","volume":"69"},"uris":["http://www.mendeley.com/documents/?uuid=15725248-837e-47a6-a48a-c7d0748564ce"]}],"mendeley":{"formattedCitation":"&lt;sup&gt;100&lt;/sup&gt;","plainTextFormattedCitation":"100","previouslyFormattedCitation":"&lt;sup&gt;100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100</w:t>
            </w:r>
            <w:r w:rsidRPr="00E547AD">
              <w:rPr>
                <w:color w:val="0070C0"/>
                <w:sz w:val="22"/>
              </w:rPr>
              <w:fldChar w:fldCharType="end"/>
            </w:r>
          </w:p>
        </w:tc>
      </w:tr>
      <w:tr w:rsidR="005E13E8" w:rsidRPr="00E547AD" w14:paraId="238D0EF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45C5AEFB" w14:textId="77777777" w:rsidR="005E13E8" w:rsidRPr="00E547AD" w:rsidRDefault="005E13E8" w:rsidP="002D64E5">
            <w:pPr>
              <w:rPr>
                <w:rFonts w:eastAsia="等线"/>
                <w:color w:val="000000"/>
                <w:sz w:val="22"/>
              </w:rPr>
            </w:pPr>
            <w:r w:rsidRPr="00E547AD">
              <w:rPr>
                <w:rFonts w:eastAsia="等线"/>
                <w:color w:val="000000"/>
                <w:sz w:val="22"/>
              </w:rPr>
              <w:t>Middle East</w:t>
            </w:r>
          </w:p>
        </w:tc>
        <w:tc>
          <w:tcPr>
            <w:tcW w:w="0" w:type="auto"/>
          </w:tcPr>
          <w:p w14:paraId="4BD69E43"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Turkey</w:t>
            </w:r>
          </w:p>
        </w:tc>
        <w:tc>
          <w:tcPr>
            <w:tcW w:w="0" w:type="auto"/>
          </w:tcPr>
          <w:p w14:paraId="03824A5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2011</w:t>
            </w:r>
          </w:p>
        </w:tc>
        <w:tc>
          <w:tcPr>
            <w:tcW w:w="0" w:type="auto"/>
          </w:tcPr>
          <w:p w14:paraId="386A5820"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Dardanelles</w:t>
            </w:r>
          </w:p>
        </w:tc>
        <w:tc>
          <w:tcPr>
            <w:tcW w:w="0" w:type="auto"/>
          </w:tcPr>
          <w:p w14:paraId="62C394C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(na-33)</w:t>
            </w:r>
          </w:p>
        </w:tc>
        <w:tc>
          <w:tcPr>
            <w:tcW w:w="0" w:type="auto"/>
          </w:tcPr>
          <w:p w14:paraId="042F3EE8" w14:textId="167554EB"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{"citationItems":[{"id":"ITEM-1","itemData":{"DOI":"10.1016/j.marpolbul.2014.06.024","ISSN":"18793363","PMID":"25015017","abstract":"Polar anthropogenic organic micropollutants are frequently detected in freshwater and discharged on large scale into marine systems. In this work the results of 153 samples collected from the shorelines of the Baltic Sea (Germany), Northern Adriatic Sea (Italy), Aegean Sea and Dardanelles (Greece &amp; Turkey), San Francisco Bay (USA), Pacific Ocean (USA), Mediterranean Sea (Israel), and Balearic Sea (Spain) are presented. The samples were analyzed for various classes of micropollutants such as pharmaceuticals, corrosion inhibitors, biocides, and stimulants. Caffeine, paraxanthine, theobromine, tolyltriazole, 1H-benzotriazole, and atrazine were detected in. &gt;50% of all samples. The detection frequencies of carbamazepine, iopamidol, diuron, sulfamethoxazole, paracetamol, theophylline, and atenolol were between 20% and 32%. As caffeine is linked to untreated wastewater, the widespread occurrence of raw sewage in marine environments and thus potentially elevated nutrient concentrations and risk for the presence of wastewater-related pathogens is remarkable. © 2014 Elsevier Ltd.","author":[{"dropping-particle":"","family":"Nödler","given":"Karsten","non-dropping-particle":"","parse-names":false,"suffix":""},{"dropping-particle":"","family":"Voutsa","given":"Dimitra","non-dropping-particle":"","parse-names":false,"suffix":""},{"dropping-particle":"","family":"Licha","given":"Tobias","non-dropping-particle":"","parse-names":false,"suffix":""}],"container-title":"Marine Pollution Bulletin","id":"ITEM-1","issue":"1","issued":{"date-parts":[["2014"]]},"page":"50-59","title":"Polar organic micropollutants in the coastal environment of different marine systems","type":"article-journal","volume":"85"},"uris":["http://www.mendeley.com/documents/?uuid=4c0cf6ec-6cd2-460b-a4f5-63db7fe6e4da"]}],"mendeley":{"formattedCitation":"&lt;sup&gt;116&lt;/sup&gt;","plainTextFormattedCitation":"116","previouslyFormattedCitation":"&lt;sup&gt;116&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116</w:t>
            </w:r>
            <w:r w:rsidRPr="00E547AD">
              <w:rPr>
                <w:color w:val="0070C0"/>
                <w:sz w:val="22"/>
              </w:rPr>
              <w:fldChar w:fldCharType="end"/>
            </w:r>
          </w:p>
        </w:tc>
      </w:tr>
      <w:tr w:rsidR="002D64E5" w:rsidRPr="00E547AD" w14:paraId="2220C3D7"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84EF67" w14:textId="77777777" w:rsidR="005E13E8" w:rsidRPr="00E547AD" w:rsidRDefault="005E13E8" w:rsidP="002D64E5">
            <w:pPr>
              <w:rPr>
                <w:rFonts w:eastAsia="等线"/>
                <w:color w:val="000000"/>
                <w:sz w:val="22"/>
              </w:rPr>
            </w:pPr>
            <w:r w:rsidRPr="00E547AD">
              <w:rPr>
                <w:sz w:val="22"/>
              </w:rPr>
              <w:t>Europe</w:t>
            </w:r>
          </w:p>
        </w:tc>
        <w:tc>
          <w:tcPr>
            <w:tcW w:w="0" w:type="auto"/>
          </w:tcPr>
          <w:p w14:paraId="07E1270D"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Germany</w:t>
            </w:r>
          </w:p>
        </w:tc>
        <w:tc>
          <w:tcPr>
            <w:tcW w:w="0" w:type="auto"/>
          </w:tcPr>
          <w:p w14:paraId="63A3CF1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2011</w:t>
            </w:r>
          </w:p>
        </w:tc>
        <w:tc>
          <w:tcPr>
            <w:tcW w:w="0" w:type="auto"/>
          </w:tcPr>
          <w:p w14:paraId="1E4CE6D3"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Lower Rhine</w:t>
            </w:r>
          </w:p>
        </w:tc>
        <w:tc>
          <w:tcPr>
            <w:tcW w:w="0" w:type="auto"/>
          </w:tcPr>
          <w:p w14:paraId="073FDFF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59</w:t>
            </w:r>
          </w:p>
          <w:p w14:paraId="388063EB"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(20-95)</w:t>
            </w:r>
          </w:p>
        </w:tc>
        <w:tc>
          <w:tcPr>
            <w:tcW w:w="0" w:type="auto"/>
          </w:tcPr>
          <w:p w14:paraId="30861001" w14:textId="4B2B68CC"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{"citationItems":[{"id":"ITEM-1","itemData":{"DOI":"10.1016/j.watres.2013.10.032","ISSN":"18792448","PMID":"24188580","abstract":"Atrazine was banned in Germany in 1991 due to findings of atrazine concentrations in ground- and drinking waters exceeding threshold values. Monitoring of atrazine concentrations in the groundwater since then provides information about the resilience of the groundwater quality to changing agricultural practices. In this study, we present results of a monitoring campaign of atrazine concentrations in the Zwischenscholle aquifer. This phreatic aquifer is exposed to intensive agricultural land use and susceptible to contaminants due to a shallow water table. In total 60 observation wells (OWs) have been monitored since 1991, of which 15 are sampled monthly today. Descriptive statistics of monitoring data were derived using the \"regression on order statistics\" (ROS) data censoring approach, estimating values for nondetects. The monitoring data shows that even 20 years after the ban of atrazine, the groundwater concentrations of sampled OWs remain on a level close to the threshold value of 0.1μgl-1 without any considerable decrease. The spatial distribution of atrazine concentrations is highly heterogeneous with OWs exhibiting permanently concentrations above the regulatory threshold on the one hand and OWs were concentrations are mostly below the limit of quantification (LOQ) on the other hand. A deethylatrazine-to-atrazine ratio (DAR) was used to distinguish between diffuse - and point-source contamination, with a global mean value of 0.84 indicating mainly diffuse contamination. Principle Component Analysis (PCA) of the monitoring dataset demonstrated relationships between the metabolite desisopropylatrazine, which was found to be exclusively associated with the parent compound simazine but not with atrazine, and between deethylatrazine, atrazine, nitrate, and the specific electrical conductivity. These parameters indicate agricultural impacts on groundwater quality.The findings presented in this study point at the difficulty to estimate mean concentrations of contamination for entire aquifers and to evaluate groundwater quality based on average parameters. However, analytical data of monthly sampled single observation wells provide adequate information to characterize local contamination and evolutionary trends of pollutant concentration. © 2013 Elsevier Ltd.","author":[{"dropping-particle":"","family":"Vonberg","given":"David","non-dropping-particle":"","parse-names":false,"suffix":""},{"dropping-particle":"","family":"Vanderborght","given":"Jan","non-dropping-particle":"","parse-names":false,"suffix":""},{"dropping-particle":"","family":"Cremer","given":"Nils","non-dropping-particle":"","parse-names":false,"suffix":""},{"dropping-particle":"","family":"Pütz","given":"Thomas","non-dropping-particle":"","parse-names":false,"suffix":""},{"dropping-particle":"","family":"Herbst","given":"Michael","non-dropping-particle":"","parse-names":false,"suffix":""},{"dropping-particle":"","family":"Vereecken","given":"Harry","non-dropping-particle":"","parse-names":false,"suffix":""}],"container-title":"Water Research","id":"ITEM-1","issued":{"date-parts":[["2014"]]},"title":"20 years of long-term atrazine monitoring in a shallow aquifer in western Germany","type":"article-journal","volume":"50"},"uris":["http://www.mendeley.com/documents/?uuid=df239a76-b497-40e1-9f99-bf48617ff18b"]}],"mendeley":{"formattedCitation":"&lt;sup&gt;117&lt;/sup&gt;","plainTextFormattedCitation":"117","previouslyFormattedCitation":"&lt;sup&gt;117&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117</w:t>
            </w:r>
            <w:r w:rsidRPr="00E547AD">
              <w:rPr>
                <w:color w:val="0070C0"/>
                <w:sz w:val="22"/>
              </w:rPr>
              <w:fldChar w:fldCharType="end"/>
            </w:r>
          </w:p>
        </w:tc>
      </w:tr>
      <w:tr w:rsidR="005E13E8" w:rsidRPr="00E547AD" w14:paraId="7CD3E25F"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5E05E1E6" w14:textId="77777777" w:rsidR="005E13E8" w:rsidRPr="00E547AD" w:rsidRDefault="005E13E8" w:rsidP="002D64E5">
            <w:pPr>
              <w:rPr>
                <w:rFonts w:eastAsia="等线"/>
                <w:color w:val="000000"/>
                <w:sz w:val="22"/>
              </w:rPr>
            </w:pPr>
            <w:r w:rsidRPr="00E547AD">
              <w:rPr>
                <w:sz w:val="22"/>
              </w:rPr>
              <w:t>Europe</w:t>
            </w:r>
          </w:p>
        </w:tc>
        <w:tc>
          <w:tcPr>
            <w:tcW w:w="0" w:type="auto"/>
          </w:tcPr>
          <w:p w14:paraId="22B829BF"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Russia</w:t>
            </w:r>
          </w:p>
        </w:tc>
        <w:tc>
          <w:tcPr>
            <w:tcW w:w="0" w:type="auto"/>
          </w:tcPr>
          <w:p w14:paraId="0E263B2A"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1994</w:t>
            </w:r>
          </w:p>
        </w:tc>
        <w:tc>
          <w:tcPr>
            <w:tcW w:w="0" w:type="auto"/>
          </w:tcPr>
          <w:p w14:paraId="6BB86544"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Russia</w:t>
            </w:r>
          </w:p>
        </w:tc>
        <w:tc>
          <w:tcPr>
            <w:tcW w:w="0" w:type="auto"/>
          </w:tcPr>
          <w:p w14:paraId="1C11C59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41</w:t>
            </w:r>
          </w:p>
          <w:p w14:paraId="70D5C3E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(23-110)</w:t>
            </w:r>
          </w:p>
        </w:tc>
        <w:tc>
          <w:tcPr>
            <w:tcW w:w="0" w:type="auto"/>
          </w:tcPr>
          <w:p w14:paraId="53C9B93B" w14:textId="6E2CBFE6"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{"citationItems":[{"id":"ITEM-1","itemData":{"DOI":"10.1039/an9962100929","ISSN":"00032654","abstract":"A new method for the simultaneous determination of 60 pesticides by solid-phase microextraction and gas chromatography-mass spectrometry is presented. The analyte mixture contains representatives from each of the organonitrogen, organochlorine and organophosphorus classes. Both polyacrylate- and polydimethylsiloxane-coated fibres are used to extract the analytes directly from the samples over the concentration range 0.1-100 μg l-1. The performances of the two types of coating were compared. The limits of detection with both coatings were determined to be at the ng l-1 to sub-ng l-1 levels, depending on the selectivity of the coating for an analyte. The method was applied to the analysis of samples obtained from the Russian and Canadian Arctic. A contaminated groundwater sample and a contaminated soil sample, both containing metolachlor, were analysed by the proposed method and the results were found to be comparable to those obtained by a liquid-liquid extraction method. Orange juice was spiked with the 60 pesticides and their recoveries were determined.","author":[{"dropping-particle":"","family":"Boyd-Boland","given":"Anna A.","non-dropping-particle":"","parse-names":false,"suffix":""},{"dropping-particle":"","family":"Magdic","given":"Sonia","non-dropping-particle":"","parse-names":false,"suffix":""},{"dropping-particle":"","family":"Pawliszyn","given":"Janusz B.","non-dropping-particle":"","parse-names":false,"suffix":""}],"container-title":"Analyst","id":"ITEM-1","issue":"7","issued":{"date-parts":[["1996"]]},"page":"929-938","title":"Simultaneous determination of 60 pesticides in water using solid-phase microextraction and gas chromatography-mass spectrometry","type":"article-journal","volume":"121"},"uris":["http://www.mendeley.com/documents/?uuid=dd1adf77-9fa9-4e17-8453-042bc8d06412"]}],"mendeley":{"formattedCitation":"&lt;sup&gt;118&lt;/sup&gt;","plainTextFormattedCitation":"118","previouslyFormattedCitation":"&lt;sup&gt;118&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118</w:t>
            </w:r>
            <w:r w:rsidRPr="00E547AD">
              <w:rPr>
                <w:color w:val="0070C0"/>
                <w:sz w:val="22"/>
              </w:rPr>
              <w:fldChar w:fldCharType="end"/>
            </w:r>
          </w:p>
        </w:tc>
      </w:tr>
      <w:tr w:rsidR="002D64E5" w:rsidRPr="00E547AD" w14:paraId="453A796B"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7A063D3" w14:textId="77777777" w:rsidR="005E13E8" w:rsidRPr="00E547AD" w:rsidRDefault="005E13E8" w:rsidP="002D64E5">
            <w:pPr>
              <w:rPr>
                <w:rFonts w:eastAsia="等线"/>
                <w:color w:val="000000"/>
                <w:sz w:val="22"/>
              </w:rPr>
            </w:pPr>
            <w:r w:rsidRPr="00E547AD">
              <w:rPr>
                <w:sz w:val="22"/>
              </w:rPr>
              <w:t>Europe</w:t>
            </w:r>
          </w:p>
        </w:tc>
        <w:tc>
          <w:tcPr>
            <w:tcW w:w="0" w:type="auto"/>
          </w:tcPr>
          <w:p w14:paraId="0F2285AC"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Poland</w:t>
            </w:r>
          </w:p>
        </w:tc>
        <w:tc>
          <w:tcPr>
            <w:tcW w:w="0" w:type="auto"/>
          </w:tcPr>
          <w:p w14:paraId="3A6EE02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2003</w:t>
            </w:r>
          </w:p>
        </w:tc>
        <w:tc>
          <w:tcPr>
            <w:tcW w:w="0" w:type="auto"/>
          </w:tcPr>
          <w:p w14:paraId="4A9A8C71"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Poland</w:t>
            </w:r>
          </w:p>
        </w:tc>
        <w:tc>
          <w:tcPr>
            <w:tcW w:w="0" w:type="auto"/>
          </w:tcPr>
          <w:p w14:paraId="260A9515"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420</w:t>
            </w:r>
          </w:p>
          <w:p w14:paraId="7F060BC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(332-508)</w:t>
            </w:r>
          </w:p>
        </w:tc>
        <w:tc>
          <w:tcPr>
            <w:tcW w:w="0" w:type="auto"/>
          </w:tcPr>
          <w:p w14:paraId="25FF10F6" w14:textId="3E43B961"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{"citationItems":[{"id":"ITEM-1","itemData":{"ISSN":"12321966","PMID":"17655187","abstract":"Samples of drinking water collected in Warka-Grójec region of central Poland were tested for the presence of pesticides. Data obtained from analysis of water samples will be used for future epidemiological and environmental studies in the region. Samples were collected during spring and autumn of 2002-2003 from dug wells, deep wells and water mains in 81 randomly-selected rural households scattered throughout this region of extensive agriculture. The concentration of pesticides from four main chemical groups was determined by gas chromatography: organochlorines (lindane, DDT, methoxychlor), triazines (atrazine, simazine), organophosphates (acephate, diazinon, fenitrothion) and pyrethroids (alpha-cypermethrin, deltamethrin). Two-year monitoring of drinking water samples indicated the presence of DDT and methoxychlor contamination. Pyrethroids were generally not detected, with the exception of alpha-cypermethrin found in only a few samples. Triazines were also found in water samples collected in the course of the study with higher incidence during spring period. Organophosphates were by far the most common contaminants of drinking water in this region. Almost all samples were contaminated by significant amounts of fenitrothion. The present study reveals an urgent need for systematic monitoring of drinking water quality in regions of intensive agriculture, since they are highly vulnerable to pesticide contamination. Consumption of pesticide-contaminated water may have a negative impact on the population living in this area, which also requires scientific assessment.","author":[{"dropping-particle":"","family":"Badach","given":"Hanna","non-dropping-particle":"","parse-names":false,"suffix":""},{"dropping-particle":"","family":"Nazimek","given":"Teresa","non-dropping-particle":"","parse-names":false,"suffix":""},{"dropping-particle":"","family":"Kamińska","given":"Iwona A.","non-dropping-particle":"","parse-names":false,"suffix":""}],"container-title":"Annals of Agricultural and Environmental Medicine","id":"ITEM-1","issue":"1","issued":{"date-parts":[["2007"]]},"page":"109-114","title":"Pesticide content in drinking water samples collected from orchard areas in Central Poland","type":"article-journal","volume":"14"},"uris":["http://www.mendeley.com/documents/?uuid=8994ee64-137b-4445-a45d-d58e916c92bc"]}],"mendeley":{"formattedCitation":"&lt;sup&gt;119&lt;/sup&gt;","plainTextFormattedCitation":"119","previouslyFormattedCitation":"&lt;sup&gt;119&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119</w:t>
            </w:r>
            <w:r w:rsidRPr="00E547AD">
              <w:rPr>
                <w:color w:val="0070C0"/>
                <w:sz w:val="22"/>
              </w:rPr>
              <w:fldChar w:fldCharType="end"/>
            </w:r>
          </w:p>
        </w:tc>
      </w:tr>
      <w:tr w:rsidR="005E13E8" w:rsidRPr="00E547AD" w14:paraId="0BFC9CDE"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6F50E5B8" w14:textId="77777777" w:rsidR="005E13E8" w:rsidRPr="00E547AD" w:rsidRDefault="005E13E8" w:rsidP="002D64E5">
            <w:pPr>
              <w:rPr>
                <w:rFonts w:eastAsia="等线"/>
                <w:color w:val="000000"/>
                <w:sz w:val="22"/>
              </w:rPr>
            </w:pPr>
            <w:r w:rsidRPr="00E547AD">
              <w:rPr>
                <w:sz w:val="22"/>
              </w:rPr>
              <w:t>Europe</w:t>
            </w:r>
          </w:p>
        </w:tc>
        <w:tc>
          <w:tcPr>
            <w:tcW w:w="0" w:type="auto"/>
          </w:tcPr>
          <w:p w14:paraId="0D89BA9C"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Czech</w:t>
            </w:r>
          </w:p>
        </w:tc>
        <w:tc>
          <w:tcPr>
            <w:tcW w:w="0" w:type="auto"/>
          </w:tcPr>
          <w:p w14:paraId="77C8A266"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2011</w:t>
            </w:r>
          </w:p>
        </w:tc>
        <w:tc>
          <w:tcPr>
            <w:tcW w:w="0" w:type="auto"/>
          </w:tcPr>
          <w:p w14:paraId="670B17F1"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Czech</w:t>
            </w:r>
          </w:p>
        </w:tc>
        <w:tc>
          <w:tcPr>
            <w:tcW w:w="0" w:type="auto"/>
          </w:tcPr>
          <w:p w14:paraId="2FA2602E"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7.4</w:t>
            </w:r>
          </w:p>
          <w:p w14:paraId="0350803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(1.1-41)</w:t>
            </w:r>
          </w:p>
        </w:tc>
        <w:tc>
          <w:tcPr>
            <w:tcW w:w="0" w:type="auto"/>
          </w:tcPr>
          <w:p w14:paraId="42532D46" w14:textId="09BC1912"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{"citationItems":[{"id":"ITEM-1","itemData":{"DOI":"10.1039/c1em10112a","ISSN":"14640325","PMID":"21811729","abstract":"Polar organic compound integrative samplers (POCIS) in combination with instrumental techniques such as LC-MS-MS were previously used to monitor environmental pollutants but the performance of alternative immunochemical methods such as ELISA (enzyme-linked immunosorbent assay) has been explored less. In the present study, POCIS technology was applied to surface water sampling in the Czech Republic, and ELISA was used as a detection technique for the herbicide atrazine. In the first study, 28 samples from streams around small municipal waste water treatment plants (WWTPs) were collected using two different devices (POCISpest and POCISpharm) over the course of 21 days. Elevated atrazine concentrations (up to 25 ng per POCIS) were found in samples down-stream of WWTPs. This observation was also confirmed in another two year study (4 sampling periods) investigating 7 river sites around a major city of Brno as well as the inlet and outlet of the city's WWTP. High atrazine levels were systematically determined at the outlet from the WWTPs (120-605 ng per POCIS). A decreasing trend in the atrazine concentrations in rivers around the city of Brno has been observed, with the highest levels observed within the first sampling period in spring 2007 (100-600 ng per POCIS, with an extreme value of 2760 ng per POCIS). Results of the atrazine ELISA were closely correlated with LC-MS/MS, which confirmed good applicability of ELISA as a cost-effective screening tool. © 2011 The Royal Society of Chemistry.","author":[{"dropping-particle":"","family":"Černoch","given":"Ivo","non-dropping-particle":"","parse-names":false,"suffix":""},{"dropping-particle":"","family":"Fránek","given":"Milan","non-dropping-particle":"","parse-names":false,"suffix":""},{"dropping-particle":"","family":"Diblíková","given":"Iva","non-dropping-particle":"","parse-names":false,"suffix":""},{"dropping-particle":"","family":"Hilscherová","given":"Klára","non-dropping-particle":"","parse-names":false,"suffix":""},{"dropping-particle":"","family":"Randák","given":"Tomá","non-dropping-particle":"","parse-names":false,"suffix":""},{"dropping-particle":"","family":"Ocelka","given":"Tomá","non-dropping-particle":"","parse-names":false,"suffix":""},{"dropping-particle":"","family":"Bláha","given":"Ludk","non-dropping-particle":"","parse-names":false,"suffix":""}],"container-title":"Journal of Environmental Monitoring","id":"ITEM-1","issue":"9","issued":{"date-parts":[["2011"]]},"page":"2582-2587","title":"Determination of atrazine in surface waters by combination of POCIS passive sampling and ELISA detection","type":"article-journal","volume":"13"},"uris":["http://www.mendeley.com/documents/?uuid=38f356ed-f13e-487e-b551-26b6c1f03db0"]}],"mendeley":{"formattedCitation":"&lt;sup&gt;120&lt;/sup&gt;","plainTextFormattedCitation":"120","previouslyFormattedCitation":"&lt;sup&gt;120&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120</w:t>
            </w:r>
            <w:r w:rsidRPr="00E547AD">
              <w:rPr>
                <w:color w:val="0070C0"/>
                <w:sz w:val="22"/>
              </w:rPr>
              <w:fldChar w:fldCharType="end"/>
            </w:r>
          </w:p>
        </w:tc>
      </w:tr>
      <w:tr w:rsidR="002D64E5" w:rsidRPr="00E547AD" w14:paraId="642C463D" w14:textId="77777777" w:rsidTr="002D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1AB13C" w14:textId="77777777" w:rsidR="005E13E8" w:rsidRPr="00E547AD" w:rsidRDefault="005E13E8" w:rsidP="002D64E5">
            <w:pPr>
              <w:rPr>
                <w:rFonts w:eastAsia="等线"/>
                <w:color w:val="000000"/>
                <w:sz w:val="22"/>
              </w:rPr>
            </w:pPr>
            <w:r w:rsidRPr="00E547AD">
              <w:rPr>
                <w:sz w:val="22"/>
              </w:rPr>
              <w:t>Europe</w:t>
            </w:r>
          </w:p>
        </w:tc>
        <w:tc>
          <w:tcPr>
            <w:tcW w:w="0" w:type="auto"/>
          </w:tcPr>
          <w:p w14:paraId="1C0E3AAB"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sz w:val="22"/>
              </w:rPr>
              <w:t>Austria</w:t>
            </w:r>
          </w:p>
        </w:tc>
        <w:tc>
          <w:tcPr>
            <w:tcW w:w="0" w:type="auto"/>
          </w:tcPr>
          <w:p w14:paraId="68ED6CF0"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1995</w:t>
            </w:r>
          </w:p>
        </w:tc>
        <w:tc>
          <w:tcPr>
            <w:tcW w:w="0" w:type="auto"/>
          </w:tcPr>
          <w:p w14:paraId="77792394" w14:textId="77777777" w:rsidR="005E13E8" w:rsidRPr="00E547AD" w:rsidRDefault="005E13E8" w:rsidP="002D64E5">
            <w:pP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Austria</w:t>
            </w:r>
          </w:p>
        </w:tc>
        <w:tc>
          <w:tcPr>
            <w:tcW w:w="0" w:type="auto"/>
          </w:tcPr>
          <w:p w14:paraId="7D56D049"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127</w:t>
            </w:r>
          </w:p>
          <w:p w14:paraId="0681738A" w14:textId="77777777"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rFonts w:eastAsia="等线"/>
                <w:color w:val="000000"/>
                <w:sz w:val="22"/>
              </w:rPr>
            </w:pPr>
            <w:r w:rsidRPr="00E547AD">
              <w:rPr>
                <w:rFonts w:eastAsia="等线"/>
                <w:color w:val="000000"/>
                <w:sz w:val="22"/>
              </w:rPr>
              <w:t>(41-242)</w:t>
            </w:r>
          </w:p>
        </w:tc>
        <w:tc>
          <w:tcPr>
            <w:tcW w:w="0" w:type="auto"/>
          </w:tcPr>
          <w:p w14:paraId="2F3A21B7" w14:textId="1FE20474" w:rsidR="005E13E8" w:rsidRPr="00E547AD" w:rsidRDefault="005E13E8" w:rsidP="002D64E5">
            <w:pPr>
              <w:jc w:val="center"/>
              <w:cnfStyle w:val="000000100000" w:firstRow="0" w:lastRow="0" w:firstColumn="0" w:lastColumn="0" w:oddVBand="0" w:evenVBand="0" w:oddHBand="1"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author":[{"dropping-particle":"","family":"Pestizide","given":"Reviews","non-dropping-particle":"","parse-names":false,"suffix":""},{"dropping-particle":"","family":"Fliebgewassern","given":"Osterreichs","non-dropping-particle":"","parse-names":false,"suffix":""}],"id":"ITEM-1","issue":"5","issued":{"date-parts":[["1997"]]},"page":"233-241","title":"Pesticides in Austrian Running Waters - a Country-wide Overview","type":"article-journal","volume":"25"},"uris":["http://www.mendeley.com/documents/?uuid=e5261bca-fd39-466d-997f-220c3b66bd9b"]}],"mendeley":{"formattedCitation":"&lt;sup&gt;121&lt;/sup&gt;","plainTextFormattedCitation":"121","previouslyFormattedCitation":"&lt;sup&gt;121&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121</w:t>
            </w:r>
            <w:r w:rsidRPr="00E547AD">
              <w:rPr>
                <w:color w:val="0070C0"/>
                <w:sz w:val="22"/>
              </w:rPr>
              <w:fldChar w:fldCharType="end"/>
            </w:r>
          </w:p>
        </w:tc>
      </w:tr>
      <w:tr w:rsidR="005E13E8" w:rsidRPr="00E547AD" w14:paraId="409DB700" w14:textId="77777777" w:rsidTr="002D64E5">
        <w:tc>
          <w:tcPr>
            <w:cnfStyle w:val="001000000000" w:firstRow="0" w:lastRow="0" w:firstColumn="1" w:lastColumn="0" w:oddVBand="0" w:evenVBand="0" w:oddHBand="0" w:evenHBand="0" w:firstRowFirstColumn="0" w:firstRowLastColumn="0" w:lastRowFirstColumn="0" w:lastRowLastColumn="0"/>
            <w:tcW w:w="0" w:type="auto"/>
          </w:tcPr>
          <w:p w14:paraId="118F8D6C" w14:textId="77777777" w:rsidR="005E13E8" w:rsidRPr="00E547AD" w:rsidRDefault="005E13E8" w:rsidP="002D64E5">
            <w:pPr>
              <w:rPr>
                <w:rFonts w:eastAsia="等线"/>
                <w:color w:val="000000"/>
                <w:sz w:val="22"/>
              </w:rPr>
            </w:pPr>
            <w:r w:rsidRPr="00E547AD">
              <w:rPr>
                <w:sz w:val="22"/>
              </w:rPr>
              <w:t>Europe</w:t>
            </w:r>
          </w:p>
        </w:tc>
        <w:tc>
          <w:tcPr>
            <w:tcW w:w="0" w:type="auto"/>
          </w:tcPr>
          <w:p w14:paraId="4B3113FE" w14:textId="77777777" w:rsidR="005E13E8" w:rsidRPr="00E547AD" w:rsidRDefault="005E13E8" w:rsidP="002D64E5">
            <w:pPr>
              <w:ind w:right="440"/>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sz w:val="22"/>
              </w:rPr>
              <w:t>Croatia</w:t>
            </w:r>
          </w:p>
        </w:tc>
        <w:tc>
          <w:tcPr>
            <w:tcW w:w="0" w:type="auto"/>
          </w:tcPr>
          <w:p w14:paraId="34D8D41C"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2015</w:t>
            </w:r>
          </w:p>
        </w:tc>
        <w:tc>
          <w:tcPr>
            <w:tcW w:w="0" w:type="auto"/>
          </w:tcPr>
          <w:p w14:paraId="7D4E1208" w14:textId="77777777" w:rsidR="005E13E8" w:rsidRPr="00E547AD" w:rsidRDefault="005E13E8" w:rsidP="002D64E5">
            <w:pP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Croatia</w:t>
            </w:r>
          </w:p>
        </w:tc>
        <w:tc>
          <w:tcPr>
            <w:tcW w:w="0" w:type="auto"/>
          </w:tcPr>
          <w:p w14:paraId="3716B145"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2.6</w:t>
            </w:r>
          </w:p>
          <w:p w14:paraId="7C9B8159" w14:textId="77777777"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rFonts w:eastAsia="等线"/>
                <w:color w:val="000000"/>
                <w:sz w:val="22"/>
              </w:rPr>
            </w:pPr>
            <w:r w:rsidRPr="00E547AD">
              <w:rPr>
                <w:rFonts w:eastAsia="等线"/>
                <w:color w:val="000000"/>
                <w:sz w:val="22"/>
              </w:rPr>
              <w:t>(0.7-7)</w:t>
            </w:r>
          </w:p>
        </w:tc>
        <w:tc>
          <w:tcPr>
            <w:tcW w:w="0" w:type="auto"/>
          </w:tcPr>
          <w:p w14:paraId="74BE3900" w14:textId="0A09617D" w:rsidR="005E13E8" w:rsidRPr="00E547AD" w:rsidRDefault="005E13E8" w:rsidP="002D64E5">
            <w:pPr>
              <w:jc w:val="center"/>
              <w:cnfStyle w:val="000000000000" w:firstRow="0" w:lastRow="0" w:firstColumn="0" w:lastColumn="0" w:oddVBand="0" w:evenVBand="0" w:oddHBand="0" w:evenHBand="0" w:firstRowFirstColumn="0" w:firstRowLastColumn="0" w:lastRowFirstColumn="0" w:lastRowLastColumn="0"/>
              <w:rPr>
                <w:color w:val="0070C0"/>
                <w:sz w:val="22"/>
              </w:rPr>
            </w:pPr>
            <w:r w:rsidRPr="00E547AD">
              <w:rPr>
                <w:color w:val="0070C0"/>
                <w:sz w:val="22"/>
              </w:rPr>
              <w:fldChar w:fldCharType="begin" w:fldLock="1"/>
            </w:r>
            <w:r w:rsidR="00694227">
              <w:rPr>
                <w:color w:val="0070C0"/>
                <w:sz w:val="22"/>
              </w:rPr>
              <w:instrText>ADDIN CSL_CITATION {"citationItems":[{"id":"ITEM-1","itemData":{"DOI":"10.5513/JCEA01/23.1.3361","ISSN":"13329049","abstract":"To better understand the impact of conventional agricultural practices on soil and water resources, two main 2- objectives were established in this study: to measure nitrate (NO3-) and sulphate (SO4 ) concentrations in lysimeters and drainpipes leachates in response to different nitrogen fertilization levels and soil amendments and to identify organic contaminants that could have originated from the long-term use of agrochemicals in historically intensive agricultural area in Croatia. During the two-year study period leachate samples were collected from lysimeters and drainpipes. Research results indicate NO-3 content in both lysimeters and drainpipes increased with rising doses of N fertilizer. The 2-highest concentration of SO4 was recorded in the treatment with added phosphogypsum, while in all other treatments the concentrations were low. Over 40% of the 287 target substances were detected at least once during the two-year study period but only two substances (IPC/propham and carbosulfan) were found to have concentrations above 0.5 µg/L. Additionally, three priority substances were continuously present in the leachate samples: atrazine, simazine and isoproturon.","author":[{"dropping-particle":"","family":"Hrelja","given":"Iva","non-dropping-particle":"","parse-names":false,"suffix":""},{"dropping-particle":"","family":"Stipaničev","given":"Draženka","non-dropping-particle":"","parse-names":false,"suffix":""},{"dropping-particle":"","family":"Repec","given":"Siniša","non-dropping-particle":"","parse-names":false,"suffix":""},{"dropping-particle":"","family":"Perčin","given":"Aleksandra","non-dropping-particle":"","parse-names":false,"suffix":""},{"dropping-particle":"","family":"Mesić","given":"Milan","non-dropping-particle":"","parse-names":false,"suffix":""},{"dropping-particle":"","family":"Šestak","given":"Ivana","non-dropping-particle":"","parse-names":false,"suffix":""},{"dropping-particle":"","family":"Zgorelec","given":"Željka","non-dropping-particle":"","parse-names":false,"suffix":""}],"container-title":"Journal of Central European Agriculture","id":"ITEM-1","issue":"1","issued":{"date-parts":[["2022"]]},"page":"138-153","title":"Comprehensive analysis of nitrates, sulphates and agrochemicals in leachates from an intensive agriculture area-A case study in Croatia","type":"article-journal","volume":"23"},"uris":["http://www.mendeley.com/documents/?uuid=73bb608a-c9a3-4ddb-add6-6ae3dcd328bb"]}],"mendeley":{"formattedCitation":"&lt;sup&gt;122&lt;/sup&gt;","plainTextFormattedCitation":"122","previouslyFormattedCitation":"&lt;sup&gt;122&lt;/sup&gt;"},"properties":{"noteIndex":0},"schema":"https://github.com/citation-style-language/schema/raw/master/csl-citation.json"}</w:instrText>
            </w:r>
            <w:r w:rsidRPr="00E547AD">
              <w:rPr>
                <w:color w:val="0070C0"/>
                <w:sz w:val="22"/>
              </w:rPr>
              <w:fldChar w:fldCharType="separate"/>
            </w:r>
            <w:r w:rsidR="00140B7E" w:rsidRPr="00140B7E">
              <w:rPr>
                <w:noProof/>
                <w:color w:val="0070C0"/>
                <w:sz w:val="22"/>
                <w:vertAlign w:val="superscript"/>
              </w:rPr>
              <w:t>122</w:t>
            </w:r>
            <w:r w:rsidRPr="00E547AD">
              <w:rPr>
                <w:color w:val="0070C0"/>
                <w:sz w:val="22"/>
              </w:rPr>
              <w:fldChar w:fldCharType="end"/>
            </w:r>
          </w:p>
        </w:tc>
      </w:tr>
    </w:tbl>
    <w:p w14:paraId="7D825A88" w14:textId="77777777" w:rsidR="005E13E8" w:rsidRPr="00E547AD" w:rsidRDefault="005E13E8" w:rsidP="005E13E8">
      <w:pPr>
        <w:rPr>
          <w:rFonts w:ascii="Times New Roman" w:hAnsi="Times New Roman" w:cs="Times New Roman"/>
        </w:rPr>
      </w:pPr>
      <w:r w:rsidRPr="00E547AD">
        <w:rPr>
          <w:rFonts w:ascii="Times New Roman" w:hAnsi="Times New Roman" w:cs="Times New Roman"/>
          <w:vertAlign w:val="superscript"/>
        </w:rPr>
        <w:t>a</w:t>
      </w:r>
      <w:r w:rsidRPr="00E547AD">
        <w:rPr>
          <w:rFonts w:ascii="Times New Roman" w:hAnsi="Times New Roman" w:cs="Times New Roman"/>
        </w:rPr>
        <w:t xml:space="preserve"> Concentration mean (minimum – maximum), ng/L; </w:t>
      </w:r>
      <w:proofErr w:type="spellStart"/>
      <w:r w:rsidRPr="00E547AD">
        <w:rPr>
          <w:rFonts w:ascii="Times New Roman" w:hAnsi="Times New Roman" w:cs="Times New Roman"/>
        </w:rPr>
        <w:t>na</w:t>
      </w:r>
      <w:proofErr w:type="spellEnd"/>
      <w:r w:rsidRPr="00E547AD">
        <w:rPr>
          <w:rFonts w:ascii="Times New Roman" w:hAnsi="Times New Roman" w:cs="Times New Roman"/>
        </w:rPr>
        <w:t xml:space="preserve">: not reported; </w:t>
      </w:r>
      <w:proofErr w:type="spellStart"/>
      <w:r w:rsidRPr="00E547AD">
        <w:rPr>
          <w:rFonts w:ascii="Times New Roman" w:hAnsi="Times New Roman" w:cs="Times New Roman"/>
        </w:rPr>
        <w:t>nd</w:t>
      </w:r>
      <w:proofErr w:type="spellEnd"/>
      <w:r w:rsidRPr="00E547AD">
        <w:rPr>
          <w:rFonts w:ascii="Times New Roman" w:hAnsi="Times New Roman" w:cs="Times New Roman"/>
        </w:rPr>
        <w:t>: not detected</w:t>
      </w:r>
    </w:p>
    <w:p w14:paraId="0CD803F4" w14:textId="77777777" w:rsidR="005E13E8" w:rsidRPr="00E547AD" w:rsidRDefault="005E13E8" w:rsidP="005E13E8">
      <w:pPr>
        <w:rPr>
          <w:rFonts w:ascii="Times New Roman" w:hAnsi="Times New Roman" w:cs="Times New Roman"/>
        </w:rPr>
      </w:pPr>
    </w:p>
    <w:p w14:paraId="28EBBA76" w14:textId="77777777" w:rsidR="00F64D93" w:rsidRPr="00E547AD" w:rsidRDefault="00F64D93" w:rsidP="00F64D93">
      <w:pPr>
        <w:spacing w:line="480" w:lineRule="auto"/>
        <w:rPr>
          <w:rFonts w:ascii="Times New Roman" w:hAnsi="Times New Roman" w:cs="Times New Roman"/>
          <w:b/>
          <w:sz w:val="24"/>
        </w:rPr>
      </w:pPr>
      <w:r w:rsidRPr="00E547AD">
        <w:rPr>
          <w:rFonts w:ascii="Times New Roman" w:hAnsi="Times New Roman" w:cs="Times New Roman"/>
          <w:b/>
          <w:sz w:val="24"/>
        </w:rPr>
        <w:t>References</w:t>
      </w:r>
    </w:p>
    <w:p w14:paraId="7644E526" w14:textId="7C4B0119" w:rsidR="00694227" w:rsidRPr="00694227" w:rsidRDefault="00F64D93" w:rsidP="00694227">
      <w:pPr>
        <w:autoSpaceDE w:val="0"/>
        <w:autoSpaceDN w:val="0"/>
        <w:adjustRightInd w:val="0"/>
        <w:ind w:left="210" w:hangingChars="100" w:hanging="210"/>
        <w:jc w:val="left"/>
        <w:rPr>
          <w:rFonts w:ascii="Times New Roman" w:hAnsi="Times New Roman" w:cs="Times New Roman"/>
          <w:noProof/>
          <w:kern w:val="0"/>
          <w:sz w:val="20"/>
          <w:szCs w:val="24"/>
        </w:rPr>
      </w:pPr>
      <w:r w:rsidRPr="00E547AD">
        <w:rPr>
          <w:rFonts w:ascii="Times New Roman" w:hAnsi="Times New Roman" w:cs="Times New Roman"/>
        </w:rPr>
        <w:fldChar w:fldCharType="begin" w:fldLock="1"/>
      </w:r>
      <w:r w:rsidRPr="00E547AD">
        <w:rPr>
          <w:rFonts w:ascii="Times New Roman" w:hAnsi="Times New Roman" w:cs="Times New Roman"/>
        </w:rPr>
        <w:instrText xml:space="preserve">ADDIN Mendeley Bibliography CSL_BIBLIOGRAPHY </w:instrText>
      </w:r>
      <w:r w:rsidRPr="00E547AD">
        <w:rPr>
          <w:rFonts w:ascii="Times New Roman" w:hAnsi="Times New Roman" w:cs="Times New Roman"/>
        </w:rPr>
        <w:fldChar w:fldCharType="separate"/>
      </w:r>
      <w:r w:rsidR="00694227" w:rsidRPr="00694227">
        <w:rPr>
          <w:rFonts w:ascii="Times New Roman" w:hAnsi="Times New Roman" w:cs="Times New Roman"/>
          <w:noProof/>
          <w:kern w:val="0"/>
          <w:sz w:val="20"/>
          <w:szCs w:val="24"/>
        </w:rPr>
        <w:t xml:space="preserve">(1) Hu, Q.; Guo, H.; Wang, Y.; Zhang, Y.; Li, Z.; Fu, Z.; Lu, W. Estimation of Agricultural Non-Point Source Pollution Loads Based on Improved Export Coefficient Model. </w:t>
      </w:r>
      <w:r w:rsidR="00694227" w:rsidRPr="00694227">
        <w:rPr>
          <w:rFonts w:ascii="Times New Roman" w:hAnsi="Times New Roman" w:cs="Times New Roman"/>
          <w:i/>
          <w:iCs/>
          <w:noProof/>
          <w:kern w:val="0"/>
          <w:sz w:val="20"/>
          <w:szCs w:val="24"/>
        </w:rPr>
        <w:t>Beijing Daxue Xuebao (Ziran Kexue Ban)/Acta Sci. Nat. Univ. Pekin.</w:t>
      </w:r>
      <w:r w:rsidR="00694227" w:rsidRPr="00694227">
        <w:rPr>
          <w:rFonts w:ascii="Times New Roman" w:hAnsi="Times New Roman" w:cs="Times New Roman"/>
          <w:noProof/>
          <w:kern w:val="0"/>
          <w:sz w:val="20"/>
          <w:szCs w:val="24"/>
        </w:rPr>
        <w:t xml:space="preserve"> </w:t>
      </w:r>
      <w:r w:rsidR="00694227" w:rsidRPr="00694227">
        <w:rPr>
          <w:rFonts w:ascii="Times New Roman" w:hAnsi="Times New Roman" w:cs="Times New Roman"/>
          <w:b/>
          <w:bCs/>
          <w:noProof/>
          <w:kern w:val="0"/>
          <w:sz w:val="20"/>
          <w:szCs w:val="24"/>
        </w:rPr>
        <w:t>2021</w:t>
      </w:r>
      <w:r w:rsidR="00694227" w:rsidRPr="00694227">
        <w:rPr>
          <w:rFonts w:ascii="Times New Roman" w:hAnsi="Times New Roman" w:cs="Times New Roman"/>
          <w:noProof/>
          <w:kern w:val="0"/>
          <w:sz w:val="20"/>
          <w:szCs w:val="24"/>
        </w:rPr>
        <w:t xml:space="preserve">, </w:t>
      </w:r>
      <w:r w:rsidR="00694227" w:rsidRPr="00694227">
        <w:rPr>
          <w:rFonts w:ascii="Times New Roman" w:hAnsi="Times New Roman" w:cs="Times New Roman"/>
          <w:i/>
          <w:iCs/>
          <w:noProof/>
          <w:kern w:val="0"/>
          <w:sz w:val="20"/>
          <w:szCs w:val="24"/>
        </w:rPr>
        <w:t>57</w:t>
      </w:r>
      <w:r w:rsidR="00694227" w:rsidRPr="00694227">
        <w:rPr>
          <w:rFonts w:ascii="Times New Roman" w:hAnsi="Times New Roman" w:cs="Times New Roman"/>
          <w:noProof/>
          <w:kern w:val="0"/>
          <w:sz w:val="20"/>
          <w:szCs w:val="24"/>
        </w:rPr>
        <w:t xml:space="preserve"> (4), 739–748. https://doi.org/10.13209/j.0479-8023.2021.049.</w:t>
      </w:r>
    </w:p>
    <w:p w14:paraId="4C17D8F7" w14:textId="647616A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 Cai, M.; Li, H.; Zhuang, Y.; Wang, Q. Application of Modified Export Coefficient Method in Polluting Load Estimation of Non-Point Source Pollution. </w:t>
      </w:r>
      <w:r w:rsidRPr="00694227">
        <w:rPr>
          <w:rFonts w:ascii="Times New Roman" w:hAnsi="Times New Roman" w:cs="Times New Roman"/>
          <w:i/>
          <w:iCs/>
          <w:noProof/>
          <w:kern w:val="0"/>
          <w:sz w:val="20"/>
          <w:szCs w:val="24"/>
        </w:rPr>
        <w:t>J. Hydraul. Eng.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7</w:t>
      </w:r>
      <w:r w:rsidRPr="00694227">
        <w:rPr>
          <w:rFonts w:ascii="Times New Roman" w:hAnsi="Times New Roman" w:cs="Times New Roman"/>
          <w:noProof/>
          <w:kern w:val="0"/>
          <w:sz w:val="20"/>
          <w:szCs w:val="24"/>
        </w:rPr>
        <w:t>, 40–45.</w:t>
      </w:r>
    </w:p>
    <w:p w14:paraId="49EB66CD" w14:textId="215057E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 Quansah, J. E.; Engel, B. A.; Chaubey, I. Tillage Practicses Usage in Early Warning Prediction of Atrazine Pollution. </w:t>
      </w:r>
      <w:r w:rsidRPr="00694227">
        <w:rPr>
          <w:rFonts w:ascii="Times New Roman" w:hAnsi="Times New Roman" w:cs="Times New Roman"/>
          <w:i/>
          <w:iCs/>
          <w:noProof/>
          <w:kern w:val="0"/>
          <w:sz w:val="20"/>
          <w:szCs w:val="24"/>
        </w:rPr>
        <w:t>Am. Soc. Agric. Biol. Eng.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51</w:t>
      </w:r>
      <w:r w:rsidRPr="00694227">
        <w:rPr>
          <w:rFonts w:ascii="Times New Roman" w:hAnsi="Times New Roman" w:cs="Times New Roman"/>
          <w:noProof/>
          <w:kern w:val="0"/>
          <w:sz w:val="20"/>
          <w:szCs w:val="24"/>
        </w:rPr>
        <w:t xml:space="preserve"> (4), 1311–1321.</w:t>
      </w:r>
    </w:p>
    <w:p w14:paraId="66D3B5F7" w14:textId="2248A16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 Hu, J.; Ma, J.; Nie, C.; Xue, L.; Zhang, Y.; Ni, F.; Deng, Y.; Liu, J.; Zhou, D.; Li, L.; Wang, Z. Attribution Analysis of Runoff Change in Min-Tuo River Basin Based on SWAT Model Simulations, China. </w:t>
      </w:r>
      <w:r w:rsidRPr="00694227">
        <w:rPr>
          <w:rFonts w:ascii="Times New Roman" w:hAnsi="Times New Roman" w:cs="Times New Roman"/>
          <w:i/>
          <w:iCs/>
          <w:noProof/>
          <w:kern w:val="0"/>
          <w:sz w:val="20"/>
          <w:szCs w:val="24"/>
        </w:rPr>
        <w:t>Sci. Rep.</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w:t>
      </w:r>
      <w:r w:rsidRPr="00694227">
        <w:rPr>
          <w:rFonts w:ascii="Times New Roman" w:hAnsi="Times New Roman" w:cs="Times New Roman"/>
          <w:noProof/>
          <w:kern w:val="0"/>
          <w:sz w:val="20"/>
          <w:szCs w:val="24"/>
        </w:rPr>
        <w:t xml:space="preserve"> (1), 1–16. https://doi.org/10.1038/s41598-020-59659-z.</w:t>
      </w:r>
    </w:p>
    <w:p w14:paraId="62F8A95B" w14:textId="5A8D71D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 Blanchard, P. E.; Lerch, R. N. Watershed Vulnerability to Losses of Agricultural Chemicals: Interactions of Chemistry, Hydrology, and Land-Use. </w:t>
      </w:r>
      <w:r w:rsidRPr="00694227">
        <w:rPr>
          <w:rFonts w:ascii="Times New Roman" w:hAnsi="Times New Roman" w:cs="Times New Roman"/>
          <w:i/>
          <w:iCs/>
          <w:noProof/>
          <w:kern w:val="0"/>
          <w:sz w:val="20"/>
          <w:szCs w:val="24"/>
        </w:rPr>
        <w:t>Environ. Sci.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34</w:t>
      </w:r>
      <w:r w:rsidRPr="00694227">
        <w:rPr>
          <w:rFonts w:ascii="Times New Roman" w:hAnsi="Times New Roman" w:cs="Times New Roman"/>
          <w:noProof/>
          <w:kern w:val="0"/>
          <w:sz w:val="20"/>
          <w:szCs w:val="24"/>
        </w:rPr>
        <w:t xml:space="preserve"> (16), 3315–3322. https://doi.org/10.1021/es991115+.</w:t>
      </w:r>
    </w:p>
    <w:p w14:paraId="78860616" w14:textId="4F07C7A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(6)</w:t>
      </w:r>
      <w:r w:rsidR="00545D20">
        <w:rPr>
          <w:rFonts w:ascii="Times New Roman" w:hAnsi="Times New Roman" w:cs="Times New Roman"/>
          <w:noProof/>
          <w:kern w:val="0"/>
          <w:sz w:val="20"/>
          <w:szCs w:val="24"/>
        </w:rPr>
        <w:t xml:space="preserve"> </w:t>
      </w:r>
      <w:r w:rsidRPr="00694227">
        <w:rPr>
          <w:rFonts w:ascii="Times New Roman" w:hAnsi="Times New Roman" w:cs="Times New Roman"/>
          <w:noProof/>
          <w:kern w:val="0"/>
          <w:sz w:val="20"/>
          <w:szCs w:val="24"/>
        </w:rPr>
        <w:t xml:space="preserve">Peng, Y.; Fang, W.; Krauss, M.; Brack, W.; Wang, Z.; Li, F.; Zhang, X. Screening Hundreds of Emerging Organic Pollutants (EOPs) in Surface Water from the Yangtze River Delta (YRD): Occurrence, Distribution, Ecological Risk.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241</w:t>
      </w:r>
      <w:r w:rsidRPr="00694227">
        <w:rPr>
          <w:rFonts w:ascii="Times New Roman" w:hAnsi="Times New Roman" w:cs="Times New Roman"/>
          <w:noProof/>
          <w:kern w:val="0"/>
          <w:sz w:val="20"/>
          <w:szCs w:val="24"/>
        </w:rPr>
        <w:t>, 484–493. https://doi.org/10.1016/j.envpol.2018.05.061.</w:t>
      </w:r>
    </w:p>
    <w:p w14:paraId="48A467C3" w14:textId="7883339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 Sun, X.; Liu, F.; Shan, R.; Fan, Y. Spatiotemporal Distributions of Cu, Zn, Metribuzin, Atrazine, </w:t>
      </w:r>
      <w:r w:rsidRPr="00694227">
        <w:rPr>
          <w:rFonts w:ascii="Times New Roman" w:hAnsi="Times New Roman" w:cs="Times New Roman"/>
          <w:noProof/>
          <w:kern w:val="0"/>
          <w:sz w:val="20"/>
          <w:szCs w:val="24"/>
        </w:rPr>
        <w:lastRenderedPageBreak/>
        <w:t xml:space="preserve">and Their Transformation Products in the Surface Water of a Small Plain Stream in Eastern China. </w:t>
      </w:r>
      <w:r w:rsidRPr="00694227">
        <w:rPr>
          <w:rFonts w:ascii="Times New Roman" w:hAnsi="Times New Roman" w:cs="Times New Roman"/>
          <w:i/>
          <w:iCs/>
          <w:noProof/>
          <w:kern w:val="0"/>
          <w:sz w:val="20"/>
          <w:szCs w:val="24"/>
        </w:rPr>
        <w:t>Environ. Monit. Assess.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191</w:t>
      </w:r>
      <w:r w:rsidRPr="00694227">
        <w:rPr>
          <w:rFonts w:ascii="Times New Roman" w:hAnsi="Times New Roman" w:cs="Times New Roman"/>
          <w:noProof/>
          <w:kern w:val="0"/>
          <w:sz w:val="20"/>
          <w:szCs w:val="24"/>
        </w:rPr>
        <w:t xml:space="preserve"> (7). https://doi.org/10.1007/s10661-019-7556-3.</w:t>
      </w:r>
    </w:p>
    <w:p w14:paraId="662D81B9" w14:textId="5C5F5DE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(8) Han, F.; Chen, J.; Jiang, Z.; Ji, W.; Xu, L.; Chen, L.; Li, X.; Zhou, C. Investigation of VOCs and SVOCs in Surface Water Source in Jiangsu</w:t>
      </w:r>
      <w:r w:rsidRPr="00694227">
        <w:rPr>
          <w:rFonts w:ascii="Times New Roman" w:hAnsi="Times New Roman" w:cs="Times New Roman"/>
          <w:noProof/>
          <w:kern w:val="0"/>
          <w:sz w:val="20"/>
          <w:szCs w:val="24"/>
        </w:rPr>
        <w:t>，</w:t>
      </w:r>
      <w:r w:rsidRPr="00694227">
        <w:rPr>
          <w:rFonts w:ascii="Times New Roman" w:hAnsi="Times New Roman" w:cs="Times New Roman"/>
          <w:noProof/>
          <w:kern w:val="0"/>
          <w:sz w:val="20"/>
          <w:szCs w:val="24"/>
        </w:rPr>
        <w:t>Zhejiang</w:t>
      </w:r>
      <w:r w:rsidRPr="00694227">
        <w:rPr>
          <w:rFonts w:ascii="Times New Roman" w:hAnsi="Times New Roman" w:cs="Times New Roman"/>
          <w:noProof/>
          <w:kern w:val="0"/>
          <w:sz w:val="20"/>
          <w:szCs w:val="24"/>
        </w:rPr>
        <w:t>，</w:t>
      </w:r>
      <w:r w:rsidRPr="00694227">
        <w:rPr>
          <w:rFonts w:ascii="Times New Roman" w:hAnsi="Times New Roman" w:cs="Times New Roman"/>
          <w:noProof/>
          <w:kern w:val="0"/>
          <w:sz w:val="20"/>
          <w:szCs w:val="24"/>
        </w:rPr>
        <w:t>Shandong Province</w:t>
      </w:r>
      <w:r w:rsidRPr="00694227">
        <w:rPr>
          <w:rFonts w:ascii="Times New Roman" w:hAnsi="Times New Roman" w:cs="Times New Roman"/>
          <w:noProof/>
          <w:kern w:val="0"/>
          <w:sz w:val="20"/>
          <w:szCs w:val="24"/>
        </w:rPr>
        <w:t>，</w:t>
      </w:r>
      <w:r w:rsidRPr="00694227">
        <w:rPr>
          <w:rFonts w:ascii="Times New Roman" w:hAnsi="Times New Roman" w:cs="Times New Roman"/>
          <w:noProof/>
          <w:kern w:val="0"/>
          <w:sz w:val="20"/>
          <w:szCs w:val="24"/>
        </w:rPr>
        <w:t xml:space="preserve">China. </w:t>
      </w:r>
      <w:r w:rsidRPr="00694227">
        <w:rPr>
          <w:rFonts w:ascii="Times New Roman" w:hAnsi="Times New Roman" w:cs="Times New Roman"/>
          <w:i/>
          <w:iCs/>
          <w:noProof/>
          <w:kern w:val="0"/>
          <w:sz w:val="20"/>
          <w:szCs w:val="24"/>
        </w:rPr>
        <w:t>J. Environ. Health</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28</w:t>
      </w:r>
      <w:r w:rsidRPr="00694227">
        <w:rPr>
          <w:rFonts w:ascii="Times New Roman" w:hAnsi="Times New Roman" w:cs="Times New Roman"/>
          <w:noProof/>
          <w:kern w:val="0"/>
          <w:sz w:val="20"/>
          <w:szCs w:val="24"/>
        </w:rPr>
        <w:t xml:space="preserve"> (10), 890–894. https://doi.org/10.16241/j.cnki.1001-5914.2011.10.021.</w:t>
      </w:r>
    </w:p>
    <w:p w14:paraId="7AD686E5" w14:textId="51A35C4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 Heeb, F.; Singer, H.; Pernet-Coudrier, B.; Qi, W.; Liu, H.; Longrée, P.; Müller, B.; Berg, M. Organic Micropollutants in Rivers Downstream of the Megacity Beijing: Sources and Mass Fluxes in a Large-Scale Wastewater Irrigation System. </w:t>
      </w:r>
      <w:r w:rsidRPr="00694227">
        <w:rPr>
          <w:rFonts w:ascii="Times New Roman" w:hAnsi="Times New Roman" w:cs="Times New Roman"/>
          <w:i/>
          <w:iCs/>
          <w:noProof/>
          <w:kern w:val="0"/>
          <w:sz w:val="20"/>
          <w:szCs w:val="24"/>
        </w:rPr>
        <w:t>Environ. Sci.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46</w:t>
      </w:r>
      <w:r w:rsidRPr="00694227">
        <w:rPr>
          <w:rFonts w:ascii="Times New Roman" w:hAnsi="Times New Roman" w:cs="Times New Roman"/>
          <w:noProof/>
          <w:kern w:val="0"/>
          <w:sz w:val="20"/>
          <w:szCs w:val="24"/>
        </w:rPr>
        <w:t xml:space="preserve"> (16), 8680–8688. https://doi.org/10.1021/es301912q.</w:t>
      </w:r>
    </w:p>
    <w:p w14:paraId="13020697" w14:textId="03183AC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 Sun, S.; Chen, Y.; Lin, Y.; An, D. Occurrence, Spatial Distribution, and Seasonal Variation of Emerging Trace Organic Pollutants in Source Water for Shanghai, China.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639</w:t>
      </w:r>
      <w:r w:rsidRPr="00694227">
        <w:rPr>
          <w:rFonts w:ascii="Times New Roman" w:hAnsi="Times New Roman" w:cs="Times New Roman"/>
          <w:noProof/>
          <w:kern w:val="0"/>
          <w:sz w:val="20"/>
          <w:szCs w:val="24"/>
        </w:rPr>
        <w:t>, 1–7. https://doi.org/10.1016/j.scitotenv.2018.05.089.</w:t>
      </w:r>
    </w:p>
    <w:p w14:paraId="4FC38B06" w14:textId="5393D17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 Brauns, B.; Jakobsen, R.; Song, X.; Bjerg, P. L. Pesticide Use in the Wheat-Maize Double Cropping Systems of the North China Plain: Assessment, Field Study, and Implications.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616</w:t>
      </w:r>
      <w:r w:rsidRPr="00694227">
        <w:rPr>
          <w:rFonts w:ascii="Times New Roman" w:hAnsi="Times New Roman" w:cs="Times New Roman"/>
          <w:noProof/>
          <w:kern w:val="0"/>
          <w:sz w:val="20"/>
          <w:szCs w:val="24"/>
        </w:rPr>
        <w:t>–</w:t>
      </w:r>
      <w:r w:rsidRPr="00694227">
        <w:rPr>
          <w:rFonts w:ascii="Times New Roman" w:hAnsi="Times New Roman" w:cs="Times New Roman"/>
          <w:i/>
          <w:iCs/>
          <w:noProof/>
          <w:kern w:val="0"/>
          <w:sz w:val="20"/>
          <w:szCs w:val="24"/>
        </w:rPr>
        <w:t>617</w:t>
      </w:r>
      <w:r w:rsidRPr="00694227">
        <w:rPr>
          <w:rFonts w:ascii="Times New Roman" w:hAnsi="Times New Roman" w:cs="Times New Roman"/>
          <w:noProof/>
          <w:kern w:val="0"/>
          <w:sz w:val="20"/>
          <w:szCs w:val="24"/>
        </w:rPr>
        <w:t>, 1307–1316. https://doi.org/10.1016/j.scitotenv.2017.10.187.</w:t>
      </w:r>
    </w:p>
    <w:p w14:paraId="1BB9398D" w14:textId="68D78EA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(12) Li, H.; Feng, Y.; Li, X.; Zeng, D. Analytical Confirmation of Various Herbicides in Drinking Water Resources in Sugarcane Production Regions of Guangxi, China. </w:t>
      </w:r>
      <w:r w:rsidRPr="00694227">
        <w:rPr>
          <w:rFonts w:ascii="Times New Roman" w:hAnsi="Times New Roman" w:cs="Times New Roman"/>
          <w:i/>
          <w:iCs/>
          <w:noProof/>
          <w:kern w:val="0"/>
          <w:sz w:val="20"/>
          <w:szCs w:val="24"/>
        </w:rPr>
        <w:t>Bull. Environ. Contam. Toxicol.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100</w:t>
      </w:r>
      <w:r w:rsidRPr="00694227">
        <w:rPr>
          <w:rFonts w:ascii="Times New Roman" w:hAnsi="Times New Roman" w:cs="Times New Roman"/>
          <w:noProof/>
          <w:kern w:val="0"/>
          <w:sz w:val="20"/>
          <w:szCs w:val="24"/>
        </w:rPr>
        <w:t xml:space="preserve"> (6), 815–820. https://doi.org/10.1007/s00128-018-2324-6.</w:t>
      </w:r>
    </w:p>
    <w:p w14:paraId="2BE19DEE" w14:textId="3088BE5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(13) Ta, N.; Feng, J.; Sun, C.; Zhou, F. Determination of Atrazine in Water of Taihu Meiliang Bay by Capillary Gas Chromatography. </w:t>
      </w:r>
      <w:r w:rsidRPr="00694227">
        <w:rPr>
          <w:rFonts w:ascii="Times New Roman" w:hAnsi="Times New Roman" w:cs="Times New Roman"/>
          <w:i/>
          <w:iCs/>
          <w:noProof/>
          <w:kern w:val="0"/>
          <w:sz w:val="20"/>
          <w:szCs w:val="24"/>
        </w:rPr>
        <w:t>J. Chem. Inf. Model.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27</w:t>
      </w:r>
      <w:r w:rsidRPr="00694227">
        <w:rPr>
          <w:rFonts w:ascii="Times New Roman" w:hAnsi="Times New Roman" w:cs="Times New Roman"/>
          <w:noProof/>
          <w:kern w:val="0"/>
          <w:sz w:val="20"/>
          <w:szCs w:val="24"/>
        </w:rPr>
        <w:t xml:space="preserve"> (8), 634–636.</w:t>
      </w:r>
    </w:p>
    <w:p w14:paraId="097486C9" w14:textId="08FBCEE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(14) Guo, Z.; Ouyang, W.; Tulcan, R. X. S.; Lin, C.; He, M.; Wang, B.; Xin, M. Spatiotemporal Partition Dynamics of Typical Herbicides at a Turbid River Estuary.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182</w:t>
      </w:r>
      <w:r w:rsidRPr="00694227">
        <w:rPr>
          <w:rFonts w:ascii="Times New Roman" w:hAnsi="Times New Roman" w:cs="Times New Roman"/>
          <w:noProof/>
          <w:kern w:val="0"/>
          <w:sz w:val="20"/>
          <w:szCs w:val="24"/>
        </w:rPr>
        <w:t xml:space="preserve"> (April), 113946. https://doi.org/10.1016/j.marpolbul.2022.113946.</w:t>
      </w:r>
    </w:p>
    <w:p w14:paraId="56637FE5" w14:textId="3F3C401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(15) Ren, J.; Jiang, K.; Zhou, H. The Concentration and Source of Atrazine Residue in Water of Guanting Reservoir. </w:t>
      </w:r>
      <w:r w:rsidRPr="00694227">
        <w:rPr>
          <w:rFonts w:ascii="Times New Roman" w:hAnsi="Times New Roman" w:cs="Times New Roman"/>
          <w:i/>
          <w:iCs/>
          <w:noProof/>
          <w:kern w:val="0"/>
          <w:sz w:val="20"/>
          <w:szCs w:val="24"/>
        </w:rPr>
        <w:t>Environ.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23</w:t>
      </w:r>
      <w:r w:rsidRPr="00694227">
        <w:rPr>
          <w:rFonts w:ascii="Times New Roman" w:hAnsi="Times New Roman" w:cs="Times New Roman"/>
          <w:noProof/>
          <w:kern w:val="0"/>
          <w:sz w:val="20"/>
          <w:szCs w:val="24"/>
        </w:rPr>
        <w:t xml:space="preserve"> (1), 126–128.</w:t>
      </w:r>
    </w:p>
    <w:p w14:paraId="422E5AD8" w14:textId="05738E9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(16) Xie, H.; Wang, X.; Chen, J.; Li, X.; Jia, G.; Zou, Y.; Zhang, Y.; Cui, Y. Occurrence, Distribution and Ecological Risks of Antibiotics and Pesticides in Coastal Waters around Liaodong Peninsula, China.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656</w:t>
      </w:r>
      <w:r w:rsidRPr="00694227">
        <w:rPr>
          <w:rFonts w:ascii="Times New Roman" w:hAnsi="Times New Roman" w:cs="Times New Roman"/>
          <w:noProof/>
          <w:kern w:val="0"/>
          <w:sz w:val="20"/>
          <w:szCs w:val="24"/>
        </w:rPr>
        <w:t>, 946–951. https://doi.org/10.1016/j.scitotenv.2018.11.449.</w:t>
      </w:r>
    </w:p>
    <w:p w14:paraId="075FE478" w14:textId="3D3227B3"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(17) Xue, Y.; Zhang, Z. M.; Zhang, R. R.; Li, Y. Q.; Sun, A. L.; Shi, X. Z.; Chen, J.; Song, S. Aquaculture-Derived Distribution, Partitioning, Migration, and Transformation of Atrazine and Its Metabolites in Seawater, Sediment, and Organisms from a Typical Semi-Closed Mariculture Bay.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271</w:t>
      </w:r>
      <w:r w:rsidRPr="00694227">
        <w:rPr>
          <w:rFonts w:ascii="Times New Roman" w:hAnsi="Times New Roman" w:cs="Times New Roman"/>
          <w:noProof/>
          <w:kern w:val="0"/>
          <w:sz w:val="20"/>
          <w:szCs w:val="24"/>
        </w:rPr>
        <w:t>. https://doi.org/10.1016/j.envpol.2020.116362.</w:t>
      </w:r>
    </w:p>
    <w:p w14:paraId="04CC7476" w14:textId="4829C6A2"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(18) Yang, D.; He, Y.; Wang, H. Environmental Characteristics of the Atrazine in the Waters in East Liaohe River Basin. </w:t>
      </w:r>
      <w:r w:rsidRPr="00694227">
        <w:rPr>
          <w:rFonts w:ascii="Times New Roman" w:hAnsi="Times New Roman" w:cs="Times New Roman"/>
          <w:i/>
          <w:iCs/>
          <w:noProof/>
          <w:kern w:val="0"/>
          <w:sz w:val="20"/>
          <w:szCs w:val="24"/>
        </w:rPr>
        <w:t>Environ.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26</w:t>
      </w:r>
      <w:r w:rsidRPr="00694227">
        <w:rPr>
          <w:rFonts w:ascii="Times New Roman" w:hAnsi="Times New Roman" w:cs="Times New Roman"/>
          <w:noProof/>
          <w:kern w:val="0"/>
          <w:sz w:val="20"/>
          <w:szCs w:val="24"/>
        </w:rPr>
        <w:t xml:space="preserve"> (3), 203–208.</w:t>
      </w:r>
    </w:p>
    <w:p w14:paraId="329C946E" w14:textId="05B60F12"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(19) Qi, W.; Müller, B.; Pernet-Coudrier, B.; Singer, H.; Liu, H.; Qu, J.; Berg, M. Organic Micropollutants in the Yangtze River: Seasonal Occurrence and Annual Loads.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472</w:t>
      </w:r>
      <w:r w:rsidRPr="00694227">
        <w:rPr>
          <w:rFonts w:ascii="Times New Roman" w:hAnsi="Times New Roman" w:cs="Times New Roman"/>
          <w:noProof/>
          <w:kern w:val="0"/>
          <w:sz w:val="20"/>
          <w:szCs w:val="24"/>
        </w:rPr>
        <w:t>, 789–799. https://doi.org/10.1016/j.scitotenv.2013.11.019.</w:t>
      </w:r>
    </w:p>
    <w:p w14:paraId="3BF71754" w14:textId="346CCD54"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(20) Xu, C.; Chen, L.; You, L.; Xu, Z.; Ren, L. F.; Yew-Hoong Gin, K.; He, Y.; Kai, W. Occurrence, Impact Variables and Potential Risk of PPCPs and Pesticides in a Drinking Water Reservoir and Related Drinking Water Treatment Plants in the Yangtze Estuary. </w:t>
      </w:r>
      <w:r w:rsidRPr="00694227">
        <w:rPr>
          <w:rFonts w:ascii="Times New Roman" w:hAnsi="Times New Roman" w:cs="Times New Roman"/>
          <w:i/>
          <w:iCs/>
          <w:noProof/>
          <w:kern w:val="0"/>
          <w:sz w:val="20"/>
          <w:szCs w:val="24"/>
        </w:rPr>
        <w:t>Environ. Sci. Process. Impacts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20</w:t>
      </w:r>
      <w:r w:rsidRPr="00694227">
        <w:rPr>
          <w:rFonts w:ascii="Times New Roman" w:hAnsi="Times New Roman" w:cs="Times New Roman"/>
          <w:noProof/>
          <w:kern w:val="0"/>
          <w:sz w:val="20"/>
          <w:szCs w:val="24"/>
        </w:rPr>
        <w:t xml:space="preserve"> (7), 1030–1045. https://doi.org/10.1039/c8em00029h.</w:t>
      </w:r>
    </w:p>
    <w:p w14:paraId="1146C36A" w14:textId="4D0DD44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(21) Ouyang, W.; Zhang, Y.; Gu, X.; Tysklind, M.; Lin, C.; Wang, B.; Xin, M. Occurrence, Transportation, and Distribution Difference of Typical Herbicides from Estuary to Bay. </w:t>
      </w:r>
      <w:r w:rsidRPr="00694227">
        <w:rPr>
          <w:rFonts w:ascii="Times New Roman" w:hAnsi="Times New Roman" w:cs="Times New Roman"/>
          <w:i/>
          <w:iCs/>
          <w:noProof/>
          <w:kern w:val="0"/>
          <w:sz w:val="20"/>
          <w:szCs w:val="24"/>
        </w:rPr>
        <w:t>Environ. Int.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130</w:t>
      </w:r>
      <w:r w:rsidRPr="00694227">
        <w:rPr>
          <w:rFonts w:ascii="Times New Roman" w:hAnsi="Times New Roman" w:cs="Times New Roman"/>
          <w:noProof/>
          <w:kern w:val="0"/>
          <w:sz w:val="20"/>
          <w:szCs w:val="24"/>
        </w:rPr>
        <w:t xml:space="preserve"> (June), 104858. https://doi.org/10.1016/j.envint.2019.05.052.</w:t>
      </w:r>
    </w:p>
    <w:p w14:paraId="62C38170" w14:textId="26965E13"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lastRenderedPageBreak/>
        <w:t xml:space="preserve">(22) Ren, C.; Tian, X.; Zhang, H.; Liu, Y.; Sun, Y.; Xu, Y.; Gong, X.; Wang, M. Determination of Triazine Herbicides in Seawater Using Solid Phase Extraction-UPLC-/MS/MS. </w:t>
      </w:r>
      <w:r w:rsidRPr="00694227">
        <w:rPr>
          <w:rFonts w:ascii="Times New Roman" w:hAnsi="Times New Roman" w:cs="Times New Roman"/>
          <w:i/>
          <w:iCs/>
          <w:noProof/>
          <w:kern w:val="0"/>
          <w:sz w:val="20"/>
          <w:szCs w:val="24"/>
        </w:rPr>
        <w:t>J. Chinese Mass Spectrom. 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34</w:t>
      </w:r>
      <w:r w:rsidRPr="00694227">
        <w:rPr>
          <w:rFonts w:ascii="Times New Roman" w:hAnsi="Times New Roman" w:cs="Times New Roman"/>
          <w:noProof/>
          <w:kern w:val="0"/>
          <w:sz w:val="20"/>
          <w:szCs w:val="24"/>
        </w:rPr>
        <w:t xml:space="preserve"> (6), 353–361.</w:t>
      </w:r>
    </w:p>
    <w:p w14:paraId="01498DEB" w14:textId="71A3B90B"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(23) Xu, Y.; Huihui Liu; Ren, C.; Sun, Y.; Li, F.; Ren, B.; Deng, X.; Zhang, H.; Wang, M. Distributions of the Triazine Herbicides in the Surface Seawater of Laizhou Bay. </w:t>
      </w:r>
      <w:r w:rsidRPr="00694227">
        <w:rPr>
          <w:rFonts w:ascii="Times New Roman" w:hAnsi="Times New Roman" w:cs="Times New Roman"/>
          <w:i/>
          <w:iCs/>
          <w:noProof/>
          <w:kern w:val="0"/>
          <w:sz w:val="20"/>
          <w:szCs w:val="24"/>
        </w:rPr>
        <w:t>Prog. Fish.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35</w:t>
      </w:r>
      <w:r w:rsidRPr="00694227">
        <w:rPr>
          <w:rFonts w:ascii="Times New Roman" w:hAnsi="Times New Roman" w:cs="Times New Roman"/>
          <w:noProof/>
          <w:kern w:val="0"/>
          <w:sz w:val="20"/>
          <w:szCs w:val="24"/>
        </w:rPr>
        <w:t xml:space="preserve"> (3), 34–39.</w:t>
      </w:r>
    </w:p>
    <w:p w14:paraId="7DD616E1" w14:textId="30FED96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(24) Du, J.; Hu, C.; Xie, H.; Tian, J.; Li, A.; Xie, Q.; Jinghao Wu; Song, L. Concentration Levels and Potential Ecological Risks of Current Use Pesticides in the Surface Seawater of Typical Liaoning Sea Areas. </w:t>
      </w:r>
      <w:r w:rsidRPr="00694227">
        <w:rPr>
          <w:rFonts w:ascii="Times New Roman" w:hAnsi="Times New Roman" w:cs="Times New Roman"/>
          <w:i/>
          <w:iCs/>
          <w:noProof/>
          <w:kern w:val="0"/>
          <w:sz w:val="20"/>
          <w:szCs w:val="24"/>
        </w:rPr>
        <w:t>Environ.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42</w:t>
      </w:r>
      <w:r w:rsidRPr="00694227">
        <w:rPr>
          <w:rFonts w:ascii="Times New Roman" w:hAnsi="Times New Roman" w:cs="Times New Roman"/>
          <w:noProof/>
          <w:kern w:val="0"/>
          <w:sz w:val="20"/>
          <w:szCs w:val="24"/>
        </w:rPr>
        <w:t xml:space="preserve"> (4), 1772–1780. https://doi.org/10.13227/j.hjkx.202008125.</w:t>
      </w:r>
    </w:p>
    <w:p w14:paraId="1938C3E2" w14:textId="3BE7086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(25) Chen, X.; Qian, Z.; Zhu, H.; Kong, J.; Feng, J.; Xian, Q. Contamination Status of Four Herbicides in Jiuli River from the West Bank of Wangyu River. </w:t>
      </w:r>
      <w:r w:rsidRPr="00694227">
        <w:rPr>
          <w:rFonts w:ascii="Times New Roman" w:hAnsi="Times New Roman" w:cs="Times New Roman"/>
          <w:i/>
          <w:iCs/>
          <w:noProof/>
          <w:kern w:val="0"/>
          <w:sz w:val="20"/>
          <w:szCs w:val="24"/>
        </w:rPr>
        <w:t>Environ. Monit. Forewarning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11</w:t>
      </w:r>
      <w:r w:rsidRPr="00694227">
        <w:rPr>
          <w:rFonts w:ascii="Times New Roman" w:hAnsi="Times New Roman" w:cs="Times New Roman"/>
          <w:noProof/>
          <w:kern w:val="0"/>
          <w:sz w:val="20"/>
          <w:szCs w:val="24"/>
        </w:rPr>
        <w:t xml:space="preserve"> (6), 36–46.</w:t>
      </w:r>
    </w:p>
    <w:p w14:paraId="31BF63C8" w14:textId="2939416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(26) Xu, X.; Li, C.; Sun, J.; Wang, H.; Wang, D.; Song, H.; Wang, Z. Residue Characteristics and Ecological Risk Assessment of Twenty-Nine Pesticides in Surface Water of Major River-Basin in China. </w:t>
      </w:r>
      <w:r w:rsidRPr="00694227">
        <w:rPr>
          <w:rFonts w:ascii="Times New Roman" w:hAnsi="Times New Roman" w:cs="Times New Roman"/>
          <w:i/>
          <w:iCs/>
          <w:noProof/>
          <w:kern w:val="0"/>
          <w:sz w:val="20"/>
          <w:szCs w:val="24"/>
        </w:rPr>
        <w:t>Asian J. Ecotoxicol.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11</w:t>
      </w:r>
      <w:r w:rsidRPr="00694227">
        <w:rPr>
          <w:rFonts w:ascii="Times New Roman" w:hAnsi="Times New Roman" w:cs="Times New Roman"/>
          <w:noProof/>
          <w:kern w:val="0"/>
          <w:sz w:val="20"/>
          <w:szCs w:val="24"/>
        </w:rPr>
        <w:t xml:space="preserve"> (2), 347–354. https://doi.org/10.7524/AJE.1673.</w:t>
      </w:r>
    </w:p>
    <w:p w14:paraId="1663CFB8" w14:textId="148F40A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(27) Ryu, J.; Yoon, Y.; Oh, J. Occurrence of Endocrine Disrupting Compounds and Pharmaceuticals in 11 WWTPs in Seoul, Korea. </w:t>
      </w:r>
      <w:r w:rsidRPr="00694227">
        <w:rPr>
          <w:rFonts w:ascii="Times New Roman" w:hAnsi="Times New Roman" w:cs="Times New Roman"/>
          <w:i/>
          <w:iCs/>
          <w:noProof/>
          <w:kern w:val="0"/>
          <w:sz w:val="20"/>
          <w:szCs w:val="24"/>
        </w:rPr>
        <w:t>KSCE J. Civ. Eng.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15</w:t>
      </w:r>
      <w:r w:rsidRPr="00694227">
        <w:rPr>
          <w:rFonts w:ascii="Times New Roman" w:hAnsi="Times New Roman" w:cs="Times New Roman"/>
          <w:noProof/>
          <w:kern w:val="0"/>
          <w:sz w:val="20"/>
          <w:szCs w:val="24"/>
        </w:rPr>
        <w:t xml:space="preserve"> (1), 57–64. https://doi.org/10.1007/s12205-011-0913-6.</w:t>
      </w:r>
    </w:p>
    <w:p w14:paraId="0E247414" w14:textId="56AEE7A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(28) Ali, A. M.; Rønning, H. T.; Al Arif, W. M.; Kallenborn, R.; Kallenborn, R. Occurrence of Pharmaceuticals and Personal Care Products in Effluent-Dominated Saudi Arabian Coastal Waters of the Red Sea.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175</w:t>
      </w:r>
      <w:r w:rsidRPr="00694227">
        <w:rPr>
          <w:rFonts w:ascii="Times New Roman" w:hAnsi="Times New Roman" w:cs="Times New Roman"/>
          <w:noProof/>
          <w:kern w:val="0"/>
          <w:sz w:val="20"/>
          <w:szCs w:val="24"/>
        </w:rPr>
        <w:t>, 505–513. https://doi.org/10.1016/j.chemosphere.2017.02.095.</w:t>
      </w:r>
    </w:p>
    <w:p w14:paraId="2785D984" w14:textId="0EFAE8D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(29) Antić, N.; Radišić, M.; Radović, T.; Vasiljević, T.; Grujić, S.; Petković, A.; Dimkić, M.; Laušević, M. Pesticide Residues in the Danube River Basin in Serbia - a Survey during 2009-2011. </w:t>
      </w:r>
      <w:r w:rsidRPr="00694227">
        <w:rPr>
          <w:rFonts w:ascii="Times New Roman" w:hAnsi="Times New Roman" w:cs="Times New Roman"/>
          <w:i/>
          <w:iCs/>
          <w:noProof/>
          <w:kern w:val="0"/>
          <w:sz w:val="20"/>
          <w:szCs w:val="24"/>
        </w:rPr>
        <w:t>Clean - Soil, Air, Water</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43</w:t>
      </w:r>
      <w:r w:rsidRPr="00694227">
        <w:rPr>
          <w:rFonts w:ascii="Times New Roman" w:hAnsi="Times New Roman" w:cs="Times New Roman"/>
          <w:noProof/>
          <w:kern w:val="0"/>
          <w:sz w:val="20"/>
          <w:szCs w:val="24"/>
        </w:rPr>
        <w:t xml:space="preserve"> (2), 197–204. https://doi.org/10.1002/clen.201200360.</w:t>
      </w:r>
    </w:p>
    <w:p w14:paraId="54F663E9" w14:textId="4AC31F6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(30) Rodrigues, E. T.; Alpendurada, M. F.; Ramos, F.; Pardal, M. Â. Environmental and Human Health Risk Indicators for Agricultural Pesticides in Estuaries. </w:t>
      </w:r>
      <w:r w:rsidRPr="00694227">
        <w:rPr>
          <w:rFonts w:ascii="Times New Roman" w:hAnsi="Times New Roman" w:cs="Times New Roman"/>
          <w:i/>
          <w:iCs/>
          <w:noProof/>
          <w:kern w:val="0"/>
          <w:sz w:val="20"/>
          <w:szCs w:val="24"/>
        </w:rPr>
        <w:t>Ecotoxicol. Environ. Saf.</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150</w:t>
      </w:r>
      <w:r w:rsidRPr="00694227">
        <w:rPr>
          <w:rFonts w:ascii="Times New Roman" w:hAnsi="Times New Roman" w:cs="Times New Roman"/>
          <w:noProof/>
          <w:kern w:val="0"/>
          <w:sz w:val="20"/>
          <w:szCs w:val="24"/>
        </w:rPr>
        <w:t xml:space="preserve"> (December 2017), 224–231. https://doi.org/10.1016/j.ecoenv.2017.12.047.</w:t>
      </w:r>
    </w:p>
    <w:p w14:paraId="0B63BC03" w14:textId="3A996F9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(31) Sangchan, W.; Bannwarth, M.; Ingwersen, J.; Hugenschmidt, C.; Schwadorf, K.; Thavornyutikarn, P.; Pansombat, K.; Streck, T. Monitoring and Risk Assessment of Pesticides in a Tropical River of an Agricultural Watershed in Northern Thailand. </w:t>
      </w:r>
      <w:r w:rsidRPr="00694227">
        <w:rPr>
          <w:rFonts w:ascii="Times New Roman" w:hAnsi="Times New Roman" w:cs="Times New Roman"/>
          <w:i/>
          <w:iCs/>
          <w:noProof/>
          <w:kern w:val="0"/>
          <w:sz w:val="20"/>
          <w:szCs w:val="24"/>
        </w:rPr>
        <w:t>Environ. Monit. Assess.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186</w:t>
      </w:r>
      <w:r w:rsidRPr="00694227">
        <w:rPr>
          <w:rFonts w:ascii="Times New Roman" w:hAnsi="Times New Roman" w:cs="Times New Roman"/>
          <w:noProof/>
          <w:kern w:val="0"/>
          <w:sz w:val="20"/>
          <w:szCs w:val="24"/>
        </w:rPr>
        <w:t xml:space="preserve"> (2), 1083–1099. https://doi.org/10.1007/s10661-013-3440-8.</w:t>
      </w:r>
    </w:p>
    <w:p w14:paraId="0C3074D1" w14:textId="2B5AC94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(32) Almasi, H.; Takdastan, A.; Jaafarzadeh, N.; Babaei, A. A.; Tahmasebi Birgani, Y.; Cheraghian, B.; Saki, A.; Jorfi, S. Spatial Distribution, Ecological and Health Risk Assessment and Source Identification of Atrazine in Shadegan International Wetland, Iran.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160</w:t>
      </w:r>
      <w:r w:rsidRPr="00694227">
        <w:rPr>
          <w:rFonts w:ascii="Times New Roman" w:hAnsi="Times New Roman" w:cs="Times New Roman"/>
          <w:noProof/>
          <w:kern w:val="0"/>
          <w:sz w:val="20"/>
          <w:szCs w:val="24"/>
        </w:rPr>
        <w:t xml:space="preserve"> (August), 111569. https://doi.org/10.1016/j.marpolbul.2020.111569.</w:t>
      </w:r>
    </w:p>
    <w:p w14:paraId="39FE3278" w14:textId="54E85EF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(33) Snow, D. D.; Chakraborty, P.; Uralbekov, B.; Satybaldiev, B.; Sallach, J. B.; Thornton Hampton, L. M.; Jeffries, M.; Kolok, A. S.; Bartelt-Hunt, S. B. Legacy and Current Pesticide Residues in Syr Darya, Kazakhstan: Contamination Status, Seasonal Variation and Preliminary Ecological Risk Assessment. </w:t>
      </w:r>
      <w:r w:rsidRPr="00694227">
        <w:rPr>
          <w:rFonts w:ascii="Times New Roman" w:hAnsi="Times New Roman" w:cs="Times New Roman"/>
          <w:i/>
          <w:iCs/>
          <w:noProof/>
          <w:kern w:val="0"/>
          <w:sz w:val="20"/>
          <w:szCs w:val="24"/>
        </w:rPr>
        <w:t>Water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184</w:t>
      </w:r>
      <w:r w:rsidRPr="00694227">
        <w:rPr>
          <w:rFonts w:ascii="Times New Roman" w:hAnsi="Times New Roman" w:cs="Times New Roman"/>
          <w:noProof/>
          <w:kern w:val="0"/>
          <w:sz w:val="20"/>
          <w:szCs w:val="24"/>
        </w:rPr>
        <w:t>. https://doi.org/10.1016/j.watres.2020.116141.</w:t>
      </w:r>
    </w:p>
    <w:p w14:paraId="67E2F670" w14:textId="71901014"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(34) Iwai, C. B.; Khaung, T.; Prasopsuk, J.; Ravindran, B. Environmental Risk Assessment of Floating Gardens in Inle Lake, Myanmar. </w:t>
      </w:r>
      <w:r w:rsidRPr="00694227">
        <w:rPr>
          <w:rFonts w:ascii="Times New Roman" w:hAnsi="Times New Roman" w:cs="Times New Roman"/>
          <w:i/>
          <w:iCs/>
          <w:noProof/>
          <w:kern w:val="0"/>
          <w:sz w:val="20"/>
          <w:szCs w:val="24"/>
        </w:rPr>
        <w:t>Urban Clim.</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44</w:t>
      </w:r>
      <w:r w:rsidRPr="00694227">
        <w:rPr>
          <w:rFonts w:ascii="Times New Roman" w:hAnsi="Times New Roman" w:cs="Times New Roman"/>
          <w:noProof/>
          <w:kern w:val="0"/>
          <w:sz w:val="20"/>
          <w:szCs w:val="24"/>
        </w:rPr>
        <w:t xml:space="preserve"> (June), 101194. https://doi.org/10.1016/j.uclim.2022.101194.</w:t>
      </w:r>
    </w:p>
    <w:p w14:paraId="09152685" w14:textId="3EC5D41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(35) Wan, Y.; Tran, T. M.; Nguyen, V. T.; Wang, A.; Wang, J.; Kannan, K. Neonicotinoids, Fipronil, </w:t>
      </w:r>
      <w:r w:rsidRPr="00694227">
        <w:rPr>
          <w:rFonts w:ascii="Times New Roman" w:hAnsi="Times New Roman" w:cs="Times New Roman"/>
          <w:noProof/>
          <w:kern w:val="0"/>
          <w:sz w:val="20"/>
          <w:szCs w:val="24"/>
        </w:rPr>
        <w:lastRenderedPageBreak/>
        <w:t xml:space="preserve">Chlorpyrifos, Carbendazim, Chlorotriazines, Chlorophenoxy Herbicides, Bentazon, and Selected Pesticide Transformation Products in Surface Water and Drinking Water from Northern Vietnam.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750</w:t>
      </w:r>
      <w:r w:rsidRPr="00694227">
        <w:rPr>
          <w:rFonts w:ascii="Times New Roman" w:hAnsi="Times New Roman" w:cs="Times New Roman"/>
          <w:noProof/>
          <w:kern w:val="0"/>
          <w:sz w:val="20"/>
          <w:szCs w:val="24"/>
        </w:rPr>
        <w:t>, 141507. https://doi.org/10.1016/j.scitotenv.2020.141507.</w:t>
      </w:r>
    </w:p>
    <w:p w14:paraId="0B736B26" w14:textId="49CE3E3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(36) Laude, S.; Mahfudz; Fathurrahman; Samuddin, S.; Rahim, A.; Darwis. Effect of Atrazine and Green Fertilizer (Tithonia Diversifolia) on Weed Growth and Corn Productivity. </w:t>
      </w:r>
      <w:r w:rsidRPr="00694227">
        <w:rPr>
          <w:rFonts w:ascii="Times New Roman" w:hAnsi="Times New Roman" w:cs="Times New Roman"/>
          <w:i/>
          <w:iCs/>
          <w:noProof/>
          <w:kern w:val="0"/>
          <w:sz w:val="20"/>
          <w:szCs w:val="24"/>
        </w:rPr>
        <w:t>IOP Conf. Ser. Earth Environ.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681</w:t>
      </w:r>
      <w:r w:rsidRPr="00694227">
        <w:rPr>
          <w:rFonts w:ascii="Times New Roman" w:hAnsi="Times New Roman" w:cs="Times New Roman"/>
          <w:noProof/>
          <w:kern w:val="0"/>
          <w:sz w:val="20"/>
          <w:szCs w:val="24"/>
        </w:rPr>
        <w:t xml:space="preserve"> (1). https://doi.org/10.1088/1755-1315/681/1/012044.</w:t>
      </w:r>
    </w:p>
    <w:p w14:paraId="65E2586F" w14:textId="0835439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(37) Davis, A. M.; Lewis, S. E.; Bainbridge, Z. T.; Glendenning, L.; Turner, R. D. R.; Brodie, J. E. Dynamics of Herbicide Transport and Partitioning under Event Flow Conditions in the Lower Burdekin Region, Australia.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65</w:t>
      </w:r>
      <w:r w:rsidRPr="00694227">
        <w:rPr>
          <w:rFonts w:ascii="Times New Roman" w:hAnsi="Times New Roman" w:cs="Times New Roman"/>
          <w:noProof/>
          <w:kern w:val="0"/>
          <w:sz w:val="20"/>
          <w:szCs w:val="24"/>
        </w:rPr>
        <w:t xml:space="preserve"> (4–9), 182–193. https://doi.org/10.1016/j.marpolbul.2011.08.025.</w:t>
      </w:r>
    </w:p>
    <w:p w14:paraId="37678D0A" w14:textId="7E6F6EA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(38) Smith, R.; Middlebrook, R.; Turner, R.; Huggins, R.; Vardy, S.; Warne, M. Large-Scale Pesticide Monitoring across Great Barrier Reef Catchments - Paddock to Reef Integrated Monitoring, Modelling and Reporting Program.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65</w:t>
      </w:r>
      <w:r w:rsidRPr="00694227">
        <w:rPr>
          <w:rFonts w:ascii="Times New Roman" w:hAnsi="Times New Roman" w:cs="Times New Roman"/>
          <w:noProof/>
          <w:kern w:val="0"/>
          <w:sz w:val="20"/>
          <w:szCs w:val="24"/>
        </w:rPr>
        <w:t xml:space="preserve"> (4–9), 117–127. https://doi.org/10.1016/j.marpolbul.2011.08.010.</w:t>
      </w:r>
    </w:p>
    <w:p w14:paraId="1A9A95FF" w14:textId="13F57C6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(39) Chaubey, J.; Singh, S. K.; Singh, S.; Arora, H. Assessment of the Impact of Pesticide Usage in Groundwater Aquifer of an Agriculturally Dominated Area in North West India. </w:t>
      </w:r>
      <w:r w:rsidRPr="00694227">
        <w:rPr>
          <w:rFonts w:ascii="Times New Roman" w:hAnsi="Times New Roman" w:cs="Times New Roman"/>
          <w:i/>
          <w:iCs/>
          <w:noProof/>
          <w:kern w:val="0"/>
          <w:sz w:val="20"/>
          <w:szCs w:val="24"/>
        </w:rPr>
        <w:t>Water Pract.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15</w:t>
      </w:r>
      <w:r w:rsidRPr="00694227">
        <w:rPr>
          <w:rFonts w:ascii="Times New Roman" w:hAnsi="Times New Roman" w:cs="Times New Roman"/>
          <w:noProof/>
          <w:kern w:val="0"/>
          <w:sz w:val="20"/>
          <w:szCs w:val="24"/>
        </w:rPr>
        <w:t xml:space="preserve"> (2), 327–342. https://doi.org/10.2166/wpt.2020.017.</w:t>
      </w:r>
    </w:p>
    <w:p w14:paraId="3779178D" w14:textId="4BB22CA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(40) Bexfield, L. M. Decadal-Scale Changes of Pesticides in Ground Water of the United States, 1993-2003.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37</w:t>
      </w:r>
      <w:r w:rsidRPr="00694227">
        <w:rPr>
          <w:rFonts w:ascii="Times New Roman" w:hAnsi="Times New Roman" w:cs="Times New Roman"/>
          <w:noProof/>
          <w:kern w:val="0"/>
          <w:sz w:val="20"/>
          <w:szCs w:val="24"/>
        </w:rPr>
        <w:t xml:space="preserve"> (S5), S-226-S-239. https://doi.org/10.2134/jeq2007.0054.</w:t>
      </w:r>
    </w:p>
    <w:p w14:paraId="3B8953BD" w14:textId="0D679CB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(41) Harman-Fetcho, J. A.; Hapeman, C. J.; McConnell, L. L.; Potter, T. L.; Rice, C. P.; Sadeghi, A. M.; Smith, R. D.; Bialek, K.; Sefton, K. A.; Schaffer, B. A.; Curry, R. Pesticide Occurrence in Selected South Florida Canals and Biscayne Bay during High Agricultural Activity. </w:t>
      </w:r>
      <w:r w:rsidRPr="00694227">
        <w:rPr>
          <w:rFonts w:ascii="Times New Roman" w:hAnsi="Times New Roman" w:cs="Times New Roman"/>
          <w:i/>
          <w:iCs/>
          <w:noProof/>
          <w:kern w:val="0"/>
          <w:sz w:val="20"/>
          <w:szCs w:val="24"/>
        </w:rPr>
        <w:t>J. Agric. Food Chem.</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53</w:t>
      </w:r>
      <w:r w:rsidRPr="00694227">
        <w:rPr>
          <w:rFonts w:ascii="Times New Roman" w:hAnsi="Times New Roman" w:cs="Times New Roman"/>
          <w:noProof/>
          <w:kern w:val="0"/>
          <w:sz w:val="20"/>
          <w:szCs w:val="24"/>
        </w:rPr>
        <w:t xml:space="preserve"> (15), 6040–6048. https://doi.org/10.1021/jf047803g.</w:t>
      </w:r>
    </w:p>
    <w:p w14:paraId="1E5E597F" w14:textId="5AF506F4"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(42) Glinski, D. A.; Purucker, S. T.; Van Meter, R. J.; Black, M. C.; Henderson, W. M. Analysis of Pesticides in Surface Water, Stemflow, and Throughfall in an Agricultural Area in South Georgia, USA.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209</w:t>
      </w:r>
      <w:r w:rsidRPr="00694227">
        <w:rPr>
          <w:rFonts w:ascii="Times New Roman" w:hAnsi="Times New Roman" w:cs="Times New Roman"/>
          <w:noProof/>
          <w:kern w:val="0"/>
          <w:sz w:val="20"/>
          <w:szCs w:val="24"/>
        </w:rPr>
        <w:t>, 496–507. https://doi.org/10.1016/j.chemosphere.2018.06.116.</w:t>
      </w:r>
    </w:p>
    <w:p w14:paraId="249C1CD4" w14:textId="0518A7F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(43) Battaglin, W. A.; Bradley, P. M.; Iwanowicz, L.; Journey, C. A.; Walsh, H. L.; Blazer, V. S. Pharmaceuticals, Hormones, Pesticides, and Other Bioactive Contaminants in Water, Sediment, and Tissue from Rocky Mountain National Park, 2012–2013.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643</w:t>
      </w:r>
      <w:r w:rsidRPr="00694227">
        <w:rPr>
          <w:rFonts w:ascii="Times New Roman" w:hAnsi="Times New Roman" w:cs="Times New Roman"/>
          <w:noProof/>
          <w:kern w:val="0"/>
          <w:sz w:val="20"/>
          <w:szCs w:val="24"/>
        </w:rPr>
        <w:t>, 651–673. https://doi.org/10.1016/j.scitotenv.2018.06.150.</w:t>
      </w:r>
    </w:p>
    <w:p w14:paraId="140AB3A1" w14:textId="1DF17D9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(44) Alvarez, D. A.; Cranor, W. L.; Perkins, S. D.; Clark, R. C.; Smith, S. B. Chemical and Toxicologic Assessment of Organic Contaminants in Surface Water Using Passive Samplers.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37</w:t>
      </w:r>
      <w:r w:rsidRPr="00694227">
        <w:rPr>
          <w:rFonts w:ascii="Times New Roman" w:hAnsi="Times New Roman" w:cs="Times New Roman"/>
          <w:noProof/>
          <w:kern w:val="0"/>
          <w:sz w:val="20"/>
          <w:szCs w:val="24"/>
        </w:rPr>
        <w:t xml:space="preserve"> (3), 1024–1033. https://doi.org/10.2134/jeq2006.0463.</w:t>
      </w:r>
    </w:p>
    <w:p w14:paraId="7999ED51" w14:textId="546BB3D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(45) Michael Thurman, E.; Meyer, M. T.; Mills, M. S.; Pomes, M. L.; Goolsby, D. A.; Kolpln, D. W. A Reconnaissance Study of Herbicides and Their Metabolites in Surface Water of the Midwestern United States Using Immunoassay and Gas Chromatography/Mass Spectrometry. </w:t>
      </w:r>
      <w:r w:rsidRPr="00694227">
        <w:rPr>
          <w:rFonts w:ascii="Times New Roman" w:hAnsi="Times New Roman" w:cs="Times New Roman"/>
          <w:i/>
          <w:iCs/>
          <w:noProof/>
          <w:kern w:val="0"/>
          <w:sz w:val="20"/>
          <w:szCs w:val="24"/>
        </w:rPr>
        <w:t>Environ. Sci.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26</w:t>
      </w:r>
      <w:r w:rsidRPr="00694227">
        <w:rPr>
          <w:rFonts w:ascii="Times New Roman" w:hAnsi="Times New Roman" w:cs="Times New Roman"/>
          <w:noProof/>
          <w:kern w:val="0"/>
          <w:sz w:val="20"/>
          <w:szCs w:val="24"/>
        </w:rPr>
        <w:t xml:space="preserve"> (12), 2440–2447. https://doi.org/10.1021/es00036a016.</w:t>
      </w:r>
    </w:p>
    <w:p w14:paraId="213247B8" w14:textId="42DE27F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(46) Harman‐Fetcho, J. A.; McConnell, L. L.; Baker, J. E. Agricultural Pesticides in the Patuxent River, a Tributary of the Chesapeake Bay.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28</w:t>
      </w:r>
      <w:r w:rsidRPr="00694227">
        <w:rPr>
          <w:rFonts w:ascii="Times New Roman" w:hAnsi="Times New Roman" w:cs="Times New Roman"/>
          <w:noProof/>
          <w:kern w:val="0"/>
          <w:sz w:val="20"/>
          <w:szCs w:val="24"/>
        </w:rPr>
        <w:t xml:space="preserve"> (3), 928–938. https://doi.org/10.2134/jeq1999.00472425002800030025x.</w:t>
      </w:r>
    </w:p>
    <w:p w14:paraId="20F62B19" w14:textId="5FB06D7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(47) Callicott, K.; Hooper-Bùi, L. An Investigation of Environmental Concentrations of Atrazine, Chlorothalonil, and Fipronil in a Mississippi River-Influenced Marsh in Southern Louisiana. </w:t>
      </w:r>
      <w:r w:rsidRPr="00694227">
        <w:rPr>
          <w:rFonts w:ascii="Times New Roman" w:hAnsi="Times New Roman" w:cs="Times New Roman"/>
          <w:i/>
          <w:iCs/>
          <w:noProof/>
          <w:kern w:val="0"/>
          <w:sz w:val="20"/>
          <w:szCs w:val="24"/>
        </w:rPr>
        <w:t>Microchem. J.</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146</w:t>
      </w:r>
      <w:r w:rsidRPr="00694227">
        <w:rPr>
          <w:rFonts w:ascii="Times New Roman" w:hAnsi="Times New Roman" w:cs="Times New Roman"/>
          <w:noProof/>
          <w:kern w:val="0"/>
          <w:sz w:val="20"/>
          <w:szCs w:val="24"/>
        </w:rPr>
        <w:t xml:space="preserve"> (July 2018), 1241–1248. https://doi.org/10.1016/j.microc.2019.01.060.</w:t>
      </w:r>
    </w:p>
    <w:p w14:paraId="1EE01BFA" w14:textId="0E658C83"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(48) Lizotte, R.; Locke, M.; Bingner, R.; Steinriede, R. W.; Smith, S. Effectiveness of Integrated Best </w:t>
      </w:r>
      <w:r w:rsidRPr="00694227">
        <w:rPr>
          <w:rFonts w:ascii="Times New Roman" w:hAnsi="Times New Roman" w:cs="Times New Roman"/>
          <w:noProof/>
          <w:kern w:val="0"/>
          <w:sz w:val="20"/>
          <w:szCs w:val="24"/>
        </w:rPr>
        <w:lastRenderedPageBreak/>
        <w:t xml:space="preserve">Management Practices on Mitigation of Atrazine and Metolachlor in an Agricultural Lake Watershed. </w:t>
      </w:r>
      <w:r w:rsidRPr="00694227">
        <w:rPr>
          <w:rFonts w:ascii="Times New Roman" w:hAnsi="Times New Roman" w:cs="Times New Roman"/>
          <w:i/>
          <w:iCs/>
          <w:noProof/>
          <w:kern w:val="0"/>
          <w:sz w:val="20"/>
          <w:szCs w:val="24"/>
        </w:rPr>
        <w:t>Bull. Environ. Contam. Toxicol.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98</w:t>
      </w:r>
      <w:r w:rsidRPr="00694227">
        <w:rPr>
          <w:rFonts w:ascii="Times New Roman" w:hAnsi="Times New Roman" w:cs="Times New Roman"/>
          <w:noProof/>
          <w:kern w:val="0"/>
          <w:sz w:val="20"/>
          <w:szCs w:val="24"/>
        </w:rPr>
        <w:t xml:space="preserve"> (4), 447–453. https://doi.org/10.1007/s00128-016-2020-3.</w:t>
      </w:r>
    </w:p>
    <w:p w14:paraId="169DFAA6" w14:textId="68CC3C3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(49) Shipitalo, M. J.; Edwards, W. M.; Owens, L. B. Herbicide Losses in Runoff from Conservation-Tilled Watersheds in a Corn-Soybean Rotation. </w:t>
      </w:r>
      <w:r w:rsidRPr="00694227">
        <w:rPr>
          <w:rFonts w:ascii="Times New Roman" w:hAnsi="Times New Roman" w:cs="Times New Roman"/>
          <w:i/>
          <w:iCs/>
          <w:noProof/>
          <w:kern w:val="0"/>
          <w:sz w:val="20"/>
          <w:szCs w:val="24"/>
        </w:rPr>
        <w:t>Soil Sci. Soc. Am. J.</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61</w:t>
      </w:r>
      <w:r w:rsidRPr="00694227">
        <w:rPr>
          <w:rFonts w:ascii="Times New Roman" w:hAnsi="Times New Roman" w:cs="Times New Roman"/>
          <w:noProof/>
          <w:kern w:val="0"/>
          <w:sz w:val="20"/>
          <w:szCs w:val="24"/>
        </w:rPr>
        <w:t xml:space="preserve"> (1), 267–272. https://doi.org/10.2136/sssaj1997.03615995006100010038x.</w:t>
      </w:r>
    </w:p>
    <w:p w14:paraId="45A567F4" w14:textId="7E2F7793"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(50) Ma, L.; Spalding, R. F. Herbicide Persistence and Mobility in Recharge Lake Watershed in York, Nebraska.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26</w:t>
      </w:r>
      <w:r w:rsidRPr="00694227">
        <w:rPr>
          <w:rFonts w:ascii="Times New Roman" w:hAnsi="Times New Roman" w:cs="Times New Roman"/>
          <w:noProof/>
          <w:kern w:val="0"/>
          <w:sz w:val="20"/>
          <w:szCs w:val="24"/>
        </w:rPr>
        <w:t xml:space="preserve"> (1), 115–125. https://doi.org/10.2134/jeq1997.00472425002600010018x.</w:t>
      </w:r>
    </w:p>
    <w:p w14:paraId="7591D793" w14:textId="7E0B41E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(51) Lerch, R. N.; Sadler, E. J.; Sudduth, K. A.; Baffaut, C.; Kitchen, N. R. Herbicide Transport in Goodwater Creek ExperimentalWatershed: I. Long-Term Research on Atrazine.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47</w:t>
      </w:r>
      <w:r w:rsidRPr="00694227">
        <w:rPr>
          <w:rFonts w:ascii="Times New Roman" w:hAnsi="Times New Roman" w:cs="Times New Roman"/>
          <w:noProof/>
          <w:kern w:val="0"/>
          <w:sz w:val="20"/>
          <w:szCs w:val="24"/>
        </w:rPr>
        <w:t xml:space="preserve"> (2), 209–223. https://doi.org/10.1111/j.1752-1688.2010.00503.x.</w:t>
      </w:r>
    </w:p>
    <w:p w14:paraId="77081DBB" w14:textId="10ED274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(52) Battaglin, W. A.; Thurman, E. M.; Kalkhoff, S. J.; Porter, S. D. Herbicides and Transformation Products in Surface Waters of the Midwestern United States.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39</w:t>
      </w:r>
      <w:r w:rsidRPr="00694227">
        <w:rPr>
          <w:rFonts w:ascii="Times New Roman" w:hAnsi="Times New Roman" w:cs="Times New Roman"/>
          <w:noProof/>
          <w:kern w:val="0"/>
          <w:sz w:val="20"/>
          <w:szCs w:val="24"/>
        </w:rPr>
        <w:t xml:space="preserve"> (4), 743–756. https://doi.org/10.1111/j.1752-1688.2003.tb04402.x.</w:t>
      </w:r>
    </w:p>
    <w:p w14:paraId="0D698E8A" w14:textId="75094E5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(53) Mills, P. C.; Kolpin, D. W.; Scribner, E. A.; Thurman, E. M. Herbicides and Degradates in Shallow Aquifers of Illinois: Spatial and Temporal Trends.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41</w:t>
      </w:r>
      <w:r w:rsidRPr="00694227">
        <w:rPr>
          <w:rFonts w:ascii="Times New Roman" w:hAnsi="Times New Roman" w:cs="Times New Roman"/>
          <w:noProof/>
          <w:kern w:val="0"/>
          <w:sz w:val="20"/>
          <w:szCs w:val="24"/>
        </w:rPr>
        <w:t xml:space="preserve"> (3), 537–547. https://doi.org/10.1111/j.1752-1688.2005.tb03753.x.</w:t>
      </w:r>
    </w:p>
    <w:p w14:paraId="258E0480" w14:textId="0110827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(54) Larose, M.; Heathman, G. C.; Norton, L. D.; Engel, B. Hydrologic and Atrazine Simulation of the Cedar Creek Watershed Using the SWAT Model.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36</w:t>
      </w:r>
      <w:r w:rsidRPr="00694227">
        <w:rPr>
          <w:rFonts w:ascii="Times New Roman" w:hAnsi="Times New Roman" w:cs="Times New Roman"/>
          <w:noProof/>
          <w:kern w:val="0"/>
          <w:sz w:val="20"/>
          <w:szCs w:val="24"/>
        </w:rPr>
        <w:t xml:space="preserve"> (2), 521–531. https://doi.org/10.2134/jeq2006.0154.</w:t>
      </w:r>
    </w:p>
    <w:p w14:paraId="544F5719" w14:textId="7169845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(55) Kurt-Karakus, P. B.; Muir, D. C. G.; Bidleman, T. F.; Small, J.; Backus, S.; Dove, A. Metolachlor and Atrazine in the Great Lakes. </w:t>
      </w:r>
      <w:r w:rsidRPr="00694227">
        <w:rPr>
          <w:rFonts w:ascii="Times New Roman" w:hAnsi="Times New Roman" w:cs="Times New Roman"/>
          <w:i/>
          <w:iCs/>
          <w:noProof/>
          <w:kern w:val="0"/>
          <w:sz w:val="20"/>
          <w:szCs w:val="24"/>
        </w:rPr>
        <w:t>Environ. Sci.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44</w:t>
      </w:r>
      <w:r w:rsidRPr="00694227">
        <w:rPr>
          <w:rFonts w:ascii="Times New Roman" w:hAnsi="Times New Roman" w:cs="Times New Roman"/>
          <w:noProof/>
          <w:kern w:val="0"/>
          <w:sz w:val="20"/>
          <w:szCs w:val="24"/>
        </w:rPr>
        <w:t xml:space="preserve"> (12), 4678–4684. https://doi.org/10.1021/es100549v.</w:t>
      </w:r>
    </w:p>
    <w:p w14:paraId="02CD478E" w14:textId="7807D70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(56) Stueber, A. M.; Criss, R. E. Origin and Transport of Dissolved Chemicals in a Karst Watershed, Southwestern Illinois.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41</w:t>
      </w:r>
      <w:r w:rsidRPr="00694227">
        <w:rPr>
          <w:rFonts w:ascii="Times New Roman" w:hAnsi="Times New Roman" w:cs="Times New Roman"/>
          <w:noProof/>
          <w:kern w:val="0"/>
          <w:sz w:val="20"/>
          <w:szCs w:val="24"/>
        </w:rPr>
        <w:t xml:space="preserve"> (2), 267–290. https://doi.org/10.1111/j.1752-1688.2005.tb03734.x.</w:t>
      </w:r>
    </w:p>
    <w:p w14:paraId="183ED487" w14:textId="5FD0F47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(57) Pionke, H. B.; Glotfelty, D. E.; Lucas, A. D.; Urban, J. B. Pesticide Contamination of Groundwaters in the Mahantango Creek Watershed.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1988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17</w:t>
      </w:r>
      <w:r w:rsidRPr="00694227">
        <w:rPr>
          <w:rFonts w:ascii="Times New Roman" w:hAnsi="Times New Roman" w:cs="Times New Roman"/>
          <w:noProof/>
          <w:kern w:val="0"/>
          <w:sz w:val="20"/>
          <w:szCs w:val="24"/>
        </w:rPr>
        <w:t xml:space="preserve"> (1), 76–84. https://doi.org/10.2134/jeq1988.00472425001700010011x.</w:t>
      </w:r>
    </w:p>
    <w:p w14:paraId="3D6BEC87" w14:textId="6E40749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(58) H.B.Pionke; D.W.Glotfelty. Contamination of Groundwater by Atrazine and Selected Metabolites.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21</w:t>
      </w:r>
      <w:r w:rsidRPr="00694227">
        <w:rPr>
          <w:rFonts w:ascii="Times New Roman" w:hAnsi="Times New Roman" w:cs="Times New Roman"/>
          <w:noProof/>
          <w:kern w:val="0"/>
          <w:sz w:val="20"/>
          <w:szCs w:val="24"/>
        </w:rPr>
        <w:t xml:space="preserve"> (6), 813–822.</w:t>
      </w:r>
    </w:p>
    <w:p w14:paraId="705DCB56" w14:textId="39C5B77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(59) Spalding, R. F.; Snow, D. D.; Cassada, D. A.; Burbach, M. E. Study of Pesticide Occurrence in Two Closely Spaced Lakes in Northeastern Nebraska.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23</w:t>
      </w:r>
      <w:r w:rsidRPr="00694227">
        <w:rPr>
          <w:rFonts w:ascii="Times New Roman" w:hAnsi="Times New Roman" w:cs="Times New Roman"/>
          <w:noProof/>
          <w:kern w:val="0"/>
          <w:sz w:val="20"/>
          <w:szCs w:val="24"/>
        </w:rPr>
        <w:t xml:space="preserve"> (3), 571–578. https://doi.org/10.2134/jeq1994.00472425002300030024x.</w:t>
      </w:r>
    </w:p>
    <w:p w14:paraId="594E8958" w14:textId="711D59A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(60) Homes, M. J.; Frankenberger, J. R.; Engel, B. A. Susceptibility of Indiana Watersheds to Herbicide Contamination.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37</w:t>
      </w:r>
      <w:r w:rsidRPr="00694227">
        <w:rPr>
          <w:rFonts w:ascii="Times New Roman" w:hAnsi="Times New Roman" w:cs="Times New Roman"/>
          <w:noProof/>
          <w:kern w:val="0"/>
          <w:sz w:val="20"/>
          <w:szCs w:val="24"/>
        </w:rPr>
        <w:t xml:space="preserve"> (4), 987–1000. https://doi.org/10.1111/j.1752-1688.2001.tb05527.x.</w:t>
      </w:r>
    </w:p>
    <w:p w14:paraId="34F7CC69" w14:textId="0E063A3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(61) Quansah, J. E.; Engel, B. A.; Chaubey, I. Tillage Practices Usage in Early Warning Prediction of Atrazine Pollution. </w:t>
      </w:r>
      <w:r w:rsidRPr="00694227">
        <w:rPr>
          <w:rFonts w:ascii="Times New Roman" w:hAnsi="Times New Roman" w:cs="Times New Roman"/>
          <w:i/>
          <w:iCs/>
          <w:noProof/>
          <w:kern w:val="0"/>
          <w:sz w:val="20"/>
          <w:szCs w:val="24"/>
        </w:rPr>
        <w:t>Am. Soc. Agric. Biol. Eng.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51</w:t>
      </w:r>
      <w:r w:rsidRPr="00694227">
        <w:rPr>
          <w:rFonts w:ascii="Times New Roman" w:hAnsi="Times New Roman" w:cs="Times New Roman"/>
          <w:noProof/>
          <w:kern w:val="0"/>
          <w:sz w:val="20"/>
          <w:szCs w:val="24"/>
        </w:rPr>
        <w:t xml:space="preserve"> (4), 1311–1321.</w:t>
      </w:r>
    </w:p>
    <w:p w14:paraId="2169B103" w14:textId="1FF2EC2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(62) Schilling, K. E.; Thompson, C. A. Walnut Creek Watershed Monitoring Project, Iowa: Monitoring Water Quality in Response to Prairie Restoration.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36</w:t>
      </w:r>
      <w:r w:rsidRPr="00694227">
        <w:rPr>
          <w:rFonts w:ascii="Times New Roman" w:hAnsi="Times New Roman" w:cs="Times New Roman"/>
          <w:noProof/>
          <w:kern w:val="0"/>
          <w:sz w:val="20"/>
          <w:szCs w:val="24"/>
        </w:rPr>
        <w:t xml:space="preserve"> (5), 1101–1114. https://doi.org/10.1111/j.1752-1688.2000.tb05713.x.</w:t>
      </w:r>
    </w:p>
    <w:p w14:paraId="6EB883E6" w14:textId="4559534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(63) Jaynes, D. B.; Hatfield, J. L.; Meek, D. W. Water Quality in Walnut Creek Watershed: Herbicides </w:t>
      </w:r>
      <w:r w:rsidRPr="00694227">
        <w:rPr>
          <w:rFonts w:ascii="Times New Roman" w:hAnsi="Times New Roman" w:cs="Times New Roman"/>
          <w:noProof/>
          <w:kern w:val="0"/>
          <w:sz w:val="20"/>
          <w:szCs w:val="24"/>
        </w:rPr>
        <w:lastRenderedPageBreak/>
        <w:t xml:space="preserve">and Nitrate in Surface Waters. </w:t>
      </w:r>
      <w:r w:rsidRPr="00694227">
        <w:rPr>
          <w:rFonts w:ascii="Times New Roman" w:hAnsi="Times New Roman" w:cs="Times New Roman"/>
          <w:i/>
          <w:iCs/>
          <w:noProof/>
          <w:kern w:val="0"/>
          <w:sz w:val="20"/>
          <w:szCs w:val="24"/>
        </w:rPr>
        <w:t>J. Environ. Qual.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28</w:t>
      </w:r>
      <w:r w:rsidRPr="00694227">
        <w:rPr>
          <w:rFonts w:ascii="Times New Roman" w:hAnsi="Times New Roman" w:cs="Times New Roman"/>
          <w:noProof/>
          <w:kern w:val="0"/>
          <w:sz w:val="20"/>
          <w:szCs w:val="24"/>
        </w:rPr>
        <w:t xml:space="preserve"> (1), 45–59. https://doi.org/10.2134/jeq1999.00472425002800010005x.</w:t>
      </w:r>
    </w:p>
    <w:p w14:paraId="37A8F728" w14:textId="1B6C413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(64) Lerch, R. N.; Blanchard, P. E. Watershed Vulnerability to Herbicide Transport in Northern Missouri and Southern Iowa Streams. </w:t>
      </w:r>
      <w:r w:rsidRPr="00694227">
        <w:rPr>
          <w:rFonts w:ascii="Times New Roman" w:hAnsi="Times New Roman" w:cs="Times New Roman"/>
          <w:i/>
          <w:iCs/>
          <w:noProof/>
          <w:kern w:val="0"/>
          <w:sz w:val="20"/>
          <w:szCs w:val="24"/>
        </w:rPr>
        <w:t>Environ. Sci. Technol.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37</w:t>
      </w:r>
      <w:r w:rsidRPr="00694227">
        <w:rPr>
          <w:rFonts w:ascii="Times New Roman" w:hAnsi="Times New Roman" w:cs="Times New Roman"/>
          <w:noProof/>
          <w:kern w:val="0"/>
          <w:sz w:val="20"/>
          <w:szCs w:val="24"/>
        </w:rPr>
        <w:t xml:space="preserve"> (24), 5518–5527. https://doi.org/10.1021/es030431s.</w:t>
      </w:r>
    </w:p>
    <w:p w14:paraId="681E82E2" w14:textId="230FBAE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(65) Shukla, S.; Mostaghimi, S.; Lovern, S. B.; McClellan, P. W. Impact of Agrichemical Facility Best Management Practices on Runoff Water Quality. </w:t>
      </w:r>
      <w:r w:rsidRPr="00694227">
        <w:rPr>
          <w:rFonts w:ascii="Times New Roman" w:hAnsi="Times New Roman" w:cs="Times New Roman"/>
          <w:i/>
          <w:iCs/>
          <w:noProof/>
          <w:kern w:val="0"/>
          <w:sz w:val="20"/>
          <w:szCs w:val="24"/>
        </w:rPr>
        <w:t>Trans. Am. Soc. Agric. Eng.</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44</w:t>
      </w:r>
      <w:r w:rsidRPr="00694227">
        <w:rPr>
          <w:rFonts w:ascii="Times New Roman" w:hAnsi="Times New Roman" w:cs="Times New Roman"/>
          <w:noProof/>
          <w:kern w:val="0"/>
          <w:sz w:val="20"/>
          <w:szCs w:val="24"/>
        </w:rPr>
        <w:t xml:space="preserve"> (6), 1661–1672. https://doi.org/10.13031/2013.7042.</w:t>
      </w:r>
    </w:p>
    <w:p w14:paraId="759011A2" w14:textId="2D82A99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(66) Montiel-León, J. M.; Munoz, G.; Vo Duy, S.; Do, D. T.; Vaudreuil, M. A.; Goeury, K.; Guillemette, F.; Amyot, M.; Sauvé, S. Widespread Occurrence and Spatial Distribution of Glyphosate, Atrazine, and Neonicotinoids Pesticides in the St. Lawrence and Tributary Rivers.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250</w:t>
      </w:r>
      <w:r w:rsidRPr="00694227">
        <w:rPr>
          <w:rFonts w:ascii="Times New Roman" w:hAnsi="Times New Roman" w:cs="Times New Roman"/>
          <w:noProof/>
          <w:kern w:val="0"/>
          <w:sz w:val="20"/>
          <w:szCs w:val="24"/>
        </w:rPr>
        <w:t>, 29–39. https://doi.org/10.1016/j.envpol.2019.03.125.</w:t>
      </w:r>
    </w:p>
    <w:p w14:paraId="33016585" w14:textId="08B0754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(67) Couperus, N. P.; Pagsuyoin, S. A.; Bragg, L. M.; Servos, M. R. Occurrence, Distribution, and Sources of Antimicrobials in a Mixed-Use Watershed.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541</w:t>
      </w:r>
      <w:r w:rsidRPr="00694227">
        <w:rPr>
          <w:rFonts w:ascii="Times New Roman" w:hAnsi="Times New Roman" w:cs="Times New Roman"/>
          <w:noProof/>
          <w:kern w:val="0"/>
          <w:sz w:val="20"/>
          <w:szCs w:val="24"/>
        </w:rPr>
        <w:t>, 1581–1591. https://doi.org/10.1016/j.scitotenv.2015.09.086.</w:t>
      </w:r>
    </w:p>
    <w:p w14:paraId="57A067EC" w14:textId="7490B8F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(68) Wan, M.; Kuo, J. N.; McPherson, B.; Pasternak, J. Agricultural Pesticide Residues in Farm Ditches of the Lower Fraser Valley, British Columbia, Canada. </w:t>
      </w:r>
      <w:r w:rsidRPr="00694227">
        <w:rPr>
          <w:rFonts w:ascii="Times New Roman" w:hAnsi="Times New Roman" w:cs="Times New Roman"/>
          <w:i/>
          <w:iCs/>
          <w:noProof/>
          <w:kern w:val="0"/>
          <w:sz w:val="20"/>
          <w:szCs w:val="24"/>
        </w:rPr>
        <w:t>J. Environ. Sci. Heal. - Part B Pestic. Food Contam. Agric. Wastes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41</w:t>
      </w:r>
      <w:r w:rsidRPr="00694227">
        <w:rPr>
          <w:rFonts w:ascii="Times New Roman" w:hAnsi="Times New Roman" w:cs="Times New Roman"/>
          <w:noProof/>
          <w:kern w:val="0"/>
          <w:sz w:val="20"/>
          <w:szCs w:val="24"/>
        </w:rPr>
        <w:t xml:space="preserve"> (5), 647–669. https://doi.org/10.1080/03601230600701817.</w:t>
      </w:r>
    </w:p>
    <w:p w14:paraId="3FBFA2F3" w14:textId="6F153CE3"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(69) Laroche, A.-M.; Gallichand, J. Analysis of Pesticide Residues in Surface and Groundwater of a Small Watershed. </w:t>
      </w:r>
      <w:r w:rsidRPr="00694227">
        <w:rPr>
          <w:rFonts w:ascii="Times New Roman" w:hAnsi="Times New Roman" w:cs="Times New Roman"/>
          <w:b/>
          <w:bCs/>
          <w:noProof/>
          <w:kern w:val="0"/>
          <w:sz w:val="20"/>
          <w:szCs w:val="24"/>
        </w:rPr>
        <w:t>1995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38</w:t>
      </w:r>
      <w:r w:rsidRPr="00694227">
        <w:rPr>
          <w:rFonts w:ascii="Times New Roman" w:hAnsi="Times New Roman" w:cs="Times New Roman"/>
          <w:noProof/>
          <w:kern w:val="0"/>
          <w:sz w:val="20"/>
          <w:szCs w:val="24"/>
        </w:rPr>
        <w:t xml:space="preserve"> (1994), 1731–1736.</w:t>
      </w:r>
    </w:p>
    <w:p w14:paraId="35DB126E" w14:textId="1CCDCA3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(70) Ng, H. Y. F.; Clegg, S. B. Atrazine and Metolachlor Losses in Runoff Events from an Agricultural Watershed: The Importance of Runoff Components.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193</w:t>
      </w:r>
      <w:r w:rsidRPr="00694227">
        <w:rPr>
          <w:rFonts w:ascii="Times New Roman" w:hAnsi="Times New Roman" w:cs="Times New Roman"/>
          <w:noProof/>
          <w:kern w:val="0"/>
          <w:sz w:val="20"/>
          <w:szCs w:val="24"/>
        </w:rPr>
        <w:t xml:space="preserve"> (3), 215–228. https://doi.org/10.1016/S0048-9697(96)05342-9.</w:t>
      </w:r>
    </w:p>
    <w:p w14:paraId="305ECABF" w14:textId="1DD3CCF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(71) Metcalfe, C. D.; Sultana, T.; Li, H.; Helm, P. A. Current-Use Pesticides in Urban Watersheds and Receiving Waters of Western Lake Ontario Measured Using Polar Organic Chemical Integrative Samplers (POCIS). </w:t>
      </w:r>
      <w:r w:rsidRPr="00694227">
        <w:rPr>
          <w:rFonts w:ascii="Times New Roman" w:hAnsi="Times New Roman" w:cs="Times New Roman"/>
          <w:i/>
          <w:iCs/>
          <w:noProof/>
          <w:kern w:val="0"/>
          <w:sz w:val="20"/>
          <w:szCs w:val="24"/>
        </w:rPr>
        <w:t>J. Great Lakes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42</w:t>
      </w:r>
      <w:r w:rsidRPr="00694227">
        <w:rPr>
          <w:rFonts w:ascii="Times New Roman" w:hAnsi="Times New Roman" w:cs="Times New Roman"/>
          <w:noProof/>
          <w:kern w:val="0"/>
          <w:sz w:val="20"/>
          <w:szCs w:val="24"/>
        </w:rPr>
        <w:t xml:space="preserve"> (6), 1432–1442. https://doi.org/10.1016/j.jglr.2016.08.004.</w:t>
      </w:r>
    </w:p>
    <w:p w14:paraId="3F94D17C" w14:textId="616BEF6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(72) House, W. A.; Leach, D.; Long, J. L. A.; Cranwell, P.; Smith, C.; Bharwaj, L.; Meharg, A.; Ryland, G.; Orr, D. O.; Wright, J. Micro-Organic Compounds in the Humber Rivers.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194</w:t>
      </w:r>
      <w:r w:rsidRPr="00694227">
        <w:rPr>
          <w:rFonts w:ascii="Times New Roman" w:hAnsi="Times New Roman" w:cs="Times New Roman"/>
          <w:noProof/>
          <w:kern w:val="0"/>
          <w:sz w:val="20"/>
          <w:szCs w:val="24"/>
        </w:rPr>
        <w:t>–</w:t>
      </w:r>
      <w:r w:rsidRPr="00694227">
        <w:rPr>
          <w:rFonts w:ascii="Times New Roman" w:hAnsi="Times New Roman" w:cs="Times New Roman"/>
          <w:i/>
          <w:iCs/>
          <w:noProof/>
          <w:kern w:val="0"/>
          <w:sz w:val="20"/>
          <w:szCs w:val="24"/>
        </w:rPr>
        <w:t>195</w:t>
      </w:r>
      <w:r w:rsidRPr="00694227">
        <w:rPr>
          <w:rFonts w:ascii="Times New Roman" w:hAnsi="Times New Roman" w:cs="Times New Roman"/>
          <w:noProof/>
          <w:kern w:val="0"/>
          <w:sz w:val="20"/>
          <w:szCs w:val="24"/>
        </w:rPr>
        <w:t xml:space="preserve"> (96), 357–371. https://doi.org/10.1016/S0048-9697(96)05375-2.</w:t>
      </w:r>
    </w:p>
    <w:p w14:paraId="4B35628E" w14:textId="04CC5F6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(73) Struger, J.; Fletcher, T. Occurrence of Lawn Care and Agricultural Pesticides in the Don River and Humber River Watersheds (1998-2002). </w:t>
      </w:r>
      <w:r w:rsidRPr="00694227">
        <w:rPr>
          <w:rFonts w:ascii="Times New Roman" w:hAnsi="Times New Roman" w:cs="Times New Roman"/>
          <w:i/>
          <w:iCs/>
          <w:noProof/>
          <w:kern w:val="0"/>
          <w:sz w:val="20"/>
          <w:szCs w:val="24"/>
        </w:rPr>
        <w:t>J. Great Lakes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33</w:t>
      </w:r>
      <w:r w:rsidRPr="00694227">
        <w:rPr>
          <w:rFonts w:ascii="Times New Roman" w:hAnsi="Times New Roman" w:cs="Times New Roman"/>
          <w:noProof/>
          <w:kern w:val="0"/>
          <w:sz w:val="20"/>
          <w:szCs w:val="24"/>
        </w:rPr>
        <w:t xml:space="preserve"> (4), 887–905. https://doi.org/10.3394/0380-1330(2007)33[887:OOLCAA]2.0.CO;2.</w:t>
      </w:r>
    </w:p>
    <w:p w14:paraId="5A12B9A0" w14:textId="2F746DC6"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(74) Lapp, P.; Madramootoo, C. A.; Enright, P.; Papineau, F.; Perrone, J. Water Quality of an Intensive Agricultural Watershed in Quebec. </w:t>
      </w:r>
      <w:r w:rsidRPr="00694227">
        <w:rPr>
          <w:rFonts w:ascii="Times New Roman" w:hAnsi="Times New Roman" w:cs="Times New Roman"/>
          <w:i/>
          <w:iCs/>
          <w:noProof/>
          <w:kern w:val="0"/>
          <w:sz w:val="20"/>
          <w:szCs w:val="24"/>
        </w:rPr>
        <w:t>J. Am. Water Resour. Assoc.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34</w:t>
      </w:r>
      <w:r w:rsidRPr="00694227">
        <w:rPr>
          <w:rFonts w:ascii="Times New Roman" w:hAnsi="Times New Roman" w:cs="Times New Roman"/>
          <w:noProof/>
          <w:kern w:val="0"/>
          <w:sz w:val="20"/>
          <w:szCs w:val="24"/>
        </w:rPr>
        <w:t xml:space="preserve"> (2), 427–437. https://doi.org/10.1111/j.1752-1688.1998.tb04146.x.</w:t>
      </w:r>
    </w:p>
    <w:p w14:paraId="1B681960" w14:textId="20A414BB"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(75) De Gerónimo, E.; Aparicio, V. C.; Bárbaro, S.; Portocarrero, R.; Jaime, S.; Costa, J. L. Presence of Pesticides in Surface Water from Four Sub-Basins in Argentina.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107</w:t>
      </w:r>
      <w:r w:rsidRPr="00694227">
        <w:rPr>
          <w:rFonts w:ascii="Times New Roman" w:hAnsi="Times New Roman" w:cs="Times New Roman"/>
          <w:noProof/>
          <w:kern w:val="0"/>
          <w:sz w:val="20"/>
          <w:szCs w:val="24"/>
        </w:rPr>
        <w:t>, 423–431. https://doi.org/10.1016/j.chemosphere.2014.01.039.</w:t>
      </w:r>
    </w:p>
    <w:p w14:paraId="03A24115" w14:textId="51BC0E9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(76) Pérez, D. J.; Iturburu, F. G.; Calderon, G.; Oyesqui, L. A. E.; De Gerónimo, E.; Aparicio, V. C. Ecological Risk Assessment of Current-Use Pesticides and Biocides in Soils, Sediments and Surface Water of a Mixed Land-Use Basin of the Pampas Region, Argentina.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263</w:t>
      </w:r>
      <w:r w:rsidRPr="00694227">
        <w:rPr>
          <w:rFonts w:ascii="Times New Roman" w:hAnsi="Times New Roman" w:cs="Times New Roman"/>
          <w:noProof/>
          <w:kern w:val="0"/>
          <w:sz w:val="20"/>
          <w:szCs w:val="24"/>
        </w:rPr>
        <w:t>. https://doi.org/10.1016/j.chemosphere.2020.128061.</w:t>
      </w:r>
    </w:p>
    <w:p w14:paraId="02A787DE" w14:textId="0EDD9C5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lastRenderedPageBreak/>
        <w:t xml:space="preserve">(77) Corcoran, S.; Metcalfe, C. D.; Sultana, T.; Amé, M. V.; Menone, M. L. Pesticides in Surface Waters in Argentina Monitored Using Polar Organic Chemical Integrative Samplers. </w:t>
      </w:r>
      <w:r w:rsidRPr="00694227">
        <w:rPr>
          <w:rFonts w:ascii="Times New Roman" w:hAnsi="Times New Roman" w:cs="Times New Roman"/>
          <w:i/>
          <w:iCs/>
          <w:noProof/>
          <w:kern w:val="0"/>
          <w:sz w:val="20"/>
          <w:szCs w:val="24"/>
        </w:rPr>
        <w:t>Bull. Environ. Contam. Toxicol.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104</w:t>
      </w:r>
      <w:r w:rsidRPr="00694227">
        <w:rPr>
          <w:rFonts w:ascii="Times New Roman" w:hAnsi="Times New Roman" w:cs="Times New Roman"/>
          <w:noProof/>
          <w:kern w:val="0"/>
          <w:sz w:val="20"/>
          <w:szCs w:val="24"/>
        </w:rPr>
        <w:t xml:space="preserve"> (1), 21–26. https://doi.org/10.1007/s00128-019-02758-z.</w:t>
      </w:r>
    </w:p>
    <w:p w14:paraId="7013FCD4" w14:textId="66C3C0F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(78) Barizon, R. R. M.; Figueiredo, R. de O.; de Souza Dutra, D. R. C.; Regitano, J. B.; Ferracini, V. L. Pesticides in the Surface Waters of the Camanducaia River Watershed, Brazil. </w:t>
      </w:r>
      <w:r w:rsidRPr="00694227">
        <w:rPr>
          <w:rFonts w:ascii="Times New Roman" w:hAnsi="Times New Roman" w:cs="Times New Roman"/>
          <w:i/>
          <w:iCs/>
          <w:noProof/>
          <w:kern w:val="0"/>
          <w:sz w:val="20"/>
          <w:szCs w:val="24"/>
        </w:rPr>
        <w:t>J. Environ. Sci. Heal. - Part B Pestic. Food Contam. Agric. Wastes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55</w:t>
      </w:r>
      <w:r w:rsidRPr="00694227">
        <w:rPr>
          <w:rFonts w:ascii="Times New Roman" w:hAnsi="Times New Roman" w:cs="Times New Roman"/>
          <w:noProof/>
          <w:kern w:val="0"/>
          <w:sz w:val="20"/>
          <w:szCs w:val="24"/>
        </w:rPr>
        <w:t xml:space="preserve"> (3), 283–292. https://doi.org/10.1080/03601234.2019.1693835.</w:t>
      </w:r>
    </w:p>
    <w:p w14:paraId="49D73F2A" w14:textId="7ECEE49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(79) Caldas, S. S.; Arias, J. L. O.; Rombaldi, C.; Mello, L. L.; Cerqueira, M. B. R.; Martins, A. F.; Primel, E. G. Occurrence of Pesticides and PPCPs in Surface and Drinking Water in Southern Brazil: Data on 4-Year Monitoring. </w:t>
      </w:r>
      <w:r w:rsidRPr="00694227">
        <w:rPr>
          <w:rFonts w:ascii="Times New Roman" w:hAnsi="Times New Roman" w:cs="Times New Roman"/>
          <w:i/>
          <w:iCs/>
          <w:noProof/>
          <w:kern w:val="0"/>
          <w:sz w:val="20"/>
          <w:szCs w:val="24"/>
        </w:rPr>
        <w:t>J. Braz. Chem. Soc.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30</w:t>
      </w:r>
      <w:r w:rsidRPr="00694227">
        <w:rPr>
          <w:rFonts w:ascii="Times New Roman" w:hAnsi="Times New Roman" w:cs="Times New Roman"/>
          <w:noProof/>
          <w:kern w:val="0"/>
          <w:sz w:val="20"/>
          <w:szCs w:val="24"/>
        </w:rPr>
        <w:t xml:space="preserve"> (1), 71–80. https://doi.org/10.21577/0103-5053.20180154.</w:t>
      </w:r>
    </w:p>
    <w:p w14:paraId="619EF942" w14:textId="6224C11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(80) Albuquerque, A. F.; Ribeiro, J. S.; Kummrow, F.; Nogueira, A. J. A.; Montagner, C. C.; Umbuzeiro, G. A. Pesticides in Brazilian Freshwaters: A Critical Review. </w:t>
      </w:r>
      <w:r w:rsidRPr="00694227">
        <w:rPr>
          <w:rFonts w:ascii="Times New Roman" w:hAnsi="Times New Roman" w:cs="Times New Roman"/>
          <w:i/>
          <w:iCs/>
          <w:noProof/>
          <w:kern w:val="0"/>
          <w:sz w:val="20"/>
          <w:szCs w:val="24"/>
        </w:rPr>
        <w:t>Environ. Sci. Process. Impacts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18</w:t>
      </w:r>
      <w:r w:rsidRPr="00694227">
        <w:rPr>
          <w:rFonts w:ascii="Times New Roman" w:hAnsi="Times New Roman" w:cs="Times New Roman"/>
          <w:noProof/>
          <w:kern w:val="0"/>
          <w:sz w:val="20"/>
          <w:szCs w:val="24"/>
        </w:rPr>
        <w:t xml:space="preserve"> (7), 779–787. https://doi.org/10.1039/c6em00268d.</w:t>
      </w:r>
    </w:p>
    <w:p w14:paraId="2ACD525D" w14:textId="37112F02"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(81) Climent, M. J.; Herrero-Hernández, E.; Sánchez-Martín, M. J.; Rodríguez-Cruz, M. S.; Pedreros, P.; Urrutia, R. Residues of Pesticides and Some Metabolites in Dissolved and Particulate Phase in Surface Stream Water of Cachapoal River Basin, Central Chile.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251</w:t>
      </w:r>
      <w:r w:rsidRPr="00694227">
        <w:rPr>
          <w:rFonts w:ascii="Times New Roman" w:hAnsi="Times New Roman" w:cs="Times New Roman"/>
          <w:noProof/>
          <w:kern w:val="0"/>
          <w:sz w:val="20"/>
          <w:szCs w:val="24"/>
        </w:rPr>
        <w:t>, 90–101. https://doi.org/10.1016/j.envpol.2019.04.117.</w:t>
      </w:r>
    </w:p>
    <w:p w14:paraId="21DD7727" w14:textId="29451F6B"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(82) Lagunas-Basave, B.; Brito-Hernández, A.; Saldarriaga-Noreña, H. A.; Romero-Aguilar, M.; Vergara-Sánchez, J.; Moeller-Chávez, G. E.; Díaz-Torres, J. de J.; Rosales-Rivera, M.; Murillo-Tovar, M. A. Occurrence and Risk Assessment of Atrazine and Diuron in Well and Surface Water of a Cornfield Rural Region. </w:t>
      </w:r>
      <w:r w:rsidRPr="00694227">
        <w:rPr>
          <w:rFonts w:ascii="Times New Roman" w:hAnsi="Times New Roman" w:cs="Times New Roman"/>
          <w:i/>
          <w:iCs/>
          <w:noProof/>
          <w:kern w:val="0"/>
          <w:sz w:val="20"/>
          <w:szCs w:val="24"/>
        </w:rPr>
        <w:t>Water (Switzerland)</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14</w:t>
      </w:r>
      <w:r w:rsidRPr="00694227">
        <w:rPr>
          <w:rFonts w:ascii="Times New Roman" w:hAnsi="Times New Roman" w:cs="Times New Roman"/>
          <w:noProof/>
          <w:kern w:val="0"/>
          <w:sz w:val="20"/>
          <w:szCs w:val="24"/>
        </w:rPr>
        <w:t xml:space="preserve"> (22), 1–14. https://doi.org/10.3390/w14223790.</w:t>
      </w:r>
    </w:p>
    <w:p w14:paraId="4830E3F1" w14:textId="5BD30E7B"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(83) Molina-Morales, Y.; Flores-Garcia, M.; Balza-Quintero, A.; Benitez-Diaz, P.; Miranda-Contreras, L. Levels of Pesticides in Superficial Waters in an Agricultural Region of Merida State, Venezuela, between 2008 and 2010. </w:t>
      </w:r>
      <w:r w:rsidRPr="00694227">
        <w:rPr>
          <w:rFonts w:ascii="Times New Roman" w:hAnsi="Times New Roman" w:cs="Times New Roman"/>
          <w:i/>
          <w:iCs/>
          <w:noProof/>
          <w:kern w:val="0"/>
          <w:sz w:val="20"/>
          <w:szCs w:val="24"/>
        </w:rPr>
        <w:t>Rev. Int. Contam. Ambient.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28</w:t>
      </w:r>
      <w:r w:rsidRPr="00694227">
        <w:rPr>
          <w:rFonts w:ascii="Times New Roman" w:hAnsi="Times New Roman" w:cs="Times New Roman"/>
          <w:noProof/>
          <w:kern w:val="0"/>
          <w:sz w:val="20"/>
          <w:szCs w:val="24"/>
        </w:rPr>
        <w:t xml:space="preserve"> (4), 289-301 WE-Science Citation Index Expanded (SCI-.</w:t>
      </w:r>
    </w:p>
    <w:p w14:paraId="16A5670D" w14:textId="4ADF70E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(84) Moeder, M.; Carranza-Diaz, O.; López-Angulo, G.; Vega-Aviña, R.; Chávez-Durán, F. A.; Jomaa, S.; Winkler, U.; Schrader, S.; Reemtsma, T.; Delgado-Vargas, F. Potential of Vegetated Ditches to Manage Organic Pollutants Derived from Agricultural Runoff and Domestic Sewage: A Case Study in Sinaloa (Mexico).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598</w:t>
      </w:r>
      <w:r w:rsidRPr="00694227">
        <w:rPr>
          <w:rFonts w:ascii="Times New Roman" w:hAnsi="Times New Roman" w:cs="Times New Roman"/>
          <w:noProof/>
          <w:kern w:val="0"/>
          <w:sz w:val="20"/>
          <w:szCs w:val="24"/>
        </w:rPr>
        <w:t>, 1106–1115. https://doi.org/10.1016/j.scitotenv.2017.04.149.</w:t>
      </w:r>
    </w:p>
    <w:p w14:paraId="626F10AC" w14:textId="78FA4CA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(85) Salahshoor, Z.; Ho, K.; Hsu, S.; Hossain, A. H.; Trauth, K.; Lin, C.; Fidalgo, M. Detection of Atrazine and Its Metabolites in Natural Water Samples Using Photonic Molecularly Imprinted Sensors. </w:t>
      </w:r>
      <w:r w:rsidRPr="00694227">
        <w:rPr>
          <w:rFonts w:ascii="Times New Roman" w:hAnsi="Times New Roman" w:cs="Times New Roman"/>
          <w:i/>
          <w:iCs/>
          <w:noProof/>
          <w:kern w:val="0"/>
          <w:sz w:val="20"/>
          <w:szCs w:val="24"/>
        </w:rPr>
        <w:t>molecules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27</w:t>
      </w:r>
      <w:r w:rsidRPr="00694227">
        <w:rPr>
          <w:rFonts w:ascii="Times New Roman" w:hAnsi="Times New Roman" w:cs="Times New Roman"/>
          <w:noProof/>
          <w:kern w:val="0"/>
          <w:sz w:val="20"/>
          <w:szCs w:val="24"/>
        </w:rPr>
        <w:t xml:space="preserve"> (16), 5075.</w:t>
      </w:r>
    </w:p>
    <w:p w14:paraId="59DF841A" w14:textId="355C094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(86) Owagboriaye, F.; Oladunjoye, R.; Aina, S.; Adekunle, O.; Salisu, T.; Adenekan, A.; Abesin, O.; Oguntubo, J.; Fafioye, O.; Dedeke, G.; Lawal, O. Outcome of the First Survey of Atrazine in Drinking Water from Ijebu-North, South-West, Nigeria: Human Health Risk and Neurotoxicological Implications. </w:t>
      </w:r>
      <w:r w:rsidRPr="00694227">
        <w:rPr>
          <w:rFonts w:ascii="Times New Roman" w:hAnsi="Times New Roman" w:cs="Times New Roman"/>
          <w:i/>
          <w:iCs/>
          <w:noProof/>
          <w:kern w:val="0"/>
          <w:sz w:val="20"/>
          <w:szCs w:val="24"/>
        </w:rPr>
        <w:t>Toxicol. Reports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9</w:t>
      </w:r>
      <w:r w:rsidRPr="00694227">
        <w:rPr>
          <w:rFonts w:ascii="Times New Roman" w:hAnsi="Times New Roman" w:cs="Times New Roman"/>
          <w:noProof/>
          <w:kern w:val="0"/>
          <w:sz w:val="20"/>
          <w:szCs w:val="24"/>
        </w:rPr>
        <w:t xml:space="preserve"> (May), 1347–1356. https://doi.org/10.1016/j.toxrep.2022.06.012.</w:t>
      </w:r>
    </w:p>
    <w:p w14:paraId="6EDBCFAE" w14:textId="26DD860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(87) Branchet, P.; Cadot, E.; Fenet, H.; Sebag, D.; Ngatcha, B. N.; Borrell-Estupina, V.; Ngoupayou, J. R. N.; Kengne, I.; Braun, J. J.; Gonzalez, C. Polar Pesticide Contamination of an Urban and Peri-Urban Tropical Watershed Affected by Agricultural Activities (Yaoundé, Center Region, Cameroon).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w:t>
      </w:r>
      <w:r w:rsidRPr="00694227">
        <w:rPr>
          <w:rFonts w:ascii="Times New Roman" w:hAnsi="Times New Roman" w:cs="Times New Roman"/>
          <w:noProof/>
          <w:kern w:val="0"/>
          <w:sz w:val="20"/>
          <w:szCs w:val="24"/>
        </w:rPr>
        <w:t xml:space="preserve"> (18), 17690–17715. https://doi.org/10.1007/s11356-</w:t>
      </w:r>
      <w:r w:rsidRPr="00694227">
        <w:rPr>
          <w:rFonts w:ascii="Times New Roman" w:hAnsi="Times New Roman" w:cs="Times New Roman"/>
          <w:noProof/>
          <w:kern w:val="0"/>
          <w:sz w:val="20"/>
          <w:szCs w:val="24"/>
        </w:rPr>
        <w:lastRenderedPageBreak/>
        <w:t>018-1798-4.</w:t>
      </w:r>
    </w:p>
    <w:p w14:paraId="01BB382E" w14:textId="3687B934"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(88) Pick, F. E.; van Dyk, L. P.; Botha, E. Atrazine in Ground and Surface Water in Maize Production Areas of the Transvaal, South Africa.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w:t>
      </w:r>
      <w:r w:rsidRPr="00694227">
        <w:rPr>
          <w:rFonts w:ascii="Times New Roman" w:hAnsi="Times New Roman" w:cs="Times New Roman"/>
          <w:noProof/>
          <w:kern w:val="0"/>
          <w:sz w:val="20"/>
          <w:szCs w:val="24"/>
        </w:rPr>
        <w:t xml:space="preserve"> (3), 335–341. https://doi.org/10.1016/0045-6535(92)90550-B.</w:t>
      </w:r>
    </w:p>
    <w:p w14:paraId="0666FAD5" w14:textId="0FD8C24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(89) Ojemaye, C. Y.; Onwordi, C. T.; Pampanin, D. M.; Sydnes, M. O.; Petrik, L. Herbicides in Camps Bay (Cape Town, South Africa), Supplemented.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778</w:t>
      </w:r>
      <w:r w:rsidRPr="00694227">
        <w:rPr>
          <w:rFonts w:ascii="Times New Roman" w:hAnsi="Times New Roman" w:cs="Times New Roman"/>
          <w:noProof/>
          <w:kern w:val="0"/>
          <w:sz w:val="20"/>
          <w:szCs w:val="24"/>
        </w:rPr>
        <w:t>, 146057. https://doi.org/10.1016/j.scitotenv.2021.146057.</w:t>
      </w:r>
    </w:p>
    <w:p w14:paraId="37B160C0" w14:textId="09A1F51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(90) Eissa, F.; Al-Sisi, M.; Ghanem, K. Occurrence, Human Health, and Ecotoxicological Risk Assessment of Pesticides in Surface Waters of the River Nile’s Rosetta Branch, Egypt.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28</w:t>
      </w:r>
      <w:r w:rsidRPr="00694227">
        <w:rPr>
          <w:rFonts w:ascii="Times New Roman" w:hAnsi="Times New Roman" w:cs="Times New Roman"/>
          <w:noProof/>
          <w:kern w:val="0"/>
          <w:sz w:val="20"/>
          <w:szCs w:val="24"/>
        </w:rPr>
        <w:t xml:space="preserve"> (39), 55511–55525. https://doi.org/10.1007/s11356-021-14911-5.</w:t>
      </w:r>
    </w:p>
    <w:p w14:paraId="2AD96608" w14:textId="254417E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(91) Msibi, S. S.; Chen, C. Y.; Chang, C. P.; Chen, C. J.; Chiang, S. Y.; Wu, K. Y. High Pesticide Inhalation Exposure from Multiple Spraying Sources amongst Applicators in Eswatini, Southern Africa. </w:t>
      </w:r>
      <w:r w:rsidRPr="00694227">
        <w:rPr>
          <w:rFonts w:ascii="Times New Roman" w:hAnsi="Times New Roman" w:cs="Times New Roman"/>
          <w:i/>
          <w:iCs/>
          <w:noProof/>
          <w:kern w:val="0"/>
          <w:sz w:val="20"/>
          <w:szCs w:val="24"/>
        </w:rPr>
        <w:t>Pest Manag. Sci.</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77</w:t>
      </w:r>
      <w:r w:rsidRPr="00694227">
        <w:rPr>
          <w:rFonts w:ascii="Times New Roman" w:hAnsi="Times New Roman" w:cs="Times New Roman"/>
          <w:noProof/>
          <w:kern w:val="0"/>
          <w:sz w:val="20"/>
          <w:szCs w:val="24"/>
        </w:rPr>
        <w:t xml:space="preserve"> (10), 4303–4312. https://doi.org/10.1002/ps.6459.</w:t>
      </w:r>
    </w:p>
    <w:p w14:paraId="712C059D" w14:textId="405684C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(92) Farounbi, A. I.; Ngqwala, N. P. Occurrence of Selected Endocrine Disrupting Compounds in the Eastern Cape Province of South Africa.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27</w:t>
      </w:r>
      <w:r w:rsidRPr="00694227">
        <w:rPr>
          <w:rFonts w:ascii="Times New Roman" w:hAnsi="Times New Roman" w:cs="Times New Roman"/>
          <w:noProof/>
          <w:kern w:val="0"/>
          <w:sz w:val="20"/>
          <w:szCs w:val="24"/>
        </w:rPr>
        <w:t xml:space="preserve"> (14), 17268–17279. https://doi.org/10.1007/s11356-020-08082-y.</w:t>
      </w:r>
    </w:p>
    <w:p w14:paraId="40E04787" w14:textId="5230FAD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(93) Abdelbagi, A. O.; Ismail, R. E. A.; Ishag, A. E. S. A.; Hammad, A. M. A. Pesticide Residues in Eggplant Fruit from Khartoum State, Sudan. </w:t>
      </w:r>
      <w:r w:rsidRPr="00694227">
        <w:rPr>
          <w:rFonts w:ascii="Times New Roman" w:hAnsi="Times New Roman" w:cs="Times New Roman"/>
          <w:i/>
          <w:iCs/>
          <w:noProof/>
          <w:kern w:val="0"/>
          <w:sz w:val="20"/>
          <w:szCs w:val="24"/>
        </w:rPr>
        <w:t>J. Heal.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w:t>
      </w:r>
      <w:r w:rsidRPr="00694227">
        <w:rPr>
          <w:rFonts w:ascii="Times New Roman" w:hAnsi="Times New Roman" w:cs="Times New Roman"/>
          <w:noProof/>
          <w:kern w:val="0"/>
          <w:sz w:val="20"/>
          <w:szCs w:val="24"/>
        </w:rPr>
        <w:t xml:space="preserve"> (25), 1–11. https://doi.org/10.5696/2156-9614-10.25.200304.</w:t>
      </w:r>
    </w:p>
    <w:p w14:paraId="7724EAAB" w14:textId="3C150D69"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(94) Basopo, N.; Muzvidziwa, A. Assessment of the Effects of Atrazine, Dichlorodiphenyltrichloroethane, and Dimethoate on Freshwater Fish (Oreochromis Mossambicus): A Case Study of the A2 Farmlands in Chiredzi, in the Southeastern Part of Zimbabwe.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27</w:t>
      </w:r>
      <w:r w:rsidRPr="00694227">
        <w:rPr>
          <w:rFonts w:ascii="Times New Roman" w:hAnsi="Times New Roman" w:cs="Times New Roman"/>
          <w:noProof/>
          <w:kern w:val="0"/>
          <w:sz w:val="20"/>
          <w:szCs w:val="24"/>
        </w:rPr>
        <w:t xml:space="preserve"> (1), 579–586. https://doi.org/10.1007/s11356-019-06569-x.</w:t>
      </w:r>
    </w:p>
    <w:p w14:paraId="5E4BA026" w14:textId="0EB04B2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(95) Sarti, O.; Otal, E.; Morillo, J.; Ouassini, A. Integrated Assessment of Groundwater Quality beneath the Rural Area of R’mel, Northwest of Morocco. </w:t>
      </w:r>
      <w:r w:rsidRPr="00694227">
        <w:rPr>
          <w:rFonts w:ascii="Times New Roman" w:hAnsi="Times New Roman" w:cs="Times New Roman"/>
          <w:i/>
          <w:iCs/>
          <w:noProof/>
          <w:kern w:val="0"/>
          <w:sz w:val="20"/>
          <w:szCs w:val="24"/>
        </w:rPr>
        <w:t>Groundw. Sustain. Dev.</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14</w:t>
      </w:r>
      <w:r w:rsidRPr="00694227">
        <w:rPr>
          <w:rFonts w:ascii="Times New Roman" w:hAnsi="Times New Roman" w:cs="Times New Roman"/>
          <w:noProof/>
          <w:kern w:val="0"/>
          <w:sz w:val="20"/>
          <w:szCs w:val="24"/>
        </w:rPr>
        <w:t xml:space="preserve"> (March). https://doi.org/10.1016/j.gsd.2021.100620.</w:t>
      </w:r>
    </w:p>
    <w:p w14:paraId="164BBFBA" w14:textId="1C4051D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(96) Halstead, N. T.; Hoover, C. M.; Arakala, A.; Civitello, D. J.; De Leo, G. A.; Gambhir, M.; Johnson, S. A.; Jouanard, N.; Loerns, K. A.; McMahon, T. A.; Ndione, R. A.; Nguyen, K.; Raffel, T. R.; Remais, J. V.; Riveau, G.; Sokolow, S. H.; Rohr, J. R. Agrochemicals Increase Risk of Human Schistosomiasis by Supporting Higher Densities of Intermediate Hosts. </w:t>
      </w:r>
      <w:r w:rsidRPr="00694227">
        <w:rPr>
          <w:rFonts w:ascii="Times New Roman" w:hAnsi="Times New Roman" w:cs="Times New Roman"/>
          <w:i/>
          <w:iCs/>
          <w:noProof/>
          <w:kern w:val="0"/>
          <w:sz w:val="20"/>
          <w:szCs w:val="24"/>
        </w:rPr>
        <w:t>Nat. Commun.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9</w:t>
      </w:r>
      <w:r w:rsidRPr="00694227">
        <w:rPr>
          <w:rFonts w:ascii="Times New Roman" w:hAnsi="Times New Roman" w:cs="Times New Roman"/>
          <w:noProof/>
          <w:kern w:val="0"/>
          <w:sz w:val="20"/>
          <w:szCs w:val="24"/>
        </w:rPr>
        <w:t xml:space="preserve"> (1). https://doi.org/10.1038/s41467-018-03189-w.</w:t>
      </w:r>
    </w:p>
    <w:p w14:paraId="730707F3" w14:textId="6A8F844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(97) Lehmann, E.; Fargues, M.; Nfon Dibié, J. J.; Konaté, Y.; de Alencastro, L. F. Assessment of Water Resource Contamination by Pesticides in Vegetable-Producing Areas in Burkina Faso.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2018</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w:t>
      </w:r>
      <w:r w:rsidRPr="00694227">
        <w:rPr>
          <w:rFonts w:ascii="Times New Roman" w:hAnsi="Times New Roman" w:cs="Times New Roman"/>
          <w:noProof/>
          <w:kern w:val="0"/>
          <w:sz w:val="20"/>
          <w:szCs w:val="24"/>
        </w:rPr>
        <w:t xml:space="preserve"> (4), 3681–3694. https://doi.org/10.1007/s11356-017-0665-z.</w:t>
      </w:r>
    </w:p>
    <w:p w14:paraId="6FC8FD1F" w14:textId="1ED3AC2F"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(98) Nascimento, A. F.; Pires, F. R.; Chagas, K.; Procópio, S. de O.; Oliveira, M. A.; Cargnelutti Filho, A.; Belo, A. F.; Egreja Filho, F. B. Risk of Soil Recontamination Due to Using Eleusine Coracana and Panicum Maximum Straw After Phytoremediation of Picloram. </w:t>
      </w:r>
      <w:r w:rsidRPr="00694227">
        <w:rPr>
          <w:rFonts w:ascii="Times New Roman" w:hAnsi="Times New Roman" w:cs="Times New Roman"/>
          <w:i/>
          <w:iCs/>
          <w:noProof/>
          <w:kern w:val="0"/>
          <w:sz w:val="20"/>
          <w:szCs w:val="24"/>
        </w:rPr>
        <w:t>Int. J. Phytoremediation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17</w:t>
      </w:r>
      <w:r w:rsidRPr="00694227">
        <w:rPr>
          <w:rFonts w:ascii="Times New Roman" w:hAnsi="Times New Roman" w:cs="Times New Roman"/>
          <w:noProof/>
          <w:kern w:val="0"/>
          <w:sz w:val="20"/>
          <w:szCs w:val="24"/>
        </w:rPr>
        <w:t xml:space="preserve"> (4), 313–321. https://doi.org/10.1080/15226514.2014.909775.</w:t>
      </w:r>
    </w:p>
    <w:p w14:paraId="0CA3743E" w14:textId="3981469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(99) Readman, J. W.; Albanis, T. A.; Barcelo, D.; Galassi, S.; Tronczynski, J.; Gabrielides, G. P. Herbicide Contamination of Mediterranean Estuarine Waters: Results from a MED POL Pilot Survey.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26</w:t>
      </w:r>
      <w:r w:rsidRPr="00694227">
        <w:rPr>
          <w:rFonts w:ascii="Times New Roman" w:hAnsi="Times New Roman" w:cs="Times New Roman"/>
          <w:noProof/>
          <w:kern w:val="0"/>
          <w:sz w:val="20"/>
          <w:szCs w:val="24"/>
        </w:rPr>
        <w:t xml:space="preserve"> (11), 613–619. https://doi.org/https://doi.org/10.1016/0025-326X(93)90500-J.</w:t>
      </w:r>
    </w:p>
    <w:p w14:paraId="75AF2A3D" w14:textId="2224C97B"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(100) Ferrer, I.; Hennion, M. C.; Barceló, D. Immunosorbents Coupled On-Line with Liquid Chromatography/Atmospheric Pressure Chemical Ionization/Mass Spectrometry for the Part per </w:t>
      </w:r>
      <w:r w:rsidRPr="00694227">
        <w:rPr>
          <w:rFonts w:ascii="Times New Roman" w:hAnsi="Times New Roman" w:cs="Times New Roman"/>
          <w:noProof/>
          <w:kern w:val="0"/>
          <w:sz w:val="20"/>
          <w:szCs w:val="24"/>
        </w:rPr>
        <w:lastRenderedPageBreak/>
        <w:t xml:space="preserve">Trillion Level Determination of Pesticides in Sediments and Natural Waters Using Low Preconcentration Volumes. </w:t>
      </w:r>
      <w:r w:rsidRPr="00694227">
        <w:rPr>
          <w:rFonts w:ascii="Times New Roman" w:hAnsi="Times New Roman" w:cs="Times New Roman"/>
          <w:i/>
          <w:iCs/>
          <w:noProof/>
          <w:kern w:val="0"/>
          <w:sz w:val="20"/>
          <w:szCs w:val="24"/>
        </w:rPr>
        <w:t>Anal. Chem.</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69</w:t>
      </w:r>
      <w:r w:rsidRPr="00694227">
        <w:rPr>
          <w:rFonts w:ascii="Times New Roman" w:hAnsi="Times New Roman" w:cs="Times New Roman"/>
          <w:noProof/>
          <w:kern w:val="0"/>
          <w:sz w:val="20"/>
          <w:szCs w:val="24"/>
        </w:rPr>
        <w:t xml:space="preserve"> (22), 4508–4514. https://doi.org/10.1021/ac970843h.</w:t>
      </w:r>
    </w:p>
    <w:p w14:paraId="5BF45D72" w14:textId="785228E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(101) Power, M.; Attrill, M. J.; Thomas, R. M. Trends in Agricultural Pesticide (Atrazine, Lindane, Simazine) Concentrations in the Thames Estuary.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104</w:t>
      </w:r>
      <w:r w:rsidRPr="00694227">
        <w:rPr>
          <w:rFonts w:ascii="Times New Roman" w:hAnsi="Times New Roman" w:cs="Times New Roman"/>
          <w:noProof/>
          <w:kern w:val="0"/>
          <w:sz w:val="20"/>
          <w:szCs w:val="24"/>
        </w:rPr>
        <w:t xml:space="preserve"> (1), 31–39. https://doi.org/10.1016/S0269-7491(98)00158-4.</w:t>
      </w:r>
    </w:p>
    <w:p w14:paraId="48B1BED9" w14:textId="5D091BF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(102)</w:t>
      </w:r>
      <w:r w:rsidR="00C87F8B">
        <w:rPr>
          <w:rFonts w:ascii="Times New Roman" w:hAnsi="Times New Roman" w:cs="Times New Roman"/>
          <w:noProof/>
          <w:kern w:val="0"/>
          <w:sz w:val="20"/>
          <w:szCs w:val="24"/>
        </w:rPr>
        <w:t xml:space="preserve"> </w:t>
      </w:r>
      <w:r w:rsidRPr="00694227">
        <w:rPr>
          <w:rFonts w:ascii="Times New Roman" w:hAnsi="Times New Roman" w:cs="Times New Roman"/>
          <w:noProof/>
          <w:kern w:val="0"/>
          <w:sz w:val="20"/>
          <w:szCs w:val="24"/>
        </w:rPr>
        <w:t xml:space="preserve">Irace-Guigand, S.; Aaron, J. J.; Scribe, P.; Barcelo, D. A Comparison of the Environmental Impact of Pesticide Multiresidues and Their Occurrence in River Waters Surveyed by Liquid Chromatography Coupled in Tandem with UV Diode Array Detection and Mass Spectrometry.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55</w:t>
      </w:r>
      <w:r w:rsidRPr="00694227">
        <w:rPr>
          <w:rFonts w:ascii="Times New Roman" w:hAnsi="Times New Roman" w:cs="Times New Roman"/>
          <w:noProof/>
          <w:kern w:val="0"/>
          <w:sz w:val="20"/>
          <w:szCs w:val="24"/>
        </w:rPr>
        <w:t xml:space="preserve"> (7), 973–981. https://doi.org/10.1016/j.chemosphere.2003.12.007.</w:t>
      </w:r>
    </w:p>
    <w:p w14:paraId="65F35BE7" w14:textId="4181A08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(103) Rizzi, C.; Finizio, A.; Maggi, V.; Villa, S. Spatial-Temporal Analysis and Risk Characterisation of Pesticides in Alpine Glacial Streams.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248</w:t>
      </w:r>
      <w:r w:rsidRPr="00694227">
        <w:rPr>
          <w:rFonts w:ascii="Times New Roman" w:hAnsi="Times New Roman" w:cs="Times New Roman"/>
          <w:noProof/>
          <w:kern w:val="0"/>
          <w:sz w:val="20"/>
          <w:szCs w:val="24"/>
        </w:rPr>
        <w:t>, 659–666. https://doi.org/10.1016/j.envpol.2019.02.067.</w:t>
      </w:r>
    </w:p>
    <w:p w14:paraId="44199B4A" w14:textId="24F91D5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(104) Caquet1, T.; Roucaute1, M.; Mazzella, N.; Delmas2, F.; Madigou, C.; Farcy, E.; Burgeot, T.; Allenou, J.-P.; Gabellec4, R.; 1. Risk Assessment of Herbicides and Booster Biocides along Estuarine Continuums in the Bay of Vilaine Area (Brittany, France) Th. </w:t>
      </w:r>
      <w:r w:rsidRPr="00694227">
        <w:rPr>
          <w:rFonts w:ascii="Times New Roman" w:hAnsi="Times New Roman" w:cs="Times New Roman"/>
          <w:i/>
          <w:iCs/>
          <w:noProof/>
          <w:kern w:val="0"/>
          <w:sz w:val="20"/>
          <w:szCs w:val="24"/>
        </w:rPr>
        <w:t>Environ. Sci. Pollut.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20</w:t>
      </w:r>
      <w:r w:rsidRPr="00694227">
        <w:rPr>
          <w:rFonts w:ascii="Times New Roman" w:hAnsi="Times New Roman" w:cs="Times New Roman"/>
          <w:noProof/>
          <w:kern w:val="0"/>
          <w:sz w:val="20"/>
          <w:szCs w:val="24"/>
        </w:rPr>
        <w:t xml:space="preserve"> (2), 651–666.</w:t>
      </w:r>
    </w:p>
    <w:p w14:paraId="25672EB7" w14:textId="03E6429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(105) Kapsi, M.; Tsoutsi, C.; Paschalidou, A.; Albanis, T. Environmental Monitoring and Risk Assessment of Pesticide Residues in Surface Waters of the Louros River (N.W. Greece).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650</w:t>
      </w:r>
      <w:r w:rsidRPr="00694227">
        <w:rPr>
          <w:rFonts w:ascii="Times New Roman" w:hAnsi="Times New Roman" w:cs="Times New Roman"/>
          <w:noProof/>
          <w:kern w:val="0"/>
          <w:sz w:val="20"/>
          <w:szCs w:val="24"/>
        </w:rPr>
        <w:t>, 2188–2198. https://doi.org/10.1016/j.scitotenv.2018.09.185.</w:t>
      </w:r>
    </w:p>
    <w:p w14:paraId="0277EB3D" w14:textId="3396052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(106) Carafa, R.; Marinov, D.; Dueri, S.; Wollgast, J.; Ligthart, J.; Canuti, E.; Viaroli, P.; Zaldívar, J. M. A 3D Hydrodynamic Fate and Transport Model for Herbicides in Sacca Di Goro Coastal Lagoon (Northern Adriatic).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52</w:t>
      </w:r>
      <w:r w:rsidRPr="00694227">
        <w:rPr>
          <w:rFonts w:ascii="Times New Roman" w:hAnsi="Times New Roman" w:cs="Times New Roman"/>
          <w:noProof/>
          <w:kern w:val="0"/>
          <w:sz w:val="20"/>
          <w:szCs w:val="24"/>
        </w:rPr>
        <w:t xml:space="preserve"> (10), 1231–1248. https://doi.org/10.1016/j.marpolbul.2006.02.025.</w:t>
      </w:r>
    </w:p>
    <w:p w14:paraId="4D8844F2" w14:textId="1D50A900"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(107) Nödler, K.; Licha, T.; Voutsa, D. Twenty Years Later - Atrazine Concentrations in Selected Coastal Waters of the Mediterranean and the Baltic Sea.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70</w:t>
      </w:r>
      <w:r w:rsidRPr="00694227">
        <w:rPr>
          <w:rFonts w:ascii="Times New Roman" w:hAnsi="Times New Roman" w:cs="Times New Roman"/>
          <w:noProof/>
          <w:kern w:val="0"/>
          <w:sz w:val="20"/>
          <w:szCs w:val="24"/>
        </w:rPr>
        <w:t xml:space="preserve"> (1–2), 112–118. https://doi.org/10.1016/j.marpolbul.2013.02.018.</w:t>
      </w:r>
    </w:p>
    <w:p w14:paraId="7FC9E42F" w14:textId="3A7013D5"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(108) Gonzalez-Rey, M.; Tapie, N.; Le Menach, K.; Dévier, M. H.; Budzinski, H.; Bebianno, M. J. Occurrence of Pharmaceutical Compounds and Pesticides in Aquatic Systems.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2015</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96</w:t>
      </w:r>
      <w:r w:rsidRPr="00694227">
        <w:rPr>
          <w:rFonts w:ascii="Times New Roman" w:hAnsi="Times New Roman" w:cs="Times New Roman"/>
          <w:noProof/>
          <w:kern w:val="0"/>
          <w:sz w:val="20"/>
          <w:szCs w:val="24"/>
        </w:rPr>
        <w:t xml:space="preserve"> (1–2), 384–400. https://doi.org/10.1016/j.marpolbul.2015.04.029.</w:t>
      </w:r>
    </w:p>
    <w:p w14:paraId="7F43E1F8" w14:textId="78B59A02"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(109) Sousa, J. C. G.; Barbosa, M. O.; Ribeiro, A. R. L.; Ratola, N.; Pereira, M. F. R.; Silva, A. M. T. Distribution of Micropollutants in Estuarine and Sea Water along the Portuguese Coast.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154</w:t>
      </w:r>
      <w:r w:rsidRPr="00694227">
        <w:rPr>
          <w:rFonts w:ascii="Times New Roman" w:hAnsi="Times New Roman" w:cs="Times New Roman"/>
          <w:noProof/>
          <w:kern w:val="0"/>
          <w:sz w:val="20"/>
          <w:szCs w:val="24"/>
        </w:rPr>
        <w:t xml:space="preserve"> (May 2019), 111120. https://doi.org/10.1016/j.marpolbul.2020.111120.</w:t>
      </w:r>
    </w:p>
    <w:p w14:paraId="6A40F3E2" w14:textId="69E23171"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(110) Palma, P.; Köck-Schulmeyer, M.; Alvarenga, P.; Ledo, L.; Barbosa, I. R.; López de Alda, M.; Barceló, D. Risk Assessment of Pesticides Detected in Surface Water of the Alqueva Reservoir (Guadiana Basin, Southern of Portugal).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488</w:t>
      </w:r>
      <w:r w:rsidRPr="00694227">
        <w:rPr>
          <w:rFonts w:ascii="Times New Roman" w:hAnsi="Times New Roman" w:cs="Times New Roman"/>
          <w:noProof/>
          <w:kern w:val="0"/>
          <w:sz w:val="20"/>
          <w:szCs w:val="24"/>
        </w:rPr>
        <w:t>–</w:t>
      </w:r>
      <w:r w:rsidRPr="00694227">
        <w:rPr>
          <w:rFonts w:ascii="Times New Roman" w:hAnsi="Times New Roman" w:cs="Times New Roman"/>
          <w:i/>
          <w:iCs/>
          <w:noProof/>
          <w:kern w:val="0"/>
          <w:sz w:val="20"/>
          <w:szCs w:val="24"/>
        </w:rPr>
        <w:t>489</w:t>
      </w:r>
      <w:r w:rsidRPr="00694227">
        <w:rPr>
          <w:rFonts w:ascii="Times New Roman" w:hAnsi="Times New Roman" w:cs="Times New Roman"/>
          <w:noProof/>
          <w:kern w:val="0"/>
          <w:sz w:val="20"/>
          <w:szCs w:val="24"/>
        </w:rPr>
        <w:t xml:space="preserve"> (1), 208–219. https://doi.org/10.1016/j.scitotenv.2014.04.088.</w:t>
      </w:r>
    </w:p>
    <w:p w14:paraId="58D90AA1" w14:textId="258F997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(111) Cui, S.; Hough, R.; Yates, K.; Osprey, M.; Kerr, C.; Cooper, P.; Coull, M.; Zhang, Z. Effects of Season and Sediment-Water Exchange Processes on the Partitioning of Pesticides in the Catchment Environment: Implications for Pesticides Monitoring. </w:t>
      </w:r>
      <w:r w:rsidRPr="00694227">
        <w:rPr>
          <w:rFonts w:ascii="Times New Roman" w:hAnsi="Times New Roman" w:cs="Times New Roman"/>
          <w:i/>
          <w:iCs/>
          <w:noProof/>
          <w:kern w:val="0"/>
          <w:sz w:val="20"/>
          <w:szCs w:val="24"/>
        </w:rPr>
        <w:t>Sci. Total Environ.</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2020</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698</w:t>
      </w:r>
      <w:r w:rsidRPr="00694227">
        <w:rPr>
          <w:rFonts w:ascii="Times New Roman" w:hAnsi="Times New Roman" w:cs="Times New Roman"/>
          <w:noProof/>
          <w:kern w:val="0"/>
          <w:sz w:val="20"/>
          <w:szCs w:val="24"/>
        </w:rPr>
        <w:t>, 134228. https://doi.org/10.1016/j.scitotenv.2019.134228.</w:t>
      </w:r>
    </w:p>
    <w:p w14:paraId="1979A10D" w14:textId="1100174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(112) Proia, L.; Osorio, V.; Soley, S.; Köck-Schulmeyer, M.; Pérez, S.; Barceló, D.; Romaní, A. M.; Sabater, S. Effects of Pesticides and Pharmaceuticals on Biofilms in a Highly Impacted River. </w:t>
      </w:r>
      <w:r w:rsidRPr="00694227">
        <w:rPr>
          <w:rFonts w:ascii="Times New Roman" w:hAnsi="Times New Roman" w:cs="Times New Roman"/>
          <w:i/>
          <w:iCs/>
          <w:noProof/>
          <w:kern w:val="0"/>
          <w:sz w:val="20"/>
          <w:szCs w:val="24"/>
        </w:rPr>
        <w:t>Environ. Pollut.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2013</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178</w:t>
      </w:r>
      <w:r w:rsidRPr="00694227">
        <w:rPr>
          <w:rFonts w:ascii="Times New Roman" w:hAnsi="Times New Roman" w:cs="Times New Roman"/>
          <w:noProof/>
          <w:kern w:val="0"/>
          <w:sz w:val="20"/>
          <w:szCs w:val="24"/>
        </w:rPr>
        <w:t>, 220–228. https://doi.org/10.1016/j.envpol.2013.02.022.</w:t>
      </w:r>
    </w:p>
    <w:p w14:paraId="6A242C0A" w14:textId="4B8A6BA4"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lastRenderedPageBreak/>
        <w:t xml:space="preserve">(113) Köck-Schulmeyer, M.; Ginebreda, A.; González, S.; Cortina, J. L.; de Alda, M. L.; Barceló, D. Analysis of the Occurrence and Risk Assessment of Polar Pesticides in the Llobregat River Basin (NE Spain).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86</w:t>
      </w:r>
      <w:r w:rsidRPr="00694227">
        <w:rPr>
          <w:rFonts w:ascii="Times New Roman" w:hAnsi="Times New Roman" w:cs="Times New Roman"/>
          <w:noProof/>
          <w:kern w:val="0"/>
          <w:sz w:val="20"/>
          <w:szCs w:val="24"/>
        </w:rPr>
        <w:t xml:space="preserve"> (1), 8–16. https://doi.org/10.1016/j.chemosphere.2011.08.034.</w:t>
      </w:r>
    </w:p>
    <w:p w14:paraId="08BA5DF1" w14:textId="185052C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(114) Gómez-Gutiérrez, A. I.; Jover, E.; Bodineau, L.; Albaigés, J.; Bayona, J. M. Organic Contaminant Loads into the Western Mediterranean Sea: Estimate of Ebro River Inputs.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65</w:t>
      </w:r>
      <w:r w:rsidRPr="00694227">
        <w:rPr>
          <w:rFonts w:ascii="Times New Roman" w:hAnsi="Times New Roman" w:cs="Times New Roman"/>
          <w:noProof/>
          <w:kern w:val="0"/>
          <w:sz w:val="20"/>
          <w:szCs w:val="24"/>
        </w:rPr>
        <w:t xml:space="preserve"> (2), 224–236. https://doi.org/10.1016/j.chemosphere.2006.02.058.</w:t>
      </w:r>
    </w:p>
    <w:p w14:paraId="70B2A603" w14:textId="5C84CB8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(115) Köck-Schulmeyer, M.; Postigo, C.; Farré, M.; Barceló, D.; López de Alda, M. Medium to Highly Polar Pesticides in Seawater: Analysis and Fate in Coastal Areas of Catalonia (NE Spain). </w:t>
      </w:r>
      <w:r w:rsidRPr="00694227">
        <w:rPr>
          <w:rFonts w:ascii="Times New Roman" w:hAnsi="Times New Roman" w:cs="Times New Roman"/>
          <w:i/>
          <w:iCs/>
          <w:noProof/>
          <w:kern w:val="0"/>
          <w:sz w:val="20"/>
          <w:szCs w:val="24"/>
        </w:rPr>
        <w:t>Chemosphere</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2019</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215</w:t>
      </w:r>
      <w:r w:rsidRPr="00694227">
        <w:rPr>
          <w:rFonts w:ascii="Times New Roman" w:hAnsi="Times New Roman" w:cs="Times New Roman"/>
          <w:noProof/>
          <w:kern w:val="0"/>
          <w:sz w:val="20"/>
          <w:szCs w:val="24"/>
        </w:rPr>
        <w:t>, 515–523. https://doi.org/10.1016/j.chemosphere.2018.10.049.</w:t>
      </w:r>
    </w:p>
    <w:p w14:paraId="1097BB87" w14:textId="6D81B497"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(116) Nödler, K.; Voutsa, D.; Licha, T. Polar Organic Micropollutants in the Coastal Environment of Different Marine Systems. </w:t>
      </w:r>
      <w:r w:rsidRPr="00694227">
        <w:rPr>
          <w:rFonts w:ascii="Times New Roman" w:hAnsi="Times New Roman" w:cs="Times New Roman"/>
          <w:i/>
          <w:iCs/>
          <w:noProof/>
          <w:kern w:val="0"/>
          <w:sz w:val="20"/>
          <w:szCs w:val="24"/>
        </w:rPr>
        <w:t>Mar. Pollut. Bull.</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85</w:t>
      </w:r>
      <w:r w:rsidRPr="00694227">
        <w:rPr>
          <w:rFonts w:ascii="Times New Roman" w:hAnsi="Times New Roman" w:cs="Times New Roman"/>
          <w:noProof/>
          <w:kern w:val="0"/>
          <w:sz w:val="20"/>
          <w:szCs w:val="24"/>
        </w:rPr>
        <w:t xml:space="preserve"> (1), 50–59. https://doi.org/10.1016/j.marpolbul.2014.06.024.</w:t>
      </w:r>
    </w:p>
    <w:p w14:paraId="2801D607" w14:textId="23F9F2ED"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(117) Vonberg, D.; Vanderborght, J.; Cremer, N.; Pütz, T.; Herbst, M.; Vereecken, H. 20 Years of Long-Term Atrazine Monitoring in a Shallow Aquifer in Western Germany. </w:t>
      </w:r>
      <w:r w:rsidRPr="00694227">
        <w:rPr>
          <w:rFonts w:ascii="Times New Roman" w:hAnsi="Times New Roman" w:cs="Times New Roman"/>
          <w:i/>
          <w:iCs/>
          <w:noProof/>
          <w:kern w:val="0"/>
          <w:sz w:val="20"/>
          <w:szCs w:val="24"/>
        </w:rPr>
        <w:t>Water Res.</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2014</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50</w:t>
      </w:r>
      <w:r w:rsidRPr="00694227">
        <w:rPr>
          <w:rFonts w:ascii="Times New Roman" w:hAnsi="Times New Roman" w:cs="Times New Roman"/>
          <w:noProof/>
          <w:kern w:val="0"/>
          <w:sz w:val="20"/>
          <w:szCs w:val="24"/>
        </w:rPr>
        <w:t>. https://doi.org/10.1016/j.watres.2013.10.032.</w:t>
      </w:r>
    </w:p>
    <w:p w14:paraId="697C95EB" w14:textId="46E9417E"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(118) Boyd-Boland, A. A.; Magdic, S.; Pawliszyn, J. B. Simultaneous Determination of 60 Pesticides in Water Using Solid-Phase Microextraction and Gas Chromatography-Mass Spectrometry. </w:t>
      </w:r>
      <w:r w:rsidRPr="00694227">
        <w:rPr>
          <w:rFonts w:ascii="Times New Roman" w:hAnsi="Times New Roman" w:cs="Times New Roman"/>
          <w:i/>
          <w:iCs/>
          <w:noProof/>
          <w:kern w:val="0"/>
          <w:sz w:val="20"/>
          <w:szCs w:val="24"/>
        </w:rPr>
        <w:t>Analyst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1996</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121</w:t>
      </w:r>
      <w:r w:rsidRPr="00694227">
        <w:rPr>
          <w:rFonts w:ascii="Times New Roman" w:hAnsi="Times New Roman" w:cs="Times New Roman"/>
          <w:noProof/>
          <w:kern w:val="0"/>
          <w:sz w:val="20"/>
          <w:szCs w:val="24"/>
        </w:rPr>
        <w:t xml:space="preserve"> (7), 929–938. https://doi.org/10.1039/an9962100929.</w:t>
      </w:r>
    </w:p>
    <w:p w14:paraId="6B904E3B" w14:textId="7D825EFA"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(119) Badach, H.; Nazimek, T.; Kamińska, I. A. Pesticide Content in Drinking Water Samples Collected from Orchard Areas in Central Poland. </w:t>
      </w:r>
      <w:r w:rsidRPr="00694227">
        <w:rPr>
          <w:rFonts w:ascii="Times New Roman" w:hAnsi="Times New Roman" w:cs="Times New Roman"/>
          <w:i/>
          <w:iCs/>
          <w:noProof/>
          <w:kern w:val="0"/>
          <w:sz w:val="20"/>
          <w:szCs w:val="24"/>
        </w:rPr>
        <w:t>Ann. Agric. Environ. Med.</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2007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14</w:t>
      </w:r>
      <w:r w:rsidRPr="00694227">
        <w:rPr>
          <w:rFonts w:ascii="Times New Roman" w:hAnsi="Times New Roman" w:cs="Times New Roman"/>
          <w:noProof/>
          <w:kern w:val="0"/>
          <w:sz w:val="20"/>
          <w:szCs w:val="24"/>
        </w:rPr>
        <w:t xml:space="preserve"> (1), 109–114.</w:t>
      </w:r>
    </w:p>
    <w:p w14:paraId="1A1622EC" w14:textId="0D82A5B8"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(120) Černoch, I.; Fránek, M.; Diblíková, I.; Hilscherová, K.; Randák, T.; Ocelka, T.; Bláha, L. Determination of Atrazine in Surface Waters by Combination of POCIS Passive Sampling and ELISA Detection. </w:t>
      </w:r>
      <w:r w:rsidRPr="00694227">
        <w:rPr>
          <w:rFonts w:ascii="Times New Roman" w:hAnsi="Times New Roman" w:cs="Times New Roman"/>
          <w:i/>
          <w:iCs/>
          <w:noProof/>
          <w:kern w:val="0"/>
          <w:sz w:val="20"/>
          <w:szCs w:val="24"/>
        </w:rPr>
        <w:t>J. Environ. Monit.</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2011</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13</w:t>
      </w:r>
      <w:r w:rsidRPr="00694227">
        <w:rPr>
          <w:rFonts w:ascii="Times New Roman" w:hAnsi="Times New Roman" w:cs="Times New Roman"/>
          <w:noProof/>
          <w:kern w:val="0"/>
          <w:sz w:val="20"/>
          <w:szCs w:val="24"/>
        </w:rPr>
        <w:t xml:space="preserve"> (9), 2582–2587. https://doi.org/10.1039/c1em10112a.</w:t>
      </w:r>
    </w:p>
    <w:p w14:paraId="5E468A61" w14:textId="681C31EC" w:rsidR="00694227" w:rsidRPr="00694227" w:rsidRDefault="00694227" w:rsidP="00694227">
      <w:pPr>
        <w:autoSpaceDE w:val="0"/>
        <w:autoSpaceDN w:val="0"/>
        <w:adjustRightInd w:val="0"/>
        <w:ind w:left="200" w:hangingChars="100" w:hanging="200"/>
        <w:jc w:val="left"/>
        <w:rPr>
          <w:rFonts w:ascii="Times New Roman" w:hAnsi="Times New Roman" w:cs="Times New Roman"/>
          <w:noProof/>
          <w:kern w:val="0"/>
          <w:sz w:val="20"/>
          <w:szCs w:val="24"/>
        </w:rPr>
      </w:pPr>
      <w:r w:rsidRPr="00694227">
        <w:rPr>
          <w:rFonts w:ascii="Times New Roman" w:hAnsi="Times New Roman" w:cs="Times New Roman"/>
          <w:noProof/>
          <w:kern w:val="0"/>
          <w:sz w:val="20"/>
          <w:szCs w:val="24"/>
        </w:rPr>
        <w:t xml:space="preserve">(121) Pestizide, R.; Fliebgewassern, O. Pesticides in Austrian Running Waters - a Country-Wide Overview. </w:t>
      </w:r>
      <w:r w:rsidRPr="00694227">
        <w:rPr>
          <w:rFonts w:ascii="Times New Roman" w:hAnsi="Times New Roman" w:cs="Times New Roman"/>
          <w:b/>
          <w:bCs/>
          <w:noProof/>
          <w:kern w:val="0"/>
          <w:sz w:val="20"/>
          <w:szCs w:val="24"/>
        </w:rPr>
        <w:t>1997</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25</w:t>
      </w:r>
      <w:r w:rsidRPr="00694227">
        <w:rPr>
          <w:rFonts w:ascii="Times New Roman" w:hAnsi="Times New Roman" w:cs="Times New Roman"/>
          <w:noProof/>
          <w:kern w:val="0"/>
          <w:sz w:val="20"/>
          <w:szCs w:val="24"/>
        </w:rPr>
        <w:t xml:space="preserve"> (5), 233–241.</w:t>
      </w:r>
    </w:p>
    <w:p w14:paraId="5337927D" w14:textId="1CB41FC6" w:rsidR="00694227" w:rsidRPr="00694227" w:rsidRDefault="00694227" w:rsidP="00694227">
      <w:pPr>
        <w:autoSpaceDE w:val="0"/>
        <w:autoSpaceDN w:val="0"/>
        <w:adjustRightInd w:val="0"/>
        <w:ind w:left="200" w:hangingChars="100" w:hanging="200"/>
        <w:jc w:val="left"/>
        <w:rPr>
          <w:rFonts w:ascii="Times New Roman" w:hAnsi="Times New Roman" w:cs="Times New Roman"/>
          <w:noProof/>
          <w:sz w:val="20"/>
        </w:rPr>
      </w:pPr>
      <w:r w:rsidRPr="00694227">
        <w:rPr>
          <w:rFonts w:ascii="Times New Roman" w:hAnsi="Times New Roman" w:cs="Times New Roman"/>
          <w:noProof/>
          <w:kern w:val="0"/>
          <w:sz w:val="20"/>
          <w:szCs w:val="24"/>
        </w:rPr>
        <w:t xml:space="preserve">(122) Hrelja, I.; Stipaničev, D.; Repec, S.; Perčin, A.; Mesić, M.; Šestak, I.; Zgorelec, Ž. Comprehensive Analysis of Nitrates, Sulphates and Agrochemicals in Leachates from an Intensive Agriculture Area-A Case Study in Croatia. </w:t>
      </w:r>
      <w:r w:rsidRPr="00694227">
        <w:rPr>
          <w:rFonts w:ascii="Times New Roman" w:hAnsi="Times New Roman" w:cs="Times New Roman"/>
          <w:i/>
          <w:iCs/>
          <w:noProof/>
          <w:kern w:val="0"/>
          <w:sz w:val="20"/>
          <w:szCs w:val="24"/>
        </w:rPr>
        <w:t>J. Cent. Eur. Agric.</w:t>
      </w:r>
      <w:r w:rsidRPr="00694227">
        <w:rPr>
          <w:rFonts w:ascii="Times New Roman" w:hAnsi="Times New Roman" w:cs="Times New Roman"/>
          <w:noProof/>
          <w:kern w:val="0"/>
          <w:sz w:val="20"/>
          <w:szCs w:val="24"/>
        </w:rPr>
        <w:t xml:space="preserve"> </w:t>
      </w:r>
      <w:r w:rsidRPr="00694227">
        <w:rPr>
          <w:rFonts w:ascii="Times New Roman" w:hAnsi="Times New Roman" w:cs="Times New Roman"/>
          <w:b/>
          <w:bCs/>
          <w:noProof/>
          <w:kern w:val="0"/>
          <w:sz w:val="20"/>
          <w:szCs w:val="24"/>
        </w:rPr>
        <w:t>2022</w:t>
      </w:r>
      <w:r w:rsidRPr="00694227">
        <w:rPr>
          <w:rFonts w:ascii="Times New Roman" w:hAnsi="Times New Roman" w:cs="Times New Roman"/>
          <w:noProof/>
          <w:kern w:val="0"/>
          <w:sz w:val="20"/>
          <w:szCs w:val="24"/>
        </w:rPr>
        <w:t xml:space="preserve">, </w:t>
      </w:r>
      <w:r w:rsidRPr="00694227">
        <w:rPr>
          <w:rFonts w:ascii="Times New Roman" w:hAnsi="Times New Roman" w:cs="Times New Roman"/>
          <w:i/>
          <w:iCs/>
          <w:noProof/>
          <w:kern w:val="0"/>
          <w:sz w:val="20"/>
          <w:szCs w:val="24"/>
        </w:rPr>
        <w:t>23</w:t>
      </w:r>
      <w:r w:rsidRPr="00694227">
        <w:rPr>
          <w:rFonts w:ascii="Times New Roman" w:hAnsi="Times New Roman" w:cs="Times New Roman"/>
          <w:noProof/>
          <w:kern w:val="0"/>
          <w:sz w:val="20"/>
          <w:szCs w:val="24"/>
        </w:rPr>
        <w:t xml:space="preserve"> (1), 138–153. https://doi.org/10.5513/JCEA01/23.1.3361.</w:t>
      </w:r>
    </w:p>
    <w:p w14:paraId="1E50432C" w14:textId="2B007224" w:rsidR="005E13E8" w:rsidRPr="00E547AD" w:rsidRDefault="00F64D93" w:rsidP="00F64D93">
      <w:pPr>
        <w:rPr>
          <w:rFonts w:ascii="Times New Roman" w:hAnsi="Times New Roman" w:cs="Times New Roman"/>
        </w:rPr>
      </w:pPr>
      <w:r w:rsidRPr="00E547AD">
        <w:rPr>
          <w:rFonts w:ascii="Times New Roman" w:hAnsi="Times New Roman" w:cs="Times New Roman"/>
        </w:rPr>
        <w:fldChar w:fldCharType="end"/>
      </w:r>
    </w:p>
    <w:p w14:paraId="5A06374E" w14:textId="3B8490CA" w:rsidR="005E13E8" w:rsidRPr="00E547AD" w:rsidRDefault="005E13E8">
      <w:pPr>
        <w:rPr>
          <w:rFonts w:ascii="Times New Roman" w:hAnsi="Times New Roman" w:cs="Times New Roman"/>
        </w:rPr>
      </w:pPr>
    </w:p>
    <w:p w14:paraId="67B36CF9" w14:textId="69687342" w:rsidR="005E13E8" w:rsidRPr="00E547AD" w:rsidRDefault="005E13E8">
      <w:pPr>
        <w:rPr>
          <w:rFonts w:ascii="Times New Roman" w:hAnsi="Times New Roman" w:cs="Times New Roman"/>
        </w:rPr>
      </w:pPr>
    </w:p>
    <w:p w14:paraId="671A8CE8" w14:textId="009C89A2" w:rsidR="005E13E8" w:rsidRPr="00E547AD" w:rsidRDefault="005E13E8">
      <w:pPr>
        <w:rPr>
          <w:rFonts w:ascii="Times New Roman" w:hAnsi="Times New Roman" w:cs="Times New Roman"/>
        </w:rPr>
      </w:pPr>
    </w:p>
    <w:p w14:paraId="1058CE2B" w14:textId="39E9F195" w:rsidR="005E13E8" w:rsidRPr="00E547AD" w:rsidRDefault="005E13E8">
      <w:pPr>
        <w:rPr>
          <w:rFonts w:ascii="Times New Roman" w:hAnsi="Times New Roman" w:cs="Times New Roman"/>
        </w:rPr>
      </w:pPr>
    </w:p>
    <w:p w14:paraId="5EE5BBAE" w14:textId="2E5DDC93" w:rsidR="005E13E8" w:rsidRPr="00E547AD" w:rsidRDefault="005E13E8">
      <w:pPr>
        <w:rPr>
          <w:rFonts w:ascii="Times New Roman" w:hAnsi="Times New Roman" w:cs="Times New Roman"/>
        </w:rPr>
      </w:pPr>
    </w:p>
    <w:p w14:paraId="61E3CF7D" w14:textId="278A1E63" w:rsidR="005E13E8" w:rsidRPr="00E547AD" w:rsidRDefault="005E13E8">
      <w:pPr>
        <w:rPr>
          <w:rFonts w:ascii="Times New Roman" w:hAnsi="Times New Roman" w:cs="Times New Roman"/>
        </w:rPr>
      </w:pPr>
    </w:p>
    <w:p w14:paraId="78BC7E6C" w14:textId="724AF9DB" w:rsidR="003658D8" w:rsidRPr="00E547AD" w:rsidRDefault="003658D8">
      <w:pPr>
        <w:rPr>
          <w:rFonts w:ascii="Times New Roman" w:hAnsi="Times New Roman" w:cs="Times New Roman"/>
        </w:rPr>
      </w:pPr>
    </w:p>
    <w:p w14:paraId="416033E1" w14:textId="22B3192E" w:rsidR="003658D8" w:rsidRPr="00E547AD" w:rsidRDefault="003658D8">
      <w:pPr>
        <w:rPr>
          <w:rFonts w:ascii="Times New Roman" w:hAnsi="Times New Roman" w:cs="Times New Roman"/>
        </w:rPr>
      </w:pPr>
    </w:p>
    <w:p w14:paraId="4BD9B667" w14:textId="77777777" w:rsidR="003658D8" w:rsidRPr="00E547AD" w:rsidRDefault="003658D8">
      <w:pPr>
        <w:rPr>
          <w:rFonts w:ascii="Times New Roman" w:hAnsi="Times New Roman" w:cs="Times New Roman"/>
        </w:rPr>
      </w:pPr>
    </w:p>
    <w:p w14:paraId="23B9E147" w14:textId="2D0413F8" w:rsidR="005E13E8" w:rsidRPr="00E547AD" w:rsidRDefault="005E13E8">
      <w:pPr>
        <w:rPr>
          <w:rFonts w:ascii="Times New Roman" w:hAnsi="Times New Roman" w:cs="Times New Roman"/>
        </w:rPr>
      </w:pPr>
    </w:p>
    <w:p w14:paraId="3B3ED81D" w14:textId="5E4679D0" w:rsidR="003658D8" w:rsidRPr="00E547AD" w:rsidRDefault="0000692C">
      <w:pPr>
        <w:rPr>
          <w:rFonts w:ascii="Times New Roman" w:hAnsi="Times New Roman" w:cs="Times New Roman"/>
        </w:rPr>
      </w:pPr>
      <w:r w:rsidRPr="00E547AD">
        <w:rPr>
          <w:rFonts w:ascii="Times New Roman" w:hAnsi="Times New Roman" w:cs="Times New Roman"/>
        </w:rPr>
        <w:t xml:space="preserve"> </w:t>
      </w:r>
      <w:r w:rsidRPr="00E547AD">
        <w:rPr>
          <w:rFonts w:ascii="Times New Roman" w:hAnsi="Times New Roman" w:cs="Times New Roman"/>
          <w:noProof/>
        </w:rPr>
        <w:lastRenderedPageBreak/>
        <w:drawing>
          <wp:inline distT="0" distB="0" distL="0" distR="0" wp14:anchorId="488DAA36" wp14:editId="7269C20E">
            <wp:extent cx="5274310" cy="3260944"/>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260944"/>
                    </a:xfrm>
                    <a:prstGeom prst="rect">
                      <a:avLst/>
                    </a:prstGeom>
                    <a:noFill/>
                    <a:ln>
                      <a:noFill/>
                    </a:ln>
                  </pic:spPr>
                </pic:pic>
              </a:graphicData>
            </a:graphic>
          </wp:inline>
        </w:drawing>
      </w:r>
    </w:p>
    <w:p w14:paraId="0F007D46" w14:textId="344D0B5F" w:rsidR="003658D8" w:rsidRDefault="003E03B9" w:rsidP="00E51CC5">
      <w:pPr>
        <w:outlineLvl w:val="1"/>
        <w:rPr>
          <w:rFonts w:ascii="Times New Roman" w:eastAsia="宋体" w:hAnsi="Times New Roman" w:cs="Times New Roman"/>
          <w:sz w:val="24"/>
          <w:szCs w:val="24"/>
        </w:rPr>
      </w:pPr>
      <w:r w:rsidRPr="00E547AD">
        <w:rPr>
          <w:rFonts w:ascii="Times New Roman" w:eastAsia="宋体" w:hAnsi="Times New Roman" w:cs="Times New Roman"/>
          <w:b/>
          <w:bCs/>
          <w:sz w:val="24"/>
          <w:szCs w:val="24"/>
        </w:rPr>
        <w:t>Fig. S1</w:t>
      </w:r>
      <w:r w:rsidRPr="00E547AD">
        <w:rPr>
          <w:rFonts w:ascii="Times New Roman" w:eastAsia="宋体" w:hAnsi="Times New Roman" w:cs="Times New Roman"/>
          <w:bCs/>
          <w:sz w:val="24"/>
          <w:szCs w:val="24"/>
        </w:rPr>
        <w:t xml:space="preserve"> Extracted ion chromatograms (EIC) of the atrazine</w:t>
      </w:r>
      <w:r w:rsidRPr="00E547AD">
        <w:rPr>
          <w:rFonts w:ascii="Times New Roman" w:hAnsi="Times New Roman" w:cs="Times New Roman"/>
          <w:sz w:val="24"/>
          <w:szCs w:val="24"/>
        </w:rPr>
        <w:t>, the surrogate desethylatrazine-</w:t>
      </w:r>
      <w:r w:rsidRPr="00E547AD">
        <w:rPr>
          <w:rFonts w:ascii="Times New Roman" w:hAnsi="Times New Roman" w:cs="Times New Roman"/>
          <w:sz w:val="24"/>
          <w:szCs w:val="24"/>
          <w:vertAlign w:val="superscript"/>
        </w:rPr>
        <w:t>1</w:t>
      </w:r>
      <w:r w:rsidR="00E547AD" w:rsidRPr="00E547AD">
        <w:rPr>
          <w:rFonts w:ascii="Times New Roman" w:hAnsi="Times New Roman" w:cs="Times New Roman"/>
          <w:sz w:val="24"/>
          <w:szCs w:val="24"/>
          <w:vertAlign w:val="superscript"/>
        </w:rPr>
        <w:t>3</w:t>
      </w:r>
      <w:r w:rsidRPr="00E547AD">
        <w:rPr>
          <w:rFonts w:ascii="Times New Roman" w:hAnsi="Times New Roman" w:cs="Times New Roman"/>
          <w:sz w:val="24"/>
          <w:szCs w:val="24"/>
        </w:rPr>
        <w:t>C,</w:t>
      </w:r>
      <w:r w:rsidRPr="00E547AD">
        <w:rPr>
          <w:rFonts w:ascii="Times New Roman" w:eastAsia="宋体" w:hAnsi="Times New Roman" w:cs="Times New Roman"/>
          <w:bCs/>
          <w:sz w:val="24"/>
          <w:szCs w:val="24"/>
        </w:rPr>
        <w:t xml:space="preserve"> and the internal standard atrazine-</w:t>
      </w:r>
      <w:r w:rsidRPr="00E547AD">
        <w:rPr>
          <w:rFonts w:ascii="Times New Roman" w:eastAsia="宋体" w:hAnsi="Times New Roman" w:cs="Times New Roman"/>
          <w:bCs/>
          <w:sz w:val="24"/>
          <w:szCs w:val="24"/>
          <w:vertAlign w:val="superscript"/>
        </w:rPr>
        <w:t>13</w:t>
      </w:r>
      <w:r w:rsidRPr="00E547AD">
        <w:rPr>
          <w:rFonts w:ascii="Times New Roman" w:eastAsia="宋体" w:hAnsi="Times New Roman" w:cs="Times New Roman"/>
          <w:bCs/>
          <w:sz w:val="24"/>
          <w:szCs w:val="24"/>
        </w:rPr>
        <w:t>C in the samples, respectively.</w:t>
      </w:r>
      <w:r w:rsidRPr="00E547AD">
        <w:rPr>
          <w:rFonts w:ascii="Times New Roman" w:eastAsia="宋体" w:hAnsi="Times New Roman" w:cs="Times New Roman"/>
          <w:sz w:val="24"/>
          <w:szCs w:val="24"/>
        </w:rPr>
        <w:t xml:space="preserve"> </w:t>
      </w:r>
    </w:p>
    <w:p w14:paraId="0ABA1594" w14:textId="20EDDFA6" w:rsidR="003B5AE7" w:rsidRDefault="003B5AE7" w:rsidP="007075B0">
      <w:pPr>
        <w:rPr>
          <w:rFonts w:ascii="Times New Roman" w:hAnsi="Times New Roman" w:cs="Times New Roman"/>
        </w:rPr>
      </w:pPr>
    </w:p>
    <w:p w14:paraId="60A9B80C" w14:textId="3A63769F" w:rsidR="007075B0" w:rsidRDefault="007075B0">
      <w:pPr>
        <w:widowControl/>
        <w:jc w:val="left"/>
        <w:rPr>
          <w:rFonts w:ascii="Times New Roman" w:hAnsi="Times New Roman" w:cs="Times New Roman"/>
        </w:rPr>
      </w:pPr>
      <w:r>
        <w:rPr>
          <w:rFonts w:ascii="Times New Roman" w:hAnsi="Times New Roman" w:cs="Times New Roman"/>
        </w:rPr>
        <w:br w:type="page"/>
      </w:r>
    </w:p>
    <w:p w14:paraId="3DA7D736" w14:textId="1F4C5842" w:rsidR="00103BF5" w:rsidRPr="00E51CC5" w:rsidRDefault="00E51CC5">
      <w:pPr>
        <w:rPr>
          <w:rFonts w:ascii="Times New Roman" w:hAnsi="Times New Roman" w:cs="Times New Roman"/>
        </w:rPr>
      </w:pPr>
      <w:r w:rsidRPr="00E51CC5">
        <w:lastRenderedPageBreak/>
        <w:t xml:space="preserve"> </w:t>
      </w:r>
      <w:r w:rsidR="00A03C38" w:rsidRPr="00A03C38">
        <w:t xml:space="preserve"> </w:t>
      </w:r>
      <w:r w:rsidR="00A03C38">
        <w:rPr>
          <w:noProof/>
        </w:rPr>
        <w:drawing>
          <wp:inline distT="0" distB="0" distL="0" distR="0" wp14:anchorId="2B9D2070" wp14:editId="17B53F5C">
            <wp:extent cx="5274310" cy="4143890"/>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143890"/>
                    </a:xfrm>
                    <a:prstGeom prst="rect">
                      <a:avLst/>
                    </a:prstGeom>
                    <a:noFill/>
                    <a:ln>
                      <a:noFill/>
                    </a:ln>
                  </pic:spPr>
                </pic:pic>
              </a:graphicData>
            </a:graphic>
          </wp:inline>
        </w:drawing>
      </w:r>
    </w:p>
    <w:p w14:paraId="47C96446" w14:textId="5841769D" w:rsidR="00103BF5" w:rsidRPr="00E51CC5" w:rsidRDefault="00103BF5" w:rsidP="00E51CC5">
      <w:pPr>
        <w:outlineLvl w:val="1"/>
        <w:rPr>
          <w:rFonts w:ascii="Times New Roman" w:hAnsi="Times New Roman" w:cs="Times New Roman"/>
          <w:sz w:val="24"/>
          <w:szCs w:val="24"/>
        </w:rPr>
      </w:pPr>
      <w:r w:rsidRPr="00E51CC5">
        <w:rPr>
          <w:rFonts w:ascii="Times New Roman" w:hAnsi="Times New Roman" w:cs="Times New Roman"/>
          <w:b/>
          <w:sz w:val="24"/>
          <w:szCs w:val="24"/>
        </w:rPr>
        <w:t>Fig. S</w:t>
      </w:r>
      <w:r w:rsidR="003E03B9" w:rsidRPr="00E51CC5">
        <w:rPr>
          <w:rFonts w:ascii="Times New Roman" w:hAnsi="Times New Roman" w:cs="Times New Roman"/>
          <w:b/>
          <w:sz w:val="24"/>
          <w:szCs w:val="24"/>
        </w:rPr>
        <w:t>2</w:t>
      </w:r>
      <w:r w:rsidRPr="00E51CC5">
        <w:rPr>
          <w:rFonts w:ascii="Times New Roman" w:hAnsi="Times New Roman" w:cs="Times New Roman"/>
          <w:sz w:val="24"/>
          <w:szCs w:val="24"/>
        </w:rPr>
        <w:t xml:space="preserve"> Annual spatial distribution of parameters related to comprehensive water inflow coefficient, including (A) sub-basin classify, (B) retain index, (C) precipitation index, (D) runoff index, (E) subsurface water index, and (F) terrain index.</w:t>
      </w:r>
    </w:p>
    <w:p w14:paraId="21B40C3F" w14:textId="77777777" w:rsidR="007D38E5" w:rsidRPr="00E547AD" w:rsidRDefault="007D38E5" w:rsidP="007D38E5">
      <w:pPr>
        <w:pStyle w:val="aa"/>
        <w:spacing w:before="156"/>
        <w:rPr>
          <w:rFonts w:cs="Times New Roman"/>
        </w:rPr>
      </w:pPr>
      <w:r w:rsidRPr="00E547AD">
        <w:rPr>
          <w:rFonts w:cs="Times New Roman"/>
          <w:noProof/>
        </w:rPr>
        <w:drawing>
          <wp:inline distT="0" distB="0" distL="0" distR="0" wp14:anchorId="156362AE" wp14:editId="20CD70E0">
            <wp:extent cx="3050540" cy="30505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0540" cy="3050540"/>
                    </a:xfrm>
                    <a:prstGeom prst="rect">
                      <a:avLst/>
                    </a:prstGeom>
                    <a:noFill/>
                    <a:ln>
                      <a:noFill/>
                    </a:ln>
                  </pic:spPr>
                </pic:pic>
              </a:graphicData>
            </a:graphic>
          </wp:inline>
        </w:drawing>
      </w:r>
    </w:p>
    <w:p w14:paraId="13469233" w14:textId="0A002855" w:rsidR="007D38E5" w:rsidRPr="00E51CC5" w:rsidRDefault="007D38E5" w:rsidP="00E51CC5">
      <w:pPr>
        <w:spacing w:line="400" w:lineRule="exact"/>
        <w:jc w:val="center"/>
        <w:outlineLvl w:val="1"/>
        <w:rPr>
          <w:rFonts w:ascii="Times New Roman" w:hAnsi="Times New Roman" w:cs="Times New Roman"/>
          <w:sz w:val="24"/>
        </w:rPr>
      </w:pPr>
      <w:r w:rsidRPr="00E51CC5">
        <w:rPr>
          <w:rFonts w:ascii="Times New Roman" w:hAnsi="Times New Roman" w:cs="Times New Roman"/>
          <w:b/>
          <w:sz w:val="24"/>
        </w:rPr>
        <w:t>Fig. S</w:t>
      </w:r>
      <w:r w:rsidR="003E03B9" w:rsidRPr="00E51CC5">
        <w:rPr>
          <w:rFonts w:ascii="Times New Roman" w:hAnsi="Times New Roman" w:cs="Times New Roman"/>
          <w:b/>
          <w:sz w:val="24"/>
        </w:rPr>
        <w:t>3</w:t>
      </w:r>
      <w:r w:rsidRPr="00E51CC5">
        <w:rPr>
          <w:rFonts w:ascii="Times New Roman" w:hAnsi="Times New Roman" w:cs="Times New Roman"/>
          <w:b/>
          <w:sz w:val="24"/>
        </w:rPr>
        <w:t xml:space="preserve"> </w:t>
      </w:r>
      <w:r w:rsidRPr="00E51CC5">
        <w:rPr>
          <w:rFonts w:ascii="Times New Roman" w:hAnsi="Times New Roman" w:cs="Times New Roman"/>
          <w:sz w:val="24"/>
        </w:rPr>
        <w:t>Atrazine occurrence in China before and after reduction policy. The red point indicates level of atrazine in Yellow River Watershed (YRW).</w:t>
      </w:r>
    </w:p>
    <w:p w14:paraId="0C682BBD" w14:textId="77777777" w:rsidR="007D38E5" w:rsidRPr="00E547AD" w:rsidRDefault="007D38E5" w:rsidP="007D38E5">
      <w:pPr>
        <w:pStyle w:val="aa"/>
        <w:spacing w:before="156"/>
        <w:rPr>
          <w:rFonts w:cs="Times New Roman"/>
        </w:rPr>
      </w:pPr>
      <w:r w:rsidRPr="00E547AD">
        <w:rPr>
          <w:rFonts w:cs="Times New Roman"/>
          <w:noProof/>
        </w:rPr>
        <w:lastRenderedPageBreak/>
        <w:drawing>
          <wp:inline distT="0" distB="0" distL="0" distR="0" wp14:anchorId="48D9533C" wp14:editId="545AF771">
            <wp:extent cx="3592830" cy="304800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92830" cy="3048000"/>
                    </a:xfrm>
                    <a:prstGeom prst="rect">
                      <a:avLst/>
                    </a:prstGeom>
                    <a:noFill/>
                    <a:ln>
                      <a:noFill/>
                    </a:ln>
                  </pic:spPr>
                </pic:pic>
              </a:graphicData>
            </a:graphic>
          </wp:inline>
        </w:drawing>
      </w:r>
    </w:p>
    <w:p w14:paraId="13629ACD" w14:textId="76137B28" w:rsidR="007D38E5" w:rsidRPr="00E51CC5" w:rsidRDefault="007D38E5" w:rsidP="00E51CC5">
      <w:pPr>
        <w:jc w:val="center"/>
        <w:outlineLvl w:val="1"/>
        <w:rPr>
          <w:rFonts w:ascii="Times New Roman" w:hAnsi="Times New Roman" w:cs="Times New Roman"/>
          <w:sz w:val="24"/>
        </w:rPr>
      </w:pPr>
      <w:r w:rsidRPr="00E51CC5">
        <w:rPr>
          <w:rFonts w:ascii="Times New Roman" w:hAnsi="Times New Roman" w:cs="Times New Roman"/>
          <w:b/>
          <w:sz w:val="24"/>
        </w:rPr>
        <w:t>Fig. S</w:t>
      </w:r>
      <w:r w:rsidR="003E03B9" w:rsidRPr="00E51CC5">
        <w:rPr>
          <w:rFonts w:ascii="Times New Roman" w:hAnsi="Times New Roman" w:cs="Times New Roman"/>
          <w:b/>
          <w:sz w:val="24"/>
        </w:rPr>
        <w:t>4</w:t>
      </w:r>
      <w:r w:rsidRPr="00E51CC5">
        <w:rPr>
          <w:rFonts w:ascii="Times New Roman" w:hAnsi="Times New Roman" w:cs="Times New Roman"/>
          <w:sz w:val="24"/>
        </w:rPr>
        <w:t xml:space="preserve"> </w:t>
      </w:r>
      <w:r w:rsidR="008E78E0">
        <w:rPr>
          <w:rFonts w:ascii="Times New Roman" w:hAnsi="Times New Roman" w:cs="Times New Roman"/>
          <w:sz w:val="24"/>
        </w:rPr>
        <w:t>Estimated atrazine c</w:t>
      </w:r>
      <w:r w:rsidRPr="00E51CC5">
        <w:rPr>
          <w:rFonts w:ascii="Times New Roman" w:hAnsi="Times New Roman" w:cs="Times New Roman"/>
          <w:sz w:val="24"/>
        </w:rPr>
        <w:t>oncentration in the water of the Yellow River Watershed</w:t>
      </w:r>
    </w:p>
    <w:p w14:paraId="3491E671" w14:textId="77777777" w:rsidR="007075B0" w:rsidRDefault="007075B0" w:rsidP="00E51CC5">
      <w:pPr>
        <w:spacing w:line="480" w:lineRule="auto"/>
        <w:rPr>
          <w:rFonts w:ascii="Times New Roman" w:hAnsi="Times New Roman" w:cs="Times New Roman"/>
          <w:b/>
          <w:sz w:val="24"/>
        </w:rPr>
      </w:pPr>
    </w:p>
    <w:p w14:paraId="274F046E" w14:textId="14CA1DF3" w:rsidR="007D38E5" w:rsidRPr="00E547AD" w:rsidRDefault="007D38E5" w:rsidP="007D38E5">
      <w:pPr>
        <w:rPr>
          <w:rFonts w:ascii="Times New Roman" w:hAnsi="Times New Roman" w:cs="Times New Roman"/>
        </w:rPr>
      </w:pPr>
    </w:p>
    <w:p w14:paraId="1C0B86D7" w14:textId="01409A56" w:rsidR="007D38E5" w:rsidRPr="00E547AD" w:rsidRDefault="007D38E5">
      <w:pPr>
        <w:rPr>
          <w:rFonts w:ascii="Times New Roman" w:hAnsi="Times New Roman" w:cs="Times New Roman"/>
        </w:rPr>
      </w:pPr>
    </w:p>
    <w:p w14:paraId="266D7982" w14:textId="50DB46C5" w:rsidR="007D38E5" w:rsidRPr="00E547AD" w:rsidRDefault="007D38E5">
      <w:pPr>
        <w:rPr>
          <w:rFonts w:ascii="Times New Roman" w:hAnsi="Times New Roman" w:cs="Times New Roman"/>
        </w:rPr>
      </w:pPr>
    </w:p>
    <w:p w14:paraId="0736D10B" w14:textId="5CFE4A24" w:rsidR="007D38E5" w:rsidRPr="00E547AD" w:rsidRDefault="007D38E5">
      <w:pPr>
        <w:rPr>
          <w:rFonts w:ascii="Times New Roman" w:hAnsi="Times New Roman" w:cs="Times New Roman"/>
        </w:rPr>
      </w:pPr>
    </w:p>
    <w:p w14:paraId="226F3B4B" w14:textId="20427B86" w:rsidR="007D38E5" w:rsidRPr="00E547AD" w:rsidRDefault="007D38E5">
      <w:pPr>
        <w:rPr>
          <w:rFonts w:ascii="Times New Roman" w:hAnsi="Times New Roman" w:cs="Times New Roman"/>
        </w:rPr>
      </w:pPr>
    </w:p>
    <w:p w14:paraId="31897DE6" w14:textId="77777777" w:rsidR="007D38E5" w:rsidRPr="00E547AD" w:rsidRDefault="007D38E5">
      <w:pPr>
        <w:rPr>
          <w:rFonts w:ascii="Times New Roman" w:hAnsi="Times New Roman" w:cs="Times New Roman"/>
        </w:rPr>
      </w:pPr>
    </w:p>
    <w:p w14:paraId="394A3D8A" w14:textId="77777777" w:rsidR="00103BF5" w:rsidRPr="00E547AD" w:rsidRDefault="00103BF5">
      <w:pPr>
        <w:rPr>
          <w:rFonts w:ascii="Times New Roman" w:hAnsi="Times New Roman" w:cs="Times New Roman"/>
        </w:rPr>
      </w:pPr>
    </w:p>
    <w:sectPr w:rsidR="00103BF5" w:rsidRPr="00E547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1A140E" w14:textId="77777777" w:rsidR="00C95E73" w:rsidRDefault="00C95E73" w:rsidP="00103BF5">
      <w:r>
        <w:separator/>
      </w:r>
    </w:p>
  </w:endnote>
  <w:endnote w:type="continuationSeparator" w:id="0">
    <w:p w14:paraId="01B9EB71" w14:textId="77777777" w:rsidR="00C95E73" w:rsidRDefault="00C95E73" w:rsidP="0010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CE664" w14:textId="77777777" w:rsidR="00C95E73" w:rsidRDefault="00C95E73" w:rsidP="00103BF5">
      <w:r>
        <w:separator/>
      </w:r>
    </w:p>
  </w:footnote>
  <w:footnote w:type="continuationSeparator" w:id="0">
    <w:p w14:paraId="6D19E2E0" w14:textId="77777777" w:rsidR="00C95E73" w:rsidRDefault="00C95E73" w:rsidP="00103B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034077"/>
    <w:multiLevelType w:val="hybridMultilevel"/>
    <w:tmpl w:val="59A0CC00"/>
    <w:lvl w:ilvl="0" w:tplc="0F800656">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15:restartNumberingAfterBreak="0">
    <w:nsid w:val="31F94AAE"/>
    <w:multiLevelType w:val="hybridMultilevel"/>
    <w:tmpl w:val="5BD45362"/>
    <w:lvl w:ilvl="0" w:tplc="1F3CC9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B46"/>
    <w:rsid w:val="0000692C"/>
    <w:rsid w:val="0006155D"/>
    <w:rsid w:val="000A7B46"/>
    <w:rsid w:val="000B21AA"/>
    <w:rsid w:val="000D21D0"/>
    <w:rsid w:val="000D4BC3"/>
    <w:rsid w:val="0010388B"/>
    <w:rsid w:val="00103BF5"/>
    <w:rsid w:val="001102FE"/>
    <w:rsid w:val="001112F5"/>
    <w:rsid w:val="00140B7E"/>
    <w:rsid w:val="0015375F"/>
    <w:rsid w:val="00174083"/>
    <w:rsid w:val="001C0CED"/>
    <w:rsid w:val="001C6F27"/>
    <w:rsid w:val="001F3BB5"/>
    <w:rsid w:val="00220E86"/>
    <w:rsid w:val="002C38DE"/>
    <w:rsid w:val="002C4BB1"/>
    <w:rsid w:val="002D64E5"/>
    <w:rsid w:val="002F279B"/>
    <w:rsid w:val="00315141"/>
    <w:rsid w:val="003658D8"/>
    <w:rsid w:val="003B55F3"/>
    <w:rsid w:val="003B5AE7"/>
    <w:rsid w:val="003E03B9"/>
    <w:rsid w:val="00430444"/>
    <w:rsid w:val="004357CA"/>
    <w:rsid w:val="004360DE"/>
    <w:rsid w:val="00442F3F"/>
    <w:rsid w:val="00450B0B"/>
    <w:rsid w:val="004627AA"/>
    <w:rsid w:val="004D3630"/>
    <w:rsid w:val="004D75E2"/>
    <w:rsid w:val="005001B3"/>
    <w:rsid w:val="005272A9"/>
    <w:rsid w:val="00545D20"/>
    <w:rsid w:val="00555F71"/>
    <w:rsid w:val="005835D3"/>
    <w:rsid w:val="005B1254"/>
    <w:rsid w:val="005C33F1"/>
    <w:rsid w:val="005E13E8"/>
    <w:rsid w:val="005E34EB"/>
    <w:rsid w:val="005E3C0D"/>
    <w:rsid w:val="00604412"/>
    <w:rsid w:val="006055F0"/>
    <w:rsid w:val="00616634"/>
    <w:rsid w:val="006458F5"/>
    <w:rsid w:val="006479D7"/>
    <w:rsid w:val="00653A5C"/>
    <w:rsid w:val="00694227"/>
    <w:rsid w:val="006D4594"/>
    <w:rsid w:val="006F1DDD"/>
    <w:rsid w:val="007075B0"/>
    <w:rsid w:val="007214F0"/>
    <w:rsid w:val="0072655A"/>
    <w:rsid w:val="007B1085"/>
    <w:rsid w:val="007D38E5"/>
    <w:rsid w:val="008523B3"/>
    <w:rsid w:val="00874D78"/>
    <w:rsid w:val="008908E9"/>
    <w:rsid w:val="008C6335"/>
    <w:rsid w:val="008D3562"/>
    <w:rsid w:val="008E78E0"/>
    <w:rsid w:val="008F2B86"/>
    <w:rsid w:val="009147EB"/>
    <w:rsid w:val="00924FAA"/>
    <w:rsid w:val="009258BC"/>
    <w:rsid w:val="00931C50"/>
    <w:rsid w:val="00944880"/>
    <w:rsid w:val="00960788"/>
    <w:rsid w:val="009642EA"/>
    <w:rsid w:val="00993D81"/>
    <w:rsid w:val="009F1F5A"/>
    <w:rsid w:val="00A03C38"/>
    <w:rsid w:val="00A83BF2"/>
    <w:rsid w:val="00A96038"/>
    <w:rsid w:val="00AB4C45"/>
    <w:rsid w:val="00AC1E60"/>
    <w:rsid w:val="00AE51DF"/>
    <w:rsid w:val="00AE55E3"/>
    <w:rsid w:val="00B06B8E"/>
    <w:rsid w:val="00B37B2E"/>
    <w:rsid w:val="00B660B5"/>
    <w:rsid w:val="00B76BF1"/>
    <w:rsid w:val="00C15E19"/>
    <w:rsid w:val="00C172C6"/>
    <w:rsid w:val="00C30D3C"/>
    <w:rsid w:val="00C4419F"/>
    <w:rsid w:val="00C53124"/>
    <w:rsid w:val="00C778B8"/>
    <w:rsid w:val="00C87F8B"/>
    <w:rsid w:val="00C95E73"/>
    <w:rsid w:val="00CC5182"/>
    <w:rsid w:val="00CD2934"/>
    <w:rsid w:val="00D2018B"/>
    <w:rsid w:val="00D54A21"/>
    <w:rsid w:val="00D566CA"/>
    <w:rsid w:val="00D64C32"/>
    <w:rsid w:val="00E00707"/>
    <w:rsid w:val="00E51CC5"/>
    <w:rsid w:val="00E547AD"/>
    <w:rsid w:val="00E56709"/>
    <w:rsid w:val="00E80B21"/>
    <w:rsid w:val="00ED38F2"/>
    <w:rsid w:val="00F06EE7"/>
    <w:rsid w:val="00F648AD"/>
    <w:rsid w:val="00F64D93"/>
    <w:rsid w:val="00FE6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1ACD5A"/>
  <w15:chartTrackingRefBased/>
  <w15:docId w15:val="{45750079-C1EB-421F-A6D2-377DA4F6B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3A5C"/>
    <w:pPr>
      <w:widowControl w:val="0"/>
      <w:jc w:val="both"/>
    </w:pPr>
  </w:style>
  <w:style w:type="paragraph" w:styleId="2">
    <w:name w:val="heading 2"/>
    <w:basedOn w:val="a"/>
    <w:next w:val="a"/>
    <w:link w:val="20"/>
    <w:autoRedefine/>
    <w:uiPriority w:val="9"/>
    <w:qFormat/>
    <w:rsid w:val="005272A9"/>
    <w:pPr>
      <w:keepNext/>
      <w:keepLines/>
      <w:adjustRightInd w:val="0"/>
      <w:snapToGrid w:val="0"/>
      <w:spacing w:beforeLines="100" w:before="100" w:afterLines="100" w:after="100" w:line="400" w:lineRule="exact"/>
      <w:jc w:val="left"/>
      <w:outlineLvl w:val="1"/>
    </w:pPr>
    <w:rPr>
      <w:rFonts w:ascii="Times New Roman" w:eastAsia="黑体" w:hAnsi="Times New Roman" w:cs="Times New Roman"/>
      <w:b/>
      <w:bCs/>
      <w:color w:val="000000" w:themeColor="text1"/>
      <w:sz w:val="30"/>
      <w:szCs w:val="30"/>
    </w:rPr>
  </w:style>
  <w:style w:type="paragraph" w:styleId="3">
    <w:name w:val="heading 3"/>
    <w:basedOn w:val="a"/>
    <w:next w:val="a"/>
    <w:link w:val="30"/>
    <w:uiPriority w:val="9"/>
    <w:unhideWhenUsed/>
    <w:qFormat/>
    <w:rsid w:val="005272A9"/>
    <w:pPr>
      <w:keepNext/>
      <w:keepLines/>
      <w:spacing w:before="260" w:after="260" w:line="400" w:lineRule="exact"/>
      <w:outlineLvl w:val="2"/>
    </w:pPr>
    <w:rPr>
      <w:rFonts w:ascii="Times New Roman" w:eastAsia="黑体" w:hAnsi="Times New Roman"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5272A9"/>
    <w:rPr>
      <w:rFonts w:ascii="Times New Roman" w:eastAsia="黑体" w:hAnsi="Times New Roman" w:cs="Times New Roman"/>
      <w:b/>
      <w:bCs/>
      <w:color w:val="000000" w:themeColor="text1"/>
      <w:sz w:val="30"/>
      <w:szCs w:val="30"/>
    </w:rPr>
  </w:style>
  <w:style w:type="character" w:customStyle="1" w:styleId="30">
    <w:name w:val="标题 3 字符"/>
    <w:basedOn w:val="a0"/>
    <w:link w:val="3"/>
    <w:uiPriority w:val="9"/>
    <w:rsid w:val="005272A9"/>
    <w:rPr>
      <w:rFonts w:ascii="Times New Roman" w:eastAsia="黑体" w:hAnsi="Times New Roman" w:cs="Times New Roman"/>
      <w:b/>
      <w:bCs/>
      <w:sz w:val="28"/>
      <w:szCs w:val="32"/>
    </w:rPr>
  </w:style>
  <w:style w:type="paragraph" w:styleId="a3">
    <w:name w:val="caption"/>
    <w:basedOn w:val="a"/>
    <w:next w:val="a"/>
    <w:link w:val="a4"/>
    <w:uiPriority w:val="35"/>
    <w:unhideWhenUsed/>
    <w:qFormat/>
    <w:rsid w:val="006D4594"/>
    <w:pPr>
      <w:spacing w:line="360" w:lineRule="auto"/>
      <w:jc w:val="center"/>
    </w:pPr>
    <w:rPr>
      <w:rFonts w:ascii="Times New Roman" w:eastAsia="黑体" w:hAnsi="Times New Roman" w:cs="Times New Roman"/>
      <w:kern w:val="0"/>
      <w:szCs w:val="20"/>
    </w:rPr>
  </w:style>
  <w:style w:type="character" w:customStyle="1" w:styleId="a4">
    <w:name w:val="题注 字符"/>
    <w:link w:val="a3"/>
    <w:uiPriority w:val="35"/>
    <w:qFormat/>
    <w:rsid w:val="006D4594"/>
    <w:rPr>
      <w:rFonts w:ascii="Times New Roman" w:eastAsia="黑体" w:hAnsi="Times New Roman" w:cs="Times New Roman"/>
      <w:kern w:val="0"/>
      <w:szCs w:val="20"/>
    </w:rPr>
  </w:style>
  <w:style w:type="paragraph" w:styleId="a5">
    <w:name w:val="header"/>
    <w:basedOn w:val="a"/>
    <w:link w:val="a6"/>
    <w:uiPriority w:val="99"/>
    <w:unhideWhenUsed/>
    <w:rsid w:val="00103BF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03BF5"/>
    <w:rPr>
      <w:sz w:val="18"/>
      <w:szCs w:val="18"/>
    </w:rPr>
  </w:style>
  <w:style w:type="paragraph" w:styleId="a7">
    <w:name w:val="footer"/>
    <w:basedOn w:val="a"/>
    <w:link w:val="a8"/>
    <w:uiPriority w:val="99"/>
    <w:unhideWhenUsed/>
    <w:rsid w:val="00103BF5"/>
    <w:pPr>
      <w:tabs>
        <w:tab w:val="center" w:pos="4153"/>
        <w:tab w:val="right" w:pos="8306"/>
      </w:tabs>
      <w:snapToGrid w:val="0"/>
      <w:jc w:val="left"/>
    </w:pPr>
    <w:rPr>
      <w:sz w:val="18"/>
      <w:szCs w:val="18"/>
    </w:rPr>
  </w:style>
  <w:style w:type="character" w:customStyle="1" w:styleId="a8">
    <w:name w:val="页脚 字符"/>
    <w:basedOn w:val="a0"/>
    <w:link w:val="a7"/>
    <w:uiPriority w:val="99"/>
    <w:rsid w:val="00103BF5"/>
    <w:rPr>
      <w:sz w:val="18"/>
      <w:szCs w:val="18"/>
    </w:rPr>
  </w:style>
  <w:style w:type="table" w:styleId="a9">
    <w:name w:val="Table Grid"/>
    <w:basedOn w:val="a1"/>
    <w:uiPriority w:val="39"/>
    <w:rsid w:val="007D38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图片"/>
    <w:next w:val="a"/>
    <w:link w:val="ab"/>
    <w:qFormat/>
    <w:rsid w:val="007D38E5"/>
    <w:pPr>
      <w:spacing w:beforeLines="50" w:before="50"/>
      <w:jc w:val="center"/>
    </w:pPr>
    <w:rPr>
      <w:rFonts w:ascii="Times New Roman" w:eastAsia="宋体" w:hAnsi="Times New Roman" w:cs="宋体"/>
      <w:b/>
      <w:bCs/>
      <w:szCs w:val="20"/>
    </w:rPr>
  </w:style>
  <w:style w:type="character" w:customStyle="1" w:styleId="ab">
    <w:name w:val="图片 字符"/>
    <w:basedOn w:val="a0"/>
    <w:link w:val="aa"/>
    <w:rsid w:val="007D38E5"/>
    <w:rPr>
      <w:rFonts w:ascii="Times New Roman" w:eastAsia="宋体" w:hAnsi="Times New Roman" w:cs="宋体"/>
      <w:b/>
      <w:bCs/>
      <w:szCs w:val="20"/>
    </w:rPr>
  </w:style>
  <w:style w:type="table" w:styleId="4-5">
    <w:name w:val="Grid Table 4 Accent 5"/>
    <w:basedOn w:val="a1"/>
    <w:uiPriority w:val="49"/>
    <w:rsid w:val="001C6F27"/>
    <w:rPr>
      <w:rFonts w:ascii="Times New Roman" w:hAnsi="Times New Roman" w:cs="Times New Roman"/>
      <w:kern w:val="0"/>
      <w:sz w:val="20"/>
      <w:szCs w:val="20"/>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50">
    <w:name w:val="List Table 4 Accent 5"/>
    <w:basedOn w:val="a1"/>
    <w:uiPriority w:val="49"/>
    <w:rsid w:val="002D64E5"/>
    <w:rPr>
      <w:rFonts w:ascii="Times New Roman" w:hAnsi="Times New Roman" w:cs="Times New Roman"/>
      <w:kern w:val="0"/>
      <w:sz w:val="20"/>
      <w:szCs w:val="20"/>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3-5">
    <w:name w:val="List Table 3 Accent 5"/>
    <w:basedOn w:val="a1"/>
    <w:uiPriority w:val="48"/>
    <w:rsid w:val="002D64E5"/>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customStyle="1" w:styleId="TAMainText">
    <w:name w:val="TA_Main_Text"/>
    <w:basedOn w:val="a"/>
    <w:rsid w:val="003658D8"/>
    <w:pPr>
      <w:widowControl/>
      <w:spacing w:line="480" w:lineRule="auto"/>
      <w:ind w:firstLine="202"/>
    </w:pPr>
    <w:rPr>
      <w:rFonts w:ascii="Times" w:eastAsia="宋体" w:hAnsi="Times" w:cs="Times New Roman"/>
      <w:kern w:val="0"/>
      <w:sz w:val="24"/>
      <w:szCs w:val="20"/>
      <w:lang w:eastAsia="en-US"/>
    </w:rPr>
  </w:style>
  <w:style w:type="paragraph" w:customStyle="1" w:styleId="BBAuthorName">
    <w:name w:val="BB_Author_Name"/>
    <w:basedOn w:val="a"/>
    <w:next w:val="a"/>
    <w:rsid w:val="00C778B8"/>
    <w:pPr>
      <w:widowControl/>
      <w:spacing w:after="240" w:line="480" w:lineRule="auto"/>
      <w:jc w:val="center"/>
    </w:pPr>
    <w:rPr>
      <w:rFonts w:ascii="Times" w:eastAsia="宋体" w:hAnsi="Times" w:cs="Times New Roman"/>
      <w:i/>
      <w:kern w:val="0"/>
      <w:sz w:val="24"/>
      <w:szCs w:val="20"/>
      <w:lang w:eastAsia="en-US"/>
    </w:rPr>
  </w:style>
  <w:style w:type="paragraph" w:customStyle="1" w:styleId="FACorrespondingAuthorFootnote">
    <w:name w:val="FA_Corresponding_Author_Footnote"/>
    <w:basedOn w:val="a"/>
    <w:next w:val="a"/>
    <w:rsid w:val="00C778B8"/>
    <w:pPr>
      <w:widowControl/>
      <w:spacing w:after="200" w:line="480" w:lineRule="auto"/>
    </w:pPr>
    <w:rPr>
      <w:rFonts w:ascii="Times" w:eastAsia="宋体"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85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79BC1-18B4-4456-9C62-D1D8A025B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26</Pages>
  <Words>83941</Words>
  <Characters>478468</Characters>
  <Application>Microsoft Office Word</Application>
  <DocSecurity>0</DocSecurity>
  <Lines>3987</Lines>
  <Paragraphs>1122</Paragraphs>
  <ScaleCrop>false</ScaleCrop>
  <Company/>
  <LinksUpToDate>false</LinksUpToDate>
  <CharactersWithSpaces>561287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73</cp:revision>
  <dcterms:created xsi:type="dcterms:W3CDTF">2023-03-27T02:49:00Z</dcterms:created>
  <dcterms:modified xsi:type="dcterms:W3CDTF">2023-08-03T12:06:00Z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http://www.zotero.org/styles/environmental-pollution</vt:lpwstr>
  </property>
  <property fmtid="{D5CDD505-2E9C-101B-9397-08002B2CF9AE}" pid="3" name="Mendeley Recent Style Name 0_1">
    <vt:lpwstr>Environmental Pollution</vt:lpwstr>
  </property>
  <property fmtid="{D5CDD505-2E9C-101B-9397-08002B2CF9AE}" pid="4" name="Mendeley Recent Style Id 1_1">
    <vt:lpwstr>http://www.zotero.org/styles/environmental-science-and-technology</vt:lpwstr>
  </property>
  <property fmtid="{D5CDD505-2E9C-101B-9397-08002B2CF9AE}" pid="5" name="Mendeley Recent Style Name 1_1">
    <vt:lpwstr>Environmental Science &amp; Technology</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http://www.zotero.org/styles/journal-of-environmental-management</vt:lpwstr>
  </property>
  <property fmtid="{D5CDD505-2E9C-101B-9397-08002B2CF9AE}" pid="9" name="Mendeley Recent Style Name 3_1">
    <vt:lpwstr>Journal of Environmental Management</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http://www.zotero.org/styles/science-of-the-total-environment</vt:lpwstr>
  </property>
  <property fmtid="{D5CDD505-2E9C-101B-9397-08002B2CF9AE}" pid="19" name="Mendeley Recent Style Name 8_1">
    <vt:lpwstr>Science of the Total Environment</vt:lpwstr>
  </property>
  <property fmtid="{D5CDD505-2E9C-101B-9397-08002B2CF9AE}" pid="20" name="Mendeley Recent Style Id 9_1">
    <vt:lpwstr>http://www.zotero.org/styles/water-research</vt:lpwstr>
  </property>
  <property fmtid="{D5CDD505-2E9C-101B-9397-08002B2CF9AE}" pid="21" name="Mendeley Recent Style Name 9_1">
    <vt:lpwstr>Water Research</vt:lpwstr>
  </property>
  <property fmtid="{D5CDD505-2E9C-101B-9397-08002B2CF9AE}" pid="22" name="Mendeley Document_1">
    <vt:lpwstr>True</vt:lpwstr>
  </property>
  <property fmtid="{D5CDD505-2E9C-101B-9397-08002B2CF9AE}" pid="23" name="Mendeley Unique User Id_1">
    <vt:lpwstr>72b69c29-2d54-3d65-a5f0-fe398ad4298c</vt:lpwstr>
  </property>
  <property fmtid="{D5CDD505-2E9C-101B-9397-08002B2CF9AE}" pid="24" name="Mendeley Citation Style_1">
    <vt:lpwstr>http://www.zotero.org/styles/environmental-science-and-technology</vt:lpwstr>
  </property>
</Properties>
</file>