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3D1B2" w14:textId="2392504C" w:rsidR="00E428EE" w:rsidRPr="00B1018D" w:rsidRDefault="006865D0" w:rsidP="00B74B3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t>Supplementary Methods</w:t>
      </w:r>
    </w:p>
    <w:p w14:paraId="19AE8EE6" w14:textId="0ED97E6D" w:rsidR="0068071B" w:rsidRPr="00B1018D" w:rsidRDefault="0068071B" w:rsidP="00B74B3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Flow cytometry analysis</w:t>
      </w:r>
    </w:p>
    <w:p w14:paraId="2A929880" w14:textId="3AFE2F7F" w:rsidR="00F90EAA" w:rsidRPr="00B1018D" w:rsidRDefault="0068071B" w:rsidP="00B74B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sz w:val="24"/>
          <w:szCs w:val="24"/>
        </w:rPr>
        <w:t xml:space="preserve">The apoptosis of BMMSCs was assessed </w:t>
      </w:r>
      <w:r w:rsidR="00304E8E" w:rsidRPr="00B1018D">
        <w:rPr>
          <w:rFonts w:ascii="Arial" w:hAnsi="Arial" w:cs="Arial"/>
          <w:sz w:val="24"/>
          <w:szCs w:val="24"/>
        </w:rPr>
        <w:t>using a</w:t>
      </w:r>
      <w:r w:rsidRPr="00B1018D">
        <w:rPr>
          <w:rFonts w:ascii="Arial" w:hAnsi="Arial" w:cs="Arial"/>
          <w:sz w:val="24"/>
          <w:szCs w:val="24"/>
        </w:rPr>
        <w:t xml:space="preserve"> FITC Annexin V Apoptosis Detection Kit I (BD Biosciences) and </w:t>
      </w:r>
      <w:r w:rsidR="00304E8E" w:rsidRPr="00B1018D">
        <w:rPr>
          <w:rFonts w:ascii="Arial" w:hAnsi="Arial" w:cs="Arial"/>
          <w:sz w:val="24"/>
          <w:szCs w:val="24"/>
        </w:rPr>
        <w:t xml:space="preserve">was </w:t>
      </w:r>
      <w:r w:rsidRPr="00B1018D">
        <w:rPr>
          <w:rFonts w:ascii="Arial" w:hAnsi="Arial" w:cs="Arial"/>
          <w:sz w:val="24"/>
          <w:szCs w:val="24"/>
        </w:rPr>
        <w:t>performed according to the manufacture</w:t>
      </w:r>
      <w:r w:rsidR="00304E8E" w:rsidRPr="00B1018D">
        <w:rPr>
          <w:rFonts w:ascii="Arial" w:hAnsi="Arial" w:cs="Arial"/>
          <w:sz w:val="24"/>
          <w:szCs w:val="24"/>
        </w:rPr>
        <w:t>r’s instructions</w:t>
      </w:r>
      <w:r w:rsidRPr="00B1018D">
        <w:rPr>
          <w:rFonts w:ascii="Arial" w:hAnsi="Arial" w:cs="Arial"/>
          <w:sz w:val="24"/>
          <w:szCs w:val="24"/>
        </w:rPr>
        <w:t xml:space="preserve">. Briefly, BMMSCs </w:t>
      </w:r>
      <w:r w:rsidR="00304E8E" w:rsidRPr="00B1018D">
        <w:rPr>
          <w:rFonts w:ascii="Arial" w:hAnsi="Arial" w:cs="Arial"/>
          <w:sz w:val="24"/>
          <w:szCs w:val="24"/>
        </w:rPr>
        <w:t xml:space="preserve">were </w:t>
      </w:r>
      <w:r w:rsidRPr="00B1018D">
        <w:rPr>
          <w:rFonts w:ascii="Arial" w:hAnsi="Arial" w:cs="Arial"/>
          <w:sz w:val="24"/>
          <w:szCs w:val="24"/>
        </w:rPr>
        <w:t xml:space="preserve">collected and stained with Annexin V and/or PI for 15 min at </w:t>
      </w:r>
      <w:r w:rsidR="00304E8E" w:rsidRPr="00B1018D">
        <w:rPr>
          <w:rFonts w:ascii="Arial" w:hAnsi="Arial" w:cs="Arial"/>
          <w:sz w:val="24"/>
          <w:szCs w:val="24"/>
        </w:rPr>
        <w:t>room temperature</w:t>
      </w:r>
      <w:r w:rsidRPr="00B1018D">
        <w:rPr>
          <w:rFonts w:ascii="Arial" w:hAnsi="Arial" w:cs="Arial"/>
          <w:sz w:val="24"/>
          <w:szCs w:val="24"/>
        </w:rPr>
        <w:t xml:space="preserve">. Binding Buffer </w:t>
      </w:r>
      <w:r w:rsidR="00304E8E" w:rsidRPr="00B1018D">
        <w:rPr>
          <w:rFonts w:ascii="Arial" w:hAnsi="Arial" w:cs="Arial"/>
          <w:sz w:val="24"/>
          <w:szCs w:val="24"/>
        </w:rPr>
        <w:t xml:space="preserve">was then added </w:t>
      </w:r>
      <w:r w:rsidRPr="00B1018D">
        <w:rPr>
          <w:rFonts w:ascii="Arial" w:hAnsi="Arial" w:cs="Arial"/>
          <w:sz w:val="24"/>
          <w:szCs w:val="24"/>
        </w:rPr>
        <w:t xml:space="preserve">to stop the reaction and </w:t>
      </w:r>
      <w:r w:rsidR="00304E8E" w:rsidRPr="00B1018D">
        <w:rPr>
          <w:rFonts w:ascii="Arial" w:hAnsi="Arial" w:cs="Arial"/>
          <w:sz w:val="24"/>
          <w:szCs w:val="24"/>
        </w:rPr>
        <w:t xml:space="preserve">staining was </w:t>
      </w:r>
      <w:r w:rsidRPr="00B1018D">
        <w:rPr>
          <w:rFonts w:ascii="Arial" w:hAnsi="Arial" w:cs="Arial"/>
          <w:sz w:val="24"/>
          <w:szCs w:val="24"/>
        </w:rPr>
        <w:t xml:space="preserve">analyzed by flow cytometry within 1 h. </w:t>
      </w:r>
    </w:p>
    <w:p w14:paraId="58143127" w14:textId="0BF21B3D" w:rsidR="0068071B" w:rsidRPr="00B1018D" w:rsidRDefault="0068071B" w:rsidP="0050526F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B1018D">
        <w:rPr>
          <w:rFonts w:ascii="Arial" w:hAnsi="Arial" w:cs="Arial"/>
          <w:b/>
          <w:bCs/>
          <w:sz w:val="24"/>
          <w:szCs w:val="24"/>
        </w:rPr>
        <w:t>Tunel</w:t>
      </w:r>
      <w:proofErr w:type="spellEnd"/>
      <w:r w:rsidRPr="00B1018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B1018D">
        <w:rPr>
          <w:rFonts w:ascii="Arial" w:hAnsi="Arial" w:cs="Arial"/>
          <w:b/>
          <w:bCs/>
          <w:sz w:val="24"/>
          <w:szCs w:val="24"/>
        </w:rPr>
        <w:t>staining</w:t>
      </w:r>
      <w:proofErr w:type="gramEnd"/>
    </w:p>
    <w:p w14:paraId="43B75860" w14:textId="4470F726" w:rsidR="00F90EAA" w:rsidRPr="00B1018D" w:rsidRDefault="0068071B" w:rsidP="0050526F">
      <w:pPr>
        <w:wordWrap/>
        <w:spacing w:after="12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sz w:val="24"/>
          <w:szCs w:val="24"/>
        </w:rPr>
        <w:t>1</w:t>
      </w:r>
      <w:r w:rsidR="00E428EE" w:rsidRPr="00B1018D">
        <w:rPr>
          <w:rFonts w:ascii="Arial" w:hAnsi="Arial" w:cs="Arial"/>
          <w:sz w:val="24"/>
          <w:szCs w:val="24"/>
        </w:rPr>
        <w:t xml:space="preserve"> × </w:t>
      </w:r>
      <w:r w:rsidRPr="00B1018D">
        <w:rPr>
          <w:rFonts w:ascii="Arial" w:hAnsi="Arial" w:cs="Arial"/>
          <w:sz w:val="24"/>
          <w:szCs w:val="24"/>
        </w:rPr>
        <w:t>10</w:t>
      </w:r>
      <w:r w:rsidRPr="00B1018D">
        <w:rPr>
          <w:rFonts w:ascii="Arial" w:hAnsi="Arial" w:cs="Arial"/>
          <w:sz w:val="24"/>
          <w:szCs w:val="24"/>
          <w:vertAlign w:val="superscript"/>
        </w:rPr>
        <w:t>5</w:t>
      </w:r>
      <w:r w:rsidRPr="00B1018D">
        <w:rPr>
          <w:rFonts w:ascii="Arial" w:hAnsi="Arial" w:cs="Arial"/>
          <w:sz w:val="24"/>
          <w:szCs w:val="24"/>
        </w:rPr>
        <w:t xml:space="preserve"> BMMSCs were seeded </w:t>
      </w:r>
      <w:r w:rsidR="00304E8E" w:rsidRPr="00B1018D">
        <w:rPr>
          <w:rFonts w:ascii="Arial" w:hAnsi="Arial" w:cs="Arial"/>
          <w:sz w:val="24"/>
          <w:szCs w:val="24"/>
        </w:rPr>
        <w:t>i</w:t>
      </w:r>
      <w:r w:rsidRPr="00B1018D">
        <w:rPr>
          <w:rFonts w:ascii="Arial" w:hAnsi="Arial" w:cs="Arial"/>
          <w:sz w:val="24"/>
          <w:szCs w:val="24"/>
        </w:rPr>
        <w:t xml:space="preserve">n </w:t>
      </w:r>
      <w:r w:rsidR="00304E8E" w:rsidRPr="00B1018D">
        <w:rPr>
          <w:rFonts w:ascii="Arial" w:hAnsi="Arial" w:cs="Arial"/>
          <w:sz w:val="24"/>
          <w:szCs w:val="24"/>
        </w:rPr>
        <w:t>6</w:t>
      </w:r>
      <w:r w:rsidRPr="00B1018D">
        <w:rPr>
          <w:rFonts w:ascii="Arial" w:hAnsi="Arial" w:cs="Arial"/>
          <w:sz w:val="24"/>
          <w:szCs w:val="24"/>
        </w:rPr>
        <w:t xml:space="preserve">-well plates. The cells were washed with PBS and then fixed with 4% </w:t>
      </w:r>
      <w:r w:rsidRPr="00B1018D">
        <w:rPr>
          <w:rFonts w:ascii="Arial" w:hAnsi="Arial" w:cs="Arial"/>
          <w:sz w:val="24"/>
          <w:szCs w:val="24"/>
          <w:lang w:eastAsia="zh-CN"/>
        </w:rPr>
        <w:t>p</w:t>
      </w:r>
      <w:r w:rsidRPr="00B1018D">
        <w:rPr>
          <w:rFonts w:ascii="Arial" w:hAnsi="Arial" w:cs="Arial"/>
          <w:sz w:val="24"/>
          <w:szCs w:val="24"/>
        </w:rPr>
        <w:t>araformaldehyde for 30 min</w:t>
      </w:r>
      <w:r w:rsidR="00304E8E" w:rsidRPr="00B1018D">
        <w:rPr>
          <w:rFonts w:ascii="Arial" w:hAnsi="Arial" w:cs="Arial"/>
          <w:sz w:val="24"/>
          <w:szCs w:val="24"/>
        </w:rPr>
        <w:t>,</w:t>
      </w:r>
      <w:r w:rsidRPr="00B1018D">
        <w:rPr>
          <w:rFonts w:ascii="Arial" w:hAnsi="Arial" w:cs="Arial"/>
          <w:sz w:val="24"/>
          <w:szCs w:val="24"/>
        </w:rPr>
        <w:t xml:space="preserve"> </w:t>
      </w:r>
      <w:r w:rsidR="00304E8E" w:rsidRPr="00B1018D">
        <w:rPr>
          <w:rFonts w:ascii="Arial" w:hAnsi="Arial" w:cs="Arial"/>
          <w:sz w:val="24"/>
          <w:szCs w:val="24"/>
        </w:rPr>
        <w:t>f</w:t>
      </w:r>
      <w:r w:rsidRPr="00B1018D">
        <w:rPr>
          <w:rFonts w:ascii="Arial" w:hAnsi="Arial" w:cs="Arial"/>
          <w:sz w:val="24"/>
          <w:szCs w:val="24"/>
        </w:rPr>
        <w:t xml:space="preserve">ollowed by </w:t>
      </w:r>
      <w:r w:rsidR="00304E8E" w:rsidRPr="00B1018D">
        <w:rPr>
          <w:rFonts w:ascii="Arial" w:hAnsi="Arial" w:cs="Arial"/>
          <w:sz w:val="24"/>
          <w:szCs w:val="24"/>
        </w:rPr>
        <w:t xml:space="preserve">the addition of </w:t>
      </w:r>
      <w:r w:rsidRPr="00B1018D">
        <w:rPr>
          <w:rFonts w:ascii="Arial" w:hAnsi="Arial" w:cs="Arial"/>
          <w:sz w:val="24"/>
          <w:szCs w:val="24"/>
        </w:rPr>
        <w:t>0.3% Triton X-100 for 5 min a</w:t>
      </w:r>
      <w:r w:rsidR="00304E8E" w:rsidRPr="00B1018D">
        <w:rPr>
          <w:rFonts w:ascii="Arial" w:hAnsi="Arial" w:cs="Arial"/>
          <w:sz w:val="24"/>
          <w:szCs w:val="24"/>
        </w:rPr>
        <w:t>fter which</w:t>
      </w:r>
      <w:r w:rsidRPr="00B1018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018D">
        <w:rPr>
          <w:rFonts w:ascii="Arial" w:hAnsi="Arial" w:cs="Arial"/>
          <w:sz w:val="24"/>
          <w:szCs w:val="24"/>
        </w:rPr>
        <w:t>Tunel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staining solution </w:t>
      </w:r>
      <w:r w:rsidR="00304E8E" w:rsidRPr="00B1018D">
        <w:rPr>
          <w:rFonts w:ascii="Arial" w:hAnsi="Arial" w:cs="Arial"/>
          <w:sz w:val="24"/>
          <w:szCs w:val="24"/>
        </w:rPr>
        <w:t xml:space="preserve">was added </w:t>
      </w:r>
      <w:r w:rsidRPr="00B1018D">
        <w:rPr>
          <w:rFonts w:ascii="Arial" w:hAnsi="Arial" w:cs="Arial"/>
          <w:sz w:val="24"/>
          <w:szCs w:val="24"/>
        </w:rPr>
        <w:t xml:space="preserve">for 1 h at 37 </w:t>
      </w:r>
      <w:r w:rsidRPr="00B1018D">
        <w:rPr>
          <w:rFonts w:ascii="Cambria Math" w:hAnsi="Cambria Math" w:cs="Cambria Math"/>
          <w:sz w:val="24"/>
          <w:szCs w:val="24"/>
        </w:rPr>
        <w:t>℃</w:t>
      </w:r>
      <w:r w:rsidRPr="00B1018D">
        <w:rPr>
          <w:rFonts w:ascii="Arial" w:hAnsi="Arial" w:cs="Arial"/>
          <w:sz w:val="24"/>
          <w:szCs w:val="24"/>
        </w:rPr>
        <w:t xml:space="preserve">. The images were captured </w:t>
      </w:r>
      <w:r w:rsidR="00304E8E" w:rsidRPr="00B1018D">
        <w:rPr>
          <w:rFonts w:ascii="Arial" w:hAnsi="Arial" w:cs="Arial"/>
          <w:sz w:val="24"/>
          <w:szCs w:val="24"/>
        </w:rPr>
        <w:t>using</w:t>
      </w:r>
      <w:r w:rsidRPr="00B1018D">
        <w:rPr>
          <w:rFonts w:ascii="Arial" w:hAnsi="Arial" w:cs="Arial"/>
          <w:sz w:val="24"/>
          <w:szCs w:val="24"/>
        </w:rPr>
        <w:t xml:space="preserve"> a microscope (</w:t>
      </w:r>
      <w:r w:rsidR="00304E8E" w:rsidRPr="00B1018D">
        <w:rPr>
          <w:rFonts w:ascii="Arial" w:hAnsi="Arial" w:cs="Arial"/>
          <w:sz w:val="24"/>
          <w:szCs w:val="24"/>
        </w:rPr>
        <w:t>Olympus</w:t>
      </w:r>
      <w:r w:rsidRPr="00B1018D">
        <w:rPr>
          <w:rFonts w:ascii="Arial" w:hAnsi="Arial" w:cs="Arial"/>
          <w:sz w:val="24"/>
          <w:szCs w:val="24"/>
        </w:rPr>
        <w:t>).</w:t>
      </w:r>
    </w:p>
    <w:p w14:paraId="47090282" w14:textId="77777777" w:rsidR="002E0164" w:rsidRPr="00B1018D" w:rsidRDefault="002E0164" w:rsidP="0050526F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siRNA transfection</w:t>
      </w:r>
    </w:p>
    <w:p w14:paraId="57CF4EA5" w14:textId="1DE175FF" w:rsidR="002E0164" w:rsidRPr="00B1018D" w:rsidRDefault="002E0164" w:rsidP="0050526F">
      <w:pPr>
        <w:wordWrap/>
        <w:spacing w:after="12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sz w:val="24"/>
          <w:szCs w:val="24"/>
        </w:rPr>
        <w:t>1 × 10</w:t>
      </w:r>
      <w:r w:rsidRPr="00B1018D">
        <w:rPr>
          <w:rFonts w:ascii="Arial" w:hAnsi="Arial" w:cs="Arial"/>
          <w:sz w:val="24"/>
          <w:szCs w:val="24"/>
          <w:vertAlign w:val="superscript"/>
        </w:rPr>
        <w:t>5</w:t>
      </w:r>
      <w:r w:rsidRPr="00B1018D">
        <w:rPr>
          <w:rFonts w:ascii="Arial" w:hAnsi="Arial" w:cs="Arial"/>
          <w:sz w:val="24"/>
          <w:szCs w:val="24"/>
        </w:rPr>
        <w:t xml:space="preserve"> pre-osteoclasts were seeded in 6-well plates. A scrambled siRNA (negative control) or a DC-STAMP siRNA were transfected into pre-osteoclasts using </w:t>
      </w:r>
      <w:proofErr w:type="spellStart"/>
      <w:r w:rsidRPr="00B1018D">
        <w:rPr>
          <w:rFonts w:ascii="Arial" w:hAnsi="Arial" w:cs="Arial"/>
          <w:sz w:val="24"/>
          <w:szCs w:val="24"/>
        </w:rPr>
        <w:t>RNAiMAX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B1018D">
        <w:rPr>
          <w:rFonts w:ascii="Arial" w:hAnsi="Arial" w:cs="Arial"/>
          <w:sz w:val="24"/>
          <w:szCs w:val="24"/>
        </w:rPr>
        <w:t>Thermo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Fisher Scientific). The cells were incubated under hypoxia for 72 h and the supernatant was collected for AB-siRNA isolation by a sequential centrifugation followed by a sequential filtering. The cells were harvested after transfection and analyzed by RT</w:t>
      </w:r>
      <w:r w:rsidRPr="00B1018D">
        <w:rPr>
          <w:rFonts w:ascii="Cambria Math" w:hAnsi="Cambria Math" w:cs="Cambria Math"/>
          <w:sz w:val="24"/>
          <w:szCs w:val="24"/>
        </w:rPr>
        <w:t>‐</w:t>
      </w:r>
      <w:r w:rsidRPr="00B1018D">
        <w:rPr>
          <w:rFonts w:ascii="Arial" w:hAnsi="Arial" w:cs="Arial"/>
          <w:sz w:val="24"/>
          <w:szCs w:val="24"/>
        </w:rPr>
        <w:t>PCR and western blot.</w:t>
      </w:r>
    </w:p>
    <w:p w14:paraId="6682ED7B" w14:textId="2311727E" w:rsidR="007C5A02" w:rsidRPr="00B1018D" w:rsidRDefault="007C5A02" w:rsidP="0050526F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miRNA inhibitor transfection</w:t>
      </w:r>
    </w:p>
    <w:p w14:paraId="42F6433A" w14:textId="1785C485" w:rsidR="007C5A02" w:rsidRPr="00B1018D" w:rsidRDefault="00FB37EB" w:rsidP="0050526F">
      <w:pPr>
        <w:wordWrap/>
        <w:spacing w:after="12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sz w:val="24"/>
          <w:szCs w:val="24"/>
        </w:rPr>
        <w:t>1 × 10</w:t>
      </w:r>
      <w:r w:rsidRPr="00B1018D">
        <w:rPr>
          <w:rFonts w:ascii="Arial" w:hAnsi="Arial" w:cs="Arial"/>
          <w:sz w:val="24"/>
          <w:szCs w:val="24"/>
          <w:vertAlign w:val="superscript"/>
        </w:rPr>
        <w:t>5</w:t>
      </w:r>
      <w:r w:rsidRPr="00B1018D">
        <w:rPr>
          <w:rFonts w:ascii="Arial" w:hAnsi="Arial" w:cs="Arial"/>
          <w:sz w:val="24"/>
          <w:szCs w:val="24"/>
        </w:rPr>
        <w:t xml:space="preserve"> pre-osteoclasts were seed</w:t>
      </w:r>
      <w:r w:rsidR="00304E8E" w:rsidRPr="00B1018D">
        <w:rPr>
          <w:rFonts w:ascii="Arial" w:hAnsi="Arial" w:cs="Arial"/>
          <w:sz w:val="24"/>
          <w:szCs w:val="24"/>
        </w:rPr>
        <w:t>ed</w:t>
      </w:r>
      <w:r w:rsidRPr="00B1018D">
        <w:rPr>
          <w:rFonts w:ascii="Arial" w:hAnsi="Arial" w:cs="Arial"/>
          <w:sz w:val="24"/>
          <w:szCs w:val="24"/>
        </w:rPr>
        <w:t xml:space="preserve"> </w:t>
      </w:r>
      <w:r w:rsidR="00304E8E" w:rsidRPr="00B1018D">
        <w:rPr>
          <w:rFonts w:ascii="Arial" w:hAnsi="Arial" w:cs="Arial"/>
          <w:sz w:val="24"/>
          <w:szCs w:val="24"/>
        </w:rPr>
        <w:t>i</w:t>
      </w:r>
      <w:r w:rsidRPr="00B1018D">
        <w:rPr>
          <w:rFonts w:ascii="Arial" w:hAnsi="Arial" w:cs="Arial"/>
          <w:sz w:val="24"/>
          <w:szCs w:val="24"/>
        </w:rPr>
        <w:t>n 6-well plates and Corning Osteo Assay Surface well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. </w:t>
      </w:r>
      <w:r w:rsidR="00304E8E" w:rsidRPr="00B1018D">
        <w:rPr>
          <w:rFonts w:ascii="Arial" w:hAnsi="Arial" w:cs="Arial"/>
          <w:sz w:val="24"/>
          <w:szCs w:val="24"/>
        </w:rPr>
        <w:t>Twenty</w:t>
      </w:r>
      <w:r w:rsidRPr="00B1018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018D">
        <w:rPr>
          <w:rFonts w:ascii="Arial" w:hAnsi="Arial" w:cs="Arial"/>
          <w:sz w:val="24"/>
          <w:szCs w:val="24"/>
        </w:rPr>
        <w:t>nM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negative control or miR-223-3p inhibitor were transfected to pre-osteoclasts using the Lipofectamine™ RNAiMAX Transfection Reagent (</w:t>
      </w:r>
      <w:proofErr w:type="spellStart"/>
      <w:r w:rsidRPr="00B1018D">
        <w:rPr>
          <w:rFonts w:ascii="Arial" w:hAnsi="Arial" w:cs="Arial"/>
          <w:sz w:val="24"/>
          <w:szCs w:val="24"/>
        </w:rPr>
        <w:t>Thermo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Fisher), followed by osteoclast induction for 5 days. </w:t>
      </w:r>
    </w:p>
    <w:p w14:paraId="7182E931" w14:textId="77777777" w:rsidR="0050526F" w:rsidRDefault="0050526F" w:rsidP="0050526F">
      <w:pPr>
        <w:wordWrap/>
        <w:spacing w:after="120" w:line="360" w:lineRule="auto"/>
        <w:rPr>
          <w:rFonts w:ascii="Arial" w:hAnsi="Arial" w:cs="Arial"/>
          <w:sz w:val="24"/>
          <w:szCs w:val="24"/>
          <w:lang w:eastAsia="zh-CN"/>
        </w:rPr>
      </w:pPr>
    </w:p>
    <w:p w14:paraId="5F4E1B43" w14:textId="77777777" w:rsidR="00BD4D00" w:rsidRPr="00B1018D" w:rsidRDefault="00BD4D00" w:rsidP="0050526F">
      <w:pPr>
        <w:wordWrap/>
        <w:spacing w:after="120" w:line="360" w:lineRule="auto"/>
        <w:rPr>
          <w:rFonts w:ascii="Arial" w:hAnsi="Arial" w:cs="Arial" w:hint="eastAsia"/>
          <w:sz w:val="24"/>
          <w:szCs w:val="24"/>
          <w:lang w:eastAsia="zh-CN"/>
        </w:rPr>
      </w:pPr>
    </w:p>
    <w:p w14:paraId="5E8ED60B" w14:textId="5DD95A7A" w:rsidR="009625B6" w:rsidRPr="00B1018D" w:rsidRDefault="009625B6" w:rsidP="00B74B3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lastRenderedPageBreak/>
        <w:t>Supplementary Results</w:t>
      </w:r>
    </w:p>
    <w:p w14:paraId="1A451F49" w14:textId="24662138" w:rsidR="0050526F" w:rsidRPr="00B1018D" w:rsidRDefault="0050526F" w:rsidP="00B74B3A">
      <w:pPr>
        <w:widowControl/>
        <w:spacing w:after="0" w:line="360" w:lineRule="auto"/>
        <w:jc w:val="left"/>
        <w:rPr>
          <w:rFonts w:ascii="Arial" w:hAnsi="Arial" w:cs="Arial"/>
          <w:b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t xml:space="preserve">Hypoxia induced BMMSCs </w:t>
      </w:r>
      <w:proofErr w:type="gramStart"/>
      <w:r w:rsidRPr="00B1018D">
        <w:rPr>
          <w:rFonts w:ascii="Arial" w:hAnsi="Arial" w:cs="Arial"/>
          <w:b/>
          <w:sz w:val="24"/>
          <w:szCs w:val="24"/>
        </w:rPr>
        <w:t>apoptosis</w:t>
      </w:r>
      <w:proofErr w:type="gramEnd"/>
    </w:p>
    <w:p w14:paraId="6DDAE505" w14:textId="3E9EFB2E" w:rsidR="0050526F" w:rsidRPr="00B1018D" w:rsidRDefault="009625B6" w:rsidP="00B74B3A">
      <w:pPr>
        <w:widowControl/>
        <w:spacing w:after="0" w:line="360" w:lineRule="auto"/>
        <w:jc w:val="left"/>
        <w:rPr>
          <w:rFonts w:ascii="Arial" w:hAnsi="Arial" w:cs="Arial"/>
          <w:bCs/>
          <w:sz w:val="24"/>
          <w:szCs w:val="24"/>
        </w:rPr>
      </w:pPr>
      <w:r w:rsidRPr="00B1018D">
        <w:rPr>
          <w:rFonts w:ascii="Arial" w:hAnsi="Arial" w:cs="Arial"/>
          <w:bCs/>
          <w:sz w:val="24"/>
          <w:szCs w:val="24"/>
        </w:rPr>
        <w:t xml:space="preserve">Flow cytometry and </w:t>
      </w:r>
      <w:proofErr w:type="spellStart"/>
      <w:r w:rsidRPr="00B1018D">
        <w:rPr>
          <w:rFonts w:ascii="Arial" w:hAnsi="Arial" w:cs="Arial"/>
          <w:bCs/>
          <w:sz w:val="24"/>
          <w:szCs w:val="24"/>
        </w:rPr>
        <w:t>Tunel</w:t>
      </w:r>
      <w:proofErr w:type="spellEnd"/>
      <w:r w:rsidRPr="00B1018D">
        <w:rPr>
          <w:rFonts w:ascii="Arial" w:hAnsi="Arial" w:cs="Arial"/>
          <w:bCs/>
          <w:sz w:val="24"/>
          <w:szCs w:val="24"/>
        </w:rPr>
        <w:t xml:space="preserve"> staining results showed that the hypoxic environment significantly induced the apoptosis of BMMSCs at 72 h and there was no necrosis under hypoxia conditions (Figure S1A-D, *p&lt;0.05, ***p&lt;0.001, ****p&lt;0.0001).</w:t>
      </w:r>
    </w:p>
    <w:p w14:paraId="436BB981" w14:textId="2243865D" w:rsidR="0050526F" w:rsidRPr="00B1018D" w:rsidRDefault="0050526F" w:rsidP="00B74B3A">
      <w:pPr>
        <w:widowControl/>
        <w:spacing w:after="0" w:line="360" w:lineRule="auto"/>
        <w:jc w:val="left"/>
        <w:rPr>
          <w:rFonts w:ascii="Arial" w:hAnsi="Arial" w:cs="Arial"/>
          <w:b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t xml:space="preserve">The downregulation of miR-223-3p induced osteoclast </w:t>
      </w:r>
      <w:proofErr w:type="gramStart"/>
      <w:r w:rsidRPr="00B1018D">
        <w:rPr>
          <w:rFonts w:ascii="Arial" w:hAnsi="Arial" w:cs="Arial"/>
          <w:b/>
          <w:sz w:val="24"/>
          <w:szCs w:val="24"/>
        </w:rPr>
        <w:t>differentiation</w:t>
      </w:r>
      <w:proofErr w:type="gramEnd"/>
    </w:p>
    <w:p w14:paraId="7A317BB6" w14:textId="39FFED0B" w:rsidR="009625B6" w:rsidRPr="00B1018D" w:rsidRDefault="009625B6" w:rsidP="00B74B3A">
      <w:pPr>
        <w:widowControl/>
        <w:spacing w:after="0" w:line="360" w:lineRule="auto"/>
        <w:jc w:val="left"/>
        <w:rPr>
          <w:rFonts w:ascii="Arial" w:hAnsi="Arial" w:cs="Arial"/>
          <w:bCs/>
          <w:sz w:val="24"/>
          <w:szCs w:val="24"/>
        </w:rPr>
      </w:pPr>
      <w:r w:rsidRPr="00B1018D">
        <w:rPr>
          <w:rFonts w:ascii="Arial" w:hAnsi="Arial" w:cs="Arial"/>
          <w:bCs/>
          <w:sz w:val="24"/>
          <w:szCs w:val="24"/>
        </w:rPr>
        <w:t xml:space="preserve">A miR-223-3p inhibitor was transfected into pre-OCs to investigate the impact of miR-223-3p on </w:t>
      </w:r>
      <w:proofErr w:type="spellStart"/>
      <w:r w:rsidRPr="00B1018D">
        <w:rPr>
          <w:rFonts w:ascii="Arial" w:hAnsi="Arial" w:cs="Arial"/>
          <w:bCs/>
          <w:sz w:val="24"/>
          <w:szCs w:val="24"/>
        </w:rPr>
        <w:t>osteoclastogenesis</w:t>
      </w:r>
      <w:proofErr w:type="spellEnd"/>
      <w:r w:rsidRPr="00B1018D">
        <w:rPr>
          <w:rFonts w:ascii="Arial" w:hAnsi="Arial" w:cs="Arial"/>
          <w:bCs/>
          <w:sz w:val="24"/>
          <w:szCs w:val="24"/>
        </w:rPr>
        <w:t xml:space="preserve"> (Figure S2A, **p&lt;0.01). The downregulation of miR-223-3p elevated the number of TRAP-positive cells (Figure S2</w:t>
      </w:r>
      <w:proofErr w:type="gramStart"/>
      <w:r w:rsidRPr="00B1018D">
        <w:rPr>
          <w:rFonts w:ascii="Arial" w:hAnsi="Arial" w:cs="Arial"/>
          <w:bCs/>
          <w:sz w:val="24"/>
          <w:szCs w:val="24"/>
        </w:rPr>
        <w:t>B,C</w:t>
      </w:r>
      <w:proofErr w:type="gramEnd"/>
      <w:r w:rsidRPr="00B1018D">
        <w:rPr>
          <w:rFonts w:ascii="Arial" w:hAnsi="Arial" w:cs="Arial"/>
          <w:bCs/>
          <w:sz w:val="24"/>
          <w:szCs w:val="24"/>
        </w:rPr>
        <w:t xml:space="preserve">, **p&lt;0.01, ***p&lt;0.001) and induced the expression of CTSK and Nfatc1 (Figure S2D-E, *p&lt;0.05, **p&lt;0.01). However, the inhibition of miR-223-3p didn’t show a significant effect on the bone resorption ability of osteoclasts, as shown by FITC-phalloidin staining and the Pit assay (Figure S2F). The expression of integrin </w:t>
      </w:r>
      <w:r w:rsidR="002150A7" w:rsidRPr="00B1018D">
        <w:rPr>
          <w:rFonts w:ascii="Arial" w:hAnsi="Arial" w:cs="Arial"/>
          <w:sz w:val="24"/>
          <w:szCs w:val="24"/>
        </w:rPr>
        <w:t>β</w:t>
      </w:r>
      <w:r w:rsidRPr="00B1018D">
        <w:rPr>
          <w:rFonts w:ascii="Arial" w:hAnsi="Arial" w:cs="Arial"/>
          <w:bCs/>
          <w:sz w:val="24"/>
          <w:szCs w:val="24"/>
        </w:rPr>
        <w:t>1 did not show a significant difference between the osteoclast groups (Figure S2G, *p&lt;0.05). Thus, our results confirmed that miR-223-3p had a negative regulatory role during osteoclast differentiation.</w:t>
      </w:r>
    </w:p>
    <w:p w14:paraId="231720BE" w14:textId="37A1F3EB" w:rsidR="0050526F" w:rsidRPr="00B1018D" w:rsidRDefault="0050526F" w:rsidP="00B74B3A">
      <w:pPr>
        <w:widowControl/>
        <w:spacing w:after="0" w:line="360" w:lineRule="auto"/>
        <w:jc w:val="left"/>
        <w:rPr>
          <w:rFonts w:ascii="Arial" w:hAnsi="Arial" w:cs="Arial"/>
          <w:b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t xml:space="preserve">DC-STAMP mediated the </w:t>
      </w:r>
      <w:proofErr w:type="spellStart"/>
      <w:r w:rsidRPr="00B1018D">
        <w:rPr>
          <w:rFonts w:ascii="Arial" w:hAnsi="Arial" w:cs="Arial"/>
          <w:b/>
          <w:sz w:val="24"/>
          <w:szCs w:val="24"/>
        </w:rPr>
        <w:t>the</w:t>
      </w:r>
      <w:proofErr w:type="spellEnd"/>
      <w:r w:rsidRPr="00B1018D">
        <w:rPr>
          <w:rFonts w:ascii="Arial" w:hAnsi="Arial" w:cs="Arial"/>
          <w:b/>
          <w:sz w:val="24"/>
          <w:szCs w:val="24"/>
        </w:rPr>
        <w:t xml:space="preserve"> phagocytosis of </w:t>
      </w:r>
      <w:proofErr w:type="gramStart"/>
      <w:r w:rsidRPr="00B1018D">
        <w:rPr>
          <w:rFonts w:ascii="Arial" w:hAnsi="Arial" w:cs="Arial"/>
          <w:b/>
          <w:sz w:val="24"/>
          <w:szCs w:val="24"/>
        </w:rPr>
        <w:t>ABs</w:t>
      </w:r>
      <w:proofErr w:type="gramEnd"/>
    </w:p>
    <w:p w14:paraId="1757FE4B" w14:textId="208E6D3C" w:rsidR="00B74B3A" w:rsidRPr="00B1018D" w:rsidRDefault="009625B6" w:rsidP="00B74B3A">
      <w:pPr>
        <w:widowControl/>
        <w:spacing w:after="0" w:line="360" w:lineRule="auto"/>
        <w:jc w:val="left"/>
        <w:rPr>
          <w:rFonts w:ascii="Arial" w:hAnsi="Arial" w:cs="Arial"/>
          <w:bCs/>
          <w:sz w:val="24"/>
          <w:szCs w:val="24"/>
        </w:rPr>
      </w:pPr>
      <w:r w:rsidRPr="00B1018D">
        <w:rPr>
          <w:rFonts w:ascii="Arial" w:hAnsi="Arial" w:cs="Arial"/>
          <w:bCs/>
          <w:sz w:val="24"/>
          <w:szCs w:val="24"/>
        </w:rPr>
        <w:t xml:space="preserve">To further verify the mediator role of DC-STAMP in the phagocytosis of ABs, DC-STAMP silencing technology was used. We transfected a DC-STAMP siRNA into BMMSCs and then isolated ABs (ABs-siRNA) (Figure S3A, **p&lt;0.01). The </w:t>
      </w:r>
      <w:proofErr w:type="gramStart"/>
      <w:r w:rsidRPr="00B1018D">
        <w:rPr>
          <w:rFonts w:ascii="Arial" w:hAnsi="Arial" w:cs="Arial"/>
          <w:bCs/>
          <w:sz w:val="24"/>
          <w:szCs w:val="24"/>
        </w:rPr>
        <w:t>down-regulation</w:t>
      </w:r>
      <w:proofErr w:type="gramEnd"/>
      <w:r w:rsidRPr="00B1018D">
        <w:rPr>
          <w:rFonts w:ascii="Arial" w:hAnsi="Arial" w:cs="Arial"/>
          <w:bCs/>
          <w:sz w:val="24"/>
          <w:szCs w:val="24"/>
        </w:rPr>
        <w:t xml:space="preserve"> of DC-STAMP in BMMSCs led to the knock-down of DC-STAMP in </w:t>
      </w:r>
      <w:proofErr w:type="spellStart"/>
      <w:r w:rsidRPr="00B1018D">
        <w:rPr>
          <w:rFonts w:ascii="Arial" w:hAnsi="Arial" w:cs="Arial"/>
          <w:bCs/>
          <w:sz w:val="24"/>
          <w:szCs w:val="24"/>
        </w:rPr>
        <w:t>ABs.</w:t>
      </w:r>
      <w:proofErr w:type="spellEnd"/>
      <w:r w:rsidRPr="00B1018D">
        <w:rPr>
          <w:rFonts w:ascii="Arial" w:hAnsi="Arial" w:cs="Arial"/>
          <w:bCs/>
          <w:sz w:val="24"/>
          <w:szCs w:val="24"/>
        </w:rPr>
        <w:t xml:space="preserve"> The AB-siRNA was difficult to be phagocytosed by pre-OCs compared to ABs (Figure S3B), followed by a reduced ability to regulate osteoclast differentiation (Figure S3C-F, *p&lt;0.05, **p&lt;0.01, ***p&lt;0.001).</w:t>
      </w:r>
    </w:p>
    <w:p w14:paraId="3AEFE76F" w14:textId="2EE38680" w:rsidR="009625B6" w:rsidRPr="00B1018D" w:rsidRDefault="00B74B3A" w:rsidP="00BD4D00">
      <w:pPr>
        <w:widowControl/>
        <w:wordWrap/>
        <w:autoSpaceDE/>
        <w:autoSpaceDN/>
        <w:spacing w:after="0" w:line="240" w:lineRule="auto"/>
        <w:jc w:val="left"/>
        <w:rPr>
          <w:rFonts w:ascii="Arial" w:hAnsi="Arial" w:cs="Arial" w:hint="eastAsia"/>
          <w:bCs/>
          <w:sz w:val="24"/>
          <w:szCs w:val="24"/>
        </w:rPr>
      </w:pPr>
      <w:r w:rsidRPr="00B1018D">
        <w:rPr>
          <w:rFonts w:ascii="Arial" w:hAnsi="Arial" w:cs="Arial"/>
          <w:bCs/>
          <w:sz w:val="24"/>
          <w:szCs w:val="24"/>
        </w:rPr>
        <w:br w:type="page"/>
      </w:r>
    </w:p>
    <w:p w14:paraId="796B3133" w14:textId="1E5CF2F3" w:rsidR="00BD4D00" w:rsidRDefault="00BD4D00" w:rsidP="00BD4D00">
      <w:pPr>
        <w:spacing w:after="0" w:line="360" w:lineRule="auto"/>
        <w:rPr>
          <w:rFonts w:ascii="Arial" w:hAnsi="Arial" w:cs="Arial" w:hint="eastAsia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  <w:lang w:eastAsia="zh-CN"/>
        </w:rPr>
        <w:lastRenderedPageBreak/>
        <w:t>S</w:t>
      </w:r>
      <w:r>
        <w:rPr>
          <w:rFonts w:ascii="Arial" w:hAnsi="Arial" w:cs="Arial"/>
          <w:b/>
          <w:bCs/>
          <w:sz w:val="24"/>
          <w:szCs w:val="24"/>
          <w:lang w:eastAsia="zh-CN"/>
        </w:rPr>
        <w:t>upplementary Figure Legends</w:t>
      </w:r>
    </w:p>
    <w:p w14:paraId="1E140B78" w14:textId="69ABA87A" w:rsidR="00B1018D" w:rsidRPr="00B1018D" w:rsidRDefault="00553B0D" w:rsidP="00BD4D00">
      <w:pPr>
        <w:spacing w:after="0" w:line="360" w:lineRule="auto"/>
        <w:rPr>
          <w:rFonts w:ascii="Arial" w:hAnsi="Arial" w:cs="Arial" w:hint="eastAsia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FIGURE S</w:t>
      </w:r>
      <w:r w:rsidR="002E0164" w:rsidRPr="00B1018D">
        <w:rPr>
          <w:rFonts w:ascii="Arial" w:hAnsi="Arial" w:cs="Arial"/>
          <w:b/>
          <w:bCs/>
          <w:sz w:val="24"/>
          <w:szCs w:val="24"/>
        </w:rPr>
        <w:t>1</w:t>
      </w:r>
      <w:r w:rsidRPr="00B1018D">
        <w:rPr>
          <w:rFonts w:ascii="Arial" w:hAnsi="Arial" w:cs="Arial"/>
          <w:sz w:val="24"/>
          <w:szCs w:val="24"/>
        </w:rPr>
        <w:t xml:space="preserve"> Hypoxia induce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 cell apoptosis. </w:t>
      </w:r>
      <w:r w:rsidRPr="00B1018D">
        <w:rPr>
          <w:rFonts w:ascii="Arial" w:hAnsi="Arial" w:cs="Arial"/>
          <w:i/>
          <w:iCs/>
          <w:sz w:val="24"/>
          <w:szCs w:val="24"/>
        </w:rPr>
        <w:t>In vitro</w:t>
      </w:r>
      <w:r w:rsidRPr="00B1018D">
        <w:rPr>
          <w:rFonts w:ascii="Arial" w:hAnsi="Arial" w:cs="Arial"/>
          <w:sz w:val="24"/>
          <w:szCs w:val="24"/>
        </w:rPr>
        <w:t xml:space="preserve"> flow cytometry and </w:t>
      </w:r>
      <w:proofErr w:type="spellStart"/>
      <w:r w:rsidRPr="00B1018D">
        <w:rPr>
          <w:rFonts w:ascii="Arial" w:hAnsi="Arial" w:cs="Arial"/>
          <w:sz w:val="24"/>
          <w:szCs w:val="24"/>
        </w:rPr>
        <w:t>Tunel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staining </w:t>
      </w:r>
      <w:r w:rsidR="00304E8E" w:rsidRPr="00B1018D">
        <w:rPr>
          <w:rFonts w:ascii="Arial" w:hAnsi="Arial" w:cs="Arial"/>
          <w:sz w:val="24"/>
          <w:szCs w:val="24"/>
        </w:rPr>
        <w:t>analysi</w:t>
      </w:r>
      <w:r w:rsidRPr="00B1018D">
        <w:rPr>
          <w:rFonts w:ascii="Arial" w:hAnsi="Arial" w:cs="Arial"/>
          <w:sz w:val="24"/>
          <w:szCs w:val="24"/>
        </w:rPr>
        <w:t xml:space="preserve">s confirmed that </w:t>
      </w:r>
      <w:r w:rsidR="00304E8E" w:rsidRPr="00B1018D">
        <w:rPr>
          <w:rFonts w:ascii="Arial" w:hAnsi="Arial" w:cs="Arial"/>
          <w:sz w:val="24"/>
          <w:szCs w:val="24"/>
        </w:rPr>
        <w:t xml:space="preserve">a </w:t>
      </w:r>
      <w:r w:rsidRPr="00B1018D">
        <w:rPr>
          <w:rFonts w:ascii="Arial" w:hAnsi="Arial" w:cs="Arial"/>
          <w:sz w:val="24"/>
          <w:szCs w:val="24"/>
        </w:rPr>
        <w:t>hypoxic environment significantly induced the apoptosis of BMMSCs at 72</w:t>
      </w:r>
      <w:r w:rsidR="00304E8E" w:rsidRPr="00B1018D">
        <w:rPr>
          <w:rFonts w:ascii="Arial" w:hAnsi="Arial" w:cs="Arial"/>
          <w:sz w:val="24"/>
          <w:szCs w:val="24"/>
        </w:rPr>
        <w:t xml:space="preserve"> </w:t>
      </w:r>
      <w:r w:rsidRPr="00B1018D">
        <w:rPr>
          <w:rFonts w:ascii="Arial" w:hAnsi="Arial" w:cs="Arial"/>
          <w:sz w:val="24"/>
          <w:szCs w:val="24"/>
        </w:rPr>
        <w:t>h</w:t>
      </w:r>
      <w:r w:rsidR="00304E8E" w:rsidRPr="00B1018D">
        <w:rPr>
          <w:rFonts w:ascii="Arial" w:hAnsi="Arial" w:cs="Arial"/>
          <w:sz w:val="24"/>
          <w:szCs w:val="24"/>
        </w:rPr>
        <w:t xml:space="preserve"> but</w:t>
      </w:r>
      <w:r w:rsidRPr="00B1018D">
        <w:rPr>
          <w:rFonts w:ascii="Arial" w:hAnsi="Arial" w:cs="Arial"/>
          <w:sz w:val="24"/>
          <w:szCs w:val="24"/>
        </w:rPr>
        <w:t xml:space="preserve"> there was no necrosis under hypoxia condition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. </w:t>
      </w:r>
      <w:r w:rsidR="004D25D8" w:rsidRPr="00B1018D">
        <w:rPr>
          <w:rFonts w:ascii="Arial" w:hAnsi="Arial" w:cs="Arial"/>
          <w:sz w:val="24"/>
          <w:szCs w:val="24"/>
        </w:rPr>
        <w:t>Scale bar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="004D25D8" w:rsidRPr="00B1018D">
        <w:rPr>
          <w:rFonts w:ascii="Arial" w:hAnsi="Arial" w:cs="Arial"/>
          <w:sz w:val="24"/>
          <w:szCs w:val="24"/>
        </w:rPr>
        <w:t>: 20</w:t>
      </w:r>
      <w:r w:rsidR="00304E8E" w:rsidRPr="00B1018D">
        <w:rPr>
          <w:rFonts w:ascii="Arial" w:hAnsi="Arial" w:cs="Arial"/>
          <w:sz w:val="24"/>
          <w:szCs w:val="24"/>
        </w:rPr>
        <w:t xml:space="preserve"> </w:t>
      </w:r>
      <w:r w:rsidR="004D25D8" w:rsidRPr="00B1018D">
        <w:rPr>
          <w:rFonts w:ascii="Arial" w:hAnsi="Arial" w:cs="Arial"/>
          <w:sz w:val="24"/>
          <w:szCs w:val="24"/>
        </w:rPr>
        <w:t xml:space="preserve">μm. </w:t>
      </w:r>
      <w:r w:rsidRPr="00B1018D">
        <w:rPr>
          <w:rFonts w:ascii="Arial" w:hAnsi="Arial" w:cs="Arial"/>
          <w:sz w:val="24"/>
          <w:szCs w:val="24"/>
        </w:rPr>
        <w:t xml:space="preserve">Data are </w:t>
      </w:r>
      <w:r w:rsidR="00304E8E" w:rsidRPr="00B1018D">
        <w:rPr>
          <w:rFonts w:ascii="Arial" w:hAnsi="Arial" w:cs="Arial"/>
          <w:kern w:val="0"/>
          <w:sz w:val="24"/>
          <w:szCs w:val="24"/>
        </w:rPr>
        <w:t xml:space="preserve">reported as </w:t>
      </w:r>
      <w:r w:rsidRPr="00B1018D">
        <w:rPr>
          <w:rFonts w:ascii="Arial" w:hAnsi="Arial" w:cs="Arial"/>
          <w:sz w:val="24"/>
          <w:szCs w:val="24"/>
        </w:rPr>
        <w:t>mean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 ± SD (n = 3). *</w:t>
      </w:r>
      <w:r w:rsidRPr="00B1018D">
        <w:rPr>
          <w:rFonts w:ascii="Arial" w:hAnsi="Arial" w:cs="Arial"/>
          <w:i/>
          <w:sz w:val="24"/>
          <w:szCs w:val="24"/>
        </w:rPr>
        <w:t xml:space="preserve"> p</w:t>
      </w:r>
      <w:r w:rsidRPr="00B1018D">
        <w:rPr>
          <w:rFonts w:ascii="Arial" w:hAnsi="Arial" w:cs="Arial"/>
          <w:sz w:val="24"/>
          <w:szCs w:val="24"/>
        </w:rPr>
        <w:t xml:space="preserve"> &lt; 0.05, ***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0.001, ****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0.0001.</w:t>
      </w:r>
    </w:p>
    <w:p w14:paraId="0CCFE7A7" w14:textId="627A9AD7" w:rsidR="00B1018D" w:rsidRPr="00B1018D" w:rsidRDefault="00FB37EB" w:rsidP="00BD4D00">
      <w:pPr>
        <w:spacing w:after="0" w:line="360" w:lineRule="auto"/>
        <w:rPr>
          <w:rFonts w:ascii="Arial" w:hAnsi="Arial" w:cs="Arial" w:hint="eastAsia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FIGURE S</w:t>
      </w:r>
      <w:r w:rsidR="002E0164" w:rsidRPr="00B1018D">
        <w:rPr>
          <w:rFonts w:ascii="Arial" w:hAnsi="Arial" w:cs="Arial"/>
          <w:b/>
          <w:bCs/>
          <w:sz w:val="24"/>
          <w:szCs w:val="24"/>
        </w:rPr>
        <w:t>2</w:t>
      </w:r>
      <w:r w:rsidRPr="00B1018D">
        <w:rPr>
          <w:rFonts w:ascii="Arial" w:hAnsi="Arial" w:cs="Arial"/>
          <w:sz w:val="24"/>
          <w:szCs w:val="24"/>
        </w:rPr>
        <w:t xml:space="preserve"> miR-223-3p inhibit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 the differentiation of osteoclast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. </w:t>
      </w:r>
      <w:r w:rsidRPr="00B1018D">
        <w:rPr>
          <w:rFonts w:ascii="Arial" w:hAnsi="Arial" w:cs="Arial"/>
          <w:b/>
          <w:bCs/>
          <w:sz w:val="24"/>
          <w:szCs w:val="24"/>
        </w:rPr>
        <w:t>(A-E)</w:t>
      </w:r>
      <w:r w:rsidRPr="00B1018D">
        <w:rPr>
          <w:rFonts w:ascii="Arial" w:hAnsi="Arial" w:cs="Arial"/>
          <w:sz w:val="24"/>
          <w:szCs w:val="24"/>
        </w:rPr>
        <w:t xml:space="preserve"> The downregulation of miR-223-3p elevated the </w:t>
      </w:r>
      <w:r w:rsidR="00304E8E" w:rsidRPr="00B1018D">
        <w:rPr>
          <w:rFonts w:ascii="Arial" w:hAnsi="Arial" w:cs="Arial"/>
          <w:sz w:val="24"/>
          <w:szCs w:val="24"/>
        </w:rPr>
        <w:t xml:space="preserve">number of </w:t>
      </w:r>
      <w:r w:rsidR="00E428EE" w:rsidRPr="00B1018D">
        <w:rPr>
          <w:rFonts w:ascii="Arial" w:hAnsi="Arial" w:cs="Arial"/>
          <w:sz w:val="24"/>
          <w:szCs w:val="24"/>
        </w:rPr>
        <w:t>TRAP</w:t>
      </w:r>
      <w:r w:rsidR="00304E8E" w:rsidRPr="00B1018D">
        <w:rPr>
          <w:rFonts w:ascii="Arial" w:hAnsi="Arial" w:cs="Arial"/>
          <w:sz w:val="24"/>
          <w:szCs w:val="24"/>
        </w:rPr>
        <w:t>-</w:t>
      </w:r>
      <w:r w:rsidRPr="00B1018D">
        <w:rPr>
          <w:rFonts w:ascii="Arial" w:hAnsi="Arial" w:cs="Arial"/>
          <w:sz w:val="24"/>
          <w:szCs w:val="24"/>
        </w:rPr>
        <w:t>positive cells</w:t>
      </w:r>
      <w:r w:rsidR="00304E8E" w:rsidRPr="00B1018D">
        <w:rPr>
          <w:rFonts w:ascii="Arial" w:hAnsi="Arial" w:cs="Arial"/>
          <w:sz w:val="24"/>
          <w:szCs w:val="24"/>
        </w:rPr>
        <w:t xml:space="preserve"> and</w:t>
      </w:r>
      <w:r w:rsidRPr="00B1018D">
        <w:rPr>
          <w:rFonts w:ascii="Arial" w:hAnsi="Arial" w:cs="Arial"/>
          <w:sz w:val="24"/>
          <w:szCs w:val="24"/>
        </w:rPr>
        <w:t xml:space="preserve"> induced the expression of CTSK and Nfatc1. </w:t>
      </w:r>
      <w:r w:rsidRPr="00B1018D">
        <w:rPr>
          <w:rFonts w:ascii="Arial" w:hAnsi="Arial" w:cs="Arial"/>
          <w:b/>
          <w:bCs/>
          <w:sz w:val="24"/>
          <w:szCs w:val="24"/>
        </w:rPr>
        <w:t xml:space="preserve">(F) </w:t>
      </w:r>
      <w:r w:rsidRPr="00B1018D">
        <w:rPr>
          <w:rFonts w:ascii="Arial" w:hAnsi="Arial" w:cs="Arial"/>
          <w:sz w:val="24"/>
          <w:szCs w:val="24"/>
        </w:rPr>
        <w:t>The inhibition of miR-223-3p didn’t h</w:t>
      </w:r>
      <w:r w:rsidR="00304E8E" w:rsidRPr="00B1018D">
        <w:rPr>
          <w:rFonts w:ascii="Arial" w:hAnsi="Arial" w:cs="Arial"/>
          <w:sz w:val="24"/>
          <w:szCs w:val="24"/>
        </w:rPr>
        <w:t>ave</w:t>
      </w:r>
      <w:r w:rsidRPr="00B1018D">
        <w:rPr>
          <w:rFonts w:ascii="Arial" w:hAnsi="Arial" w:cs="Arial"/>
          <w:sz w:val="24"/>
          <w:szCs w:val="24"/>
        </w:rPr>
        <w:t xml:space="preserve"> </w:t>
      </w:r>
      <w:r w:rsidR="00E428EE" w:rsidRPr="00B1018D">
        <w:rPr>
          <w:rFonts w:ascii="Arial" w:hAnsi="Arial" w:cs="Arial"/>
          <w:sz w:val="24"/>
          <w:szCs w:val="24"/>
        </w:rPr>
        <w:t>a significant</w:t>
      </w:r>
      <w:r w:rsidRPr="00B1018D">
        <w:rPr>
          <w:rFonts w:ascii="Arial" w:hAnsi="Arial" w:cs="Arial"/>
          <w:sz w:val="24"/>
          <w:szCs w:val="24"/>
        </w:rPr>
        <w:t xml:space="preserve"> effect on the bone resorption ability of osteoclasts, as show</w:t>
      </w:r>
      <w:r w:rsidR="00304E8E" w:rsidRPr="00B1018D">
        <w:rPr>
          <w:rFonts w:ascii="Arial" w:hAnsi="Arial" w:cs="Arial"/>
          <w:sz w:val="24"/>
          <w:szCs w:val="24"/>
        </w:rPr>
        <w:t>n</w:t>
      </w:r>
      <w:r w:rsidRPr="00B1018D">
        <w:rPr>
          <w:rFonts w:ascii="Arial" w:hAnsi="Arial" w:cs="Arial"/>
          <w:sz w:val="24"/>
          <w:szCs w:val="24"/>
        </w:rPr>
        <w:t xml:space="preserve"> by FITC-phalloidin staining and </w:t>
      </w:r>
      <w:r w:rsidR="00E428EE" w:rsidRPr="00B1018D">
        <w:rPr>
          <w:rFonts w:ascii="Arial" w:hAnsi="Arial" w:cs="Arial"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it formation assay. </w:t>
      </w:r>
      <w:r w:rsidRPr="00B1018D">
        <w:rPr>
          <w:rFonts w:ascii="Arial" w:hAnsi="Arial" w:cs="Arial"/>
          <w:b/>
          <w:bCs/>
          <w:sz w:val="24"/>
          <w:szCs w:val="24"/>
        </w:rPr>
        <w:t>(G)</w:t>
      </w:r>
      <w:r w:rsidRPr="00B1018D">
        <w:rPr>
          <w:rFonts w:ascii="Arial" w:hAnsi="Arial" w:cs="Arial"/>
          <w:sz w:val="24"/>
          <w:szCs w:val="24"/>
        </w:rPr>
        <w:t xml:space="preserve"> The expression of integrin </w:t>
      </w:r>
      <w:r w:rsidR="002150A7" w:rsidRPr="00B1018D">
        <w:rPr>
          <w:rFonts w:ascii="Arial" w:hAnsi="Arial" w:cs="Arial"/>
          <w:sz w:val="24"/>
          <w:szCs w:val="24"/>
        </w:rPr>
        <w:t>β</w:t>
      </w:r>
      <w:r w:rsidRPr="00B1018D">
        <w:rPr>
          <w:rFonts w:ascii="Arial" w:hAnsi="Arial" w:cs="Arial"/>
          <w:sz w:val="24"/>
          <w:szCs w:val="24"/>
        </w:rPr>
        <w:t xml:space="preserve">1 </w:t>
      </w:r>
      <w:r w:rsidR="00E428EE" w:rsidRPr="00B1018D">
        <w:rPr>
          <w:rFonts w:ascii="Arial" w:hAnsi="Arial" w:cs="Arial"/>
          <w:sz w:val="24"/>
          <w:szCs w:val="24"/>
        </w:rPr>
        <w:t>was</w:t>
      </w:r>
      <w:r w:rsidRPr="00B1018D">
        <w:rPr>
          <w:rFonts w:ascii="Arial" w:hAnsi="Arial" w:cs="Arial"/>
          <w:sz w:val="24"/>
          <w:szCs w:val="24"/>
        </w:rPr>
        <w:t>n’t significant</w:t>
      </w:r>
      <w:r w:rsidR="00E428EE" w:rsidRPr="00B1018D">
        <w:rPr>
          <w:rFonts w:ascii="Arial" w:hAnsi="Arial" w:cs="Arial"/>
          <w:sz w:val="24"/>
          <w:szCs w:val="24"/>
        </w:rPr>
        <w:t>ly</w:t>
      </w:r>
      <w:r w:rsidRPr="00B1018D">
        <w:rPr>
          <w:rFonts w:ascii="Arial" w:hAnsi="Arial" w:cs="Arial"/>
          <w:sz w:val="24"/>
          <w:szCs w:val="24"/>
        </w:rPr>
        <w:t xml:space="preserve"> differen</w:t>
      </w:r>
      <w:r w:rsidR="00E428EE" w:rsidRPr="00B1018D">
        <w:rPr>
          <w:rFonts w:ascii="Arial" w:hAnsi="Arial" w:cs="Arial"/>
          <w:sz w:val="24"/>
          <w:szCs w:val="24"/>
        </w:rPr>
        <w:t>t</w:t>
      </w:r>
      <w:r w:rsidRPr="00B1018D">
        <w:rPr>
          <w:rFonts w:ascii="Arial" w:hAnsi="Arial" w:cs="Arial"/>
          <w:sz w:val="24"/>
          <w:szCs w:val="24"/>
        </w:rPr>
        <w:t xml:space="preserve"> between</w:t>
      </w:r>
      <w:r w:rsidR="00304E8E" w:rsidRPr="00B1018D">
        <w:rPr>
          <w:rFonts w:ascii="Arial" w:hAnsi="Arial" w:cs="Arial"/>
          <w:sz w:val="24"/>
          <w:szCs w:val="24"/>
        </w:rPr>
        <w:t xml:space="preserve"> the</w:t>
      </w:r>
      <w:r w:rsidRPr="00B1018D">
        <w:rPr>
          <w:rFonts w:ascii="Arial" w:hAnsi="Arial" w:cs="Arial"/>
          <w:sz w:val="24"/>
          <w:szCs w:val="24"/>
        </w:rPr>
        <w:t xml:space="preserve"> </w:t>
      </w:r>
      <w:r w:rsidR="00E428EE" w:rsidRPr="00B1018D">
        <w:rPr>
          <w:rFonts w:ascii="Arial" w:hAnsi="Arial" w:cs="Arial"/>
          <w:sz w:val="24"/>
          <w:szCs w:val="24"/>
        </w:rPr>
        <w:t>osteoclast</w:t>
      </w:r>
      <w:r w:rsidRPr="00B1018D">
        <w:rPr>
          <w:rFonts w:ascii="Arial" w:hAnsi="Arial" w:cs="Arial"/>
          <w:sz w:val="24"/>
          <w:szCs w:val="24"/>
        </w:rPr>
        <w:t xml:space="preserve"> groups. </w:t>
      </w:r>
      <w:r w:rsidR="004D25D8" w:rsidRPr="00B1018D">
        <w:rPr>
          <w:rFonts w:ascii="Arial" w:hAnsi="Arial" w:cs="Arial"/>
          <w:sz w:val="24"/>
          <w:szCs w:val="24"/>
        </w:rPr>
        <w:t>Scale bar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="004D25D8" w:rsidRPr="00B1018D">
        <w:rPr>
          <w:rFonts w:ascii="Arial" w:hAnsi="Arial" w:cs="Arial"/>
          <w:sz w:val="24"/>
          <w:szCs w:val="24"/>
        </w:rPr>
        <w:t>: 20</w:t>
      </w:r>
      <w:r w:rsidR="00304E8E" w:rsidRPr="00B1018D">
        <w:rPr>
          <w:rFonts w:ascii="Arial" w:hAnsi="Arial" w:cs="Arial"/>
          <w:sz w:val="24"/>
          <w:szCs w:val="24"/>
        </w:rPr>
        <w:t xml:space="preserve"> </w:t>
      </w:r>
      <w:r w:rsidR="004D25D8" w:rsidRPr="00B1018D">
        <w:rPr>
          <w:rFonts w:ascii="Arial" w:hAnsi="Arial" w:cs="Arial"/>
          <w:sz w:val="24"/>
          <w:szCs w:val="24"/>
        </w:rPr>
        <w:t xml:space="preserve">μm. </w:t>
      </w:r>
      <w:r w:rsidRPr="00B1018D">
        <w:rPr>
          <w:rFonts w:ascii="Arial" w:hAnsi="Arial" w:cs="Arial"/>
          <w:sz w:val="24"/>
          <w:szCs w:val="24"/>
        </w:rPr>
        <w:t xml:space="preserve">Data are </w:t>
      </w:r>
      <w:r w:rsidR="00304E8E" w:rsidRPr="00B1018D">
        <w:rPr>
          <w:rFonts w:ascii="Arial" w:hAnsi="Arial" w:cs="Arial"/>
          <w:kern w:val="0"/>
          <w:sz w:val="24"/>
          <w:szCs w:val="24"/>
        </w:rPr>
        <w:t xml:space="preserve">reported as </w:t>
      </w:r>
      <w:r w:rsidRPr="00B1018D">
        <w:rPr>
          <w:rFonts w:ascii="Arial" w:hAnsi="Arial" w:cs="Arial"/>
          <w:sz w:val="24"/>
          <w:szCs w:val="24"/>
        </w:rPr>
        <w:t>mean</w:t>
      </w:r>
      <w:r w:rsidR="00304E8E" w:rsidRPr="00B1018D">
        <w:rPr>
          <w:rFonts w:ascii="Arial" w:hAnsi="Arial" w:cs="Arial"/>
          <w:sz w:val="24"/>
          <w:szCs w:val="24"/>
        </w:rPr>
        <w:t>s</w:t>
      </w:r>
      <w:r w:rsidRPr="00B1018D">
        <w:rPr>
          <w:rFonts w:ascii="Arial" w:hAnsi="Arial" w:cs="Arial"/>
          <w:sz w:val="24"/>
          <w:szCs w:val="24"/>
        </w:rPr>
        <w:t xml:space="preserve"> ± SD (n = 3). *</w:t>
      </w:r>
      <w:r w:rsidRPr="00B1018D">
        <w:rPr>
          <w:rFonts w:ascii="Arial" w:hAnsi="Arial" w:cs="Arial"/>
          <w:i/>
          <w:sz w:val="24"/>
          <w:szCs w:val="24"/>
        </w:rPr>
        <w:t xml:space="preserve"> p</w:t>
      </w:r>
      <w:r w:rsidRPr="00B1018D">
        <w:rPr>
          <w:rFonts w:ascii="Arial" w:hAnsi="Arial" w:cs="Arial"/>
          <w:sz w:val="24"/>
          <w:szCs w:val="24"/>
        </w:rPr>
        <w:t xml:space="preserve"> &lt; 0.05, 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0.01, ***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0.001.</w:t>
      </w:r>
    </w:p>
    <w:p w14:paraId="17839748" w14:textId="44A5E943" w:rsidR="001D4994" w:rsidRDefault="002E0164" w:rsidP="00B1018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FIGURE S3</w:t>
      </w:r>
      <w:r w:rsidRPr="00B1018D">
        <w:rPr>
          <w:rFonts w:ascii="Arial" w:hAnsi="Arial" w:cs="Arial"/>
          <w:sz w:val="24"/>
          <w:szCs w:val="24"/>
        </w:rPr>
        <w:t xml:space="preserve"> DC-STAMP mediates the phagocytosis of ABs by osteoclasts. </w:t>
      </w:r>
      <w:r w:rsidRPr="00B1018D">
        <w:rPr>
          <w:rFonts w:ascii="Arial" w:hAnsi="Arial" w:cs="Arial"/>
          <w:b/>
          <w:bCs/>
          <w:sz w:val="24"/>
          <w:szCs w:val="24"/>
        </w:rPr>
        <w:t>(A, B)</w:t>
      </w:r>
      <w:r w:rsidRPr="00B1018D">
        <w:rPr>
          <w:rFonts w:ascii="Arial" w:hAnsi="Arial" w:cs="Arial"/>
          <w:sz w:val="24"/>
          <w:szCs w:val="24"/>
        </w:rPr>
        <w:t xml:space="preserve"> The </w:t>
      </w:r>
      <w:proofErr w:type="gramStart"/>
      <w:r w:rsidRPr="00B1018D">
        <w:rPr>
          <w:rFonts w:ascii="Arial" w:hAnsi="Arial" w:cs="Arial"/>
          <w:sz w:val="24"/>
          <w:szCs w:val="24"/>
        </w:rPr>
        <w:t>down-regulation</w:t>
      </w:r>
      <w:proofErr w:type="gramEnd"/>
      <w:r w:rsidRPr="00B1018D">
        <w:rPr>
          <w:rFonts w:ascii="Arial" w:hAnsi="Arial" w:cs="Arial"/>
          <w:sz w:val="24"/>
          <w:szCs w:val="24"/>
        </w:rPr>
        <w:t xml:space="preserve"> of DC-STAMP in BMMSCs led to the knock-down of DC-STAMP in </w:t>
      </w:r>
      <w:proofErr w:type="spellStart"/>
      <w:r w:rsidRPr="00B1018D">
        <w:rPr>
          <w:rFonts w:ascii="Arial" w:hAnsi="Arial" w:cs="Arial"/>
          <w:sz w:val="24"/>
          <w:szCs w:val="24"/>
        </w:rPr>
        <w:t>ABs.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The AB-siRNA was difficult to be phagocytosed by pre-OCs compared to </w:t>
      </w:r>
      <w:proofErr w:type="spellStart"/>
      <w:r w:rsidRPr="00B1018D">
        <w:rPr>
          <w:rFonts w:ascii="Arial" w:hAnsi="Arial" w:cs="Arial"/>
          <w:sz w:val="24"/>
          <w:szCs w:val="24"/>
        </w:rPr>
        <w:t>ABs.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 </w:t>
      </w:r>
      <w:r w:rsidRPr="00B1018D">
        <w:rPr>
          <w:rFonts w:ascii="Arial" w:hAnsi="Arial" w:cs="Arial"/>
          <w:b/>
          <w:bCs/>
          <w:sz w:val="24"/>
          <w:szCs w:val="24"/>
        </w:rPr>
        <w:t>(C-F)</w:t>
      </w:r>
      <w:r w:rsidRPr="00B1018D">
        <w:rPr>
          <w:rFonts w:ascii="Arial" w:hAnsi="Arial" w:cs="Arial"/>
          <w:sz w:val="24"/>
          <w:szCs w:val="24"/>
        </w:rPr>
        <w:t xml:space="preserve"> AB-siRNA showed a reduced ability to inhibit the expression of CTSK, Nfatc1 and Itgb1, as well as TRAP-positive cells. Scale bars: 20 </w:t>
      </w:r>
      <w:proofErr w:type="spellStart"/>
      <w:r w:rsidRPr="00B1018D">
        <w:rPr>
          <w:rFonts w:ascii="Arial" w:hAnsi="Arial" w:cs="Arial"/>
          <w:sz w:val="24"/>
          <w:szCs w:val="24"/>
        </w:rPr>
        <w:t>μm</w:t>
      </w:r>
      <w:proofErr w:type="spellEnd"/>
      <w:r w:rsidRPr="00B1018D">
        <w:rPr>
          <w:rFonts w:ascii="Arial" w:hAnsi="Arial" w:cs="Arial"/>
          <w:sz w:val="24"/>
          <w:szCs w:val="24"/>
        </w:rPr>
        <w:t xml:space="preserve">. Data are </w:t>
      </w:r>
      <w:r w:rsidRPr="00B1018D">
        <w:rPr>
          <w:rFonts w:ascii="Arial" w:hAnsi="Arial" w:cs="Arial"/>
          <w:kern w:val="0"/>
          <w:sz w:val="24"/>
          <w:szCs w:val="24"/>
        </w:rPr>
        <w:t xml:space="preserve">reported as </w:t>
      </w:r>
      <w:r w:rsidRPr="00B1018D">
        <w:rPr>
          <w:rFonts w:ascii="Arial" w:hAnsi="Arial" w:cs="Arial"/>
          <w:sz w:val="24"/>
          <w:szCs w:val="24"/>
        </w:rPr>
        <w:t>means ± SD (n = 3). *</w:t>
      </w:r>
      <w:r w:rsidRPr="00B1018D">
        <w:rPr>
          <w:rFonts w:ascii="Arial" w:hAnsi="Arial" w:cs="Arial"/>
          <w:i/>
          <w:sz w:val="24"/>
          <w:szCs w:val="24"/>
        </w:rPr>
        <w:t xml:space="preserve"> p</w:t>
      </w:r>
      <w:r w:rsidRPr="00B1018D">
        <w:rPr>
          <w:rFonts w:ascii="Arial" w:hAnsi="Arial" w:cs="Arial"/>
          <w:sz w:val="24"/>
          <w:szCs w:val="24"/>
        </w:rPr>
        <w:t xml:space="preserve"> &lt; 0.05, 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0.01, ***</w:t>
      </w:r>
      <w:r w:rsidRPr="00B1018D">
        <w:rPr>
          <w:rFonts w:ascii="Arial" w:hAnsi="Arial" w:cs="Arial"/>
          <w:i/>
          <w:sz w:val="24"/>
          <w:szCs w:val="24"/>
        </w:rPr>
        <w:t>p</w:t>
      </w:r>
      <w:r w:rsidRPr="00B1018D">
        <w:rPr>
          <w:rFonts w:ascii="Arial" w:hAnsi="Arial" w:cs="Arial"/>
          <w:sz w:val="24"/>
          <w:szCs w:val="24"/>
        </w:rPr>
        <w:t xml:space="preserve"> &lt; 0.001. </w:t>
      </w:r>
    </w:p>
    <w:p w14:paraId="012E3A6F" w14:textId="6584706A" w:rsidR="00B1018D" w:rsidRDefault="00B1018D">
      <w:pPr>
        <w:widowControl/>
        <w:wordWrap/>
        <w:autoSpaceDE/>
        <w:autoSpaceDN/>
        <w:spacing w:after="0"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BA62630" w14:textId="6186BA09" w:rsidR="007A2DFF" w:rsidRPr="007A2DFF" w:rsidRDefault="00B1018D" w:rsidP="007A2DFF">
      <w:pPr>
        <w:spacing w:after="0" w:line="360" w:lineRule="auto"/>
        <w:rPr>
          <w:rFonts w:ascii="Arial" w:hAnsi="Arial" w:cs="Arial" w:hint="eastAsia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lastRenderedPageBreak/>
        <w:t>TABLE S1</w:t>
      </w:r>
      <w:r>
        <w:rPr>
          <w:rFonts w:ascii="Arial" w:hAnsi="Arial" w:cs="Arial"/>
          <w:sz w:val="24"/>
          <w:szCs w:val="24"/>
        </w:rPr>
        <w:t xml:space="preserve"> </w:t>
      </w:r>
      <w:r w:rsidRPr="00B1018D">
        <w:rPr>
          <w:rFonts w:ascii="Arial" w:hAnsi="Arial" w:cs="Arial"/>
          <w:sz w:val="24"/>
          <w:szCs w:val="24"/>
        </w:rPr>
        <w:t>Antibodies for Western blot analysi</w:t>
      </w:r>
      <w:r>
        <w:rPr>
          <w:rFonts w:ascii="Arial" w:hAnsi="Arial" w:cs="Arial"/>
          <w:sz w:val="24"/>
          <w:szCs w:val="24"/>
        </w:rPr>
        <w:t>s.</w:t>
      </w:r>
    </w:p>
    <w:tbl>
      <w:tblPr>
        <w:tblStyle w:val="a5"/>
        <w:tblpPr w:leftFromText="180" w:rightFromText="180" w:vertAnchor="text" w:horzAnchor="margin" w:tblpY="-7"/>
        <w:tblW w:w="0" w:type="auto"/>
        <w:tblLook w:val="04A0" w:firstRow="1" w:lastRow="0" w:firstColumn="1" w:lastColumn="0" w:noHBand="0" w:noVBand="1"/>
      </w:tblPr>
      <w:tblGrid>
        <w:gridCol w:w="1838"/>
        <w:gridCol w:w="1276"/>
        <w:gridCol w:w="3146"/>
        <w:gridCol w:w="2030"/>
      </w:tblGrid>
      <w:tr w:rsidR="007A2DFF" w:rsidRPr="00B1018D" w14:paraId="414539E4" w14:textId="77777777" w:rsidTr="007A2DFF">
        <w:tc>
          <w:tcPr>
            <w:tcW w:w="1838" w:type="dxa"/>
          </w:tcPr>
          <w:p w14:paraId="23C45612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18D">
              <w:rPr>
                <w:rFonts w:ascii="Arial" w:hAnsi="Arial" w:cs="Arial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1276" w:type="dxa"/>
          </w:tcPr>
          <w:p w14:paraId="3E26A7C3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18D">
              <w:rPr>
                <w:rFonts w:ascii="Arial" w:hAnsi="Arial" w:cs="Arial"/>
                <w:b/>
                <w:bCs/>
                <w:sz w:val="24"/>
                <w:szCs w:val="24"/>
              </w:rPr>
              <w:t>Dilution</w:t>
            </w:r>
          </w:p>
        </w:tc>
        <w:tc>
          <w:tcPr>
            <w:tcW w:w="3146" w:type="dxa"/>
          </w:tcPr>
          <w:p w14:paraId="6BFEB8A8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18D">
              <w:rPr>
                <w:rFonts w:ascii="Arial" w:hAnsi="Arial" w:cs="Arial"/>
                <w:b/>
                <w:bCs/>
                <w:sz w:val="24"/>
                <w:szCs w:val="24"/>
              </w:rPr>
              <w:t>Company</w:t>
            </w:r>
          </w:p>
        </w:tc>
        <w:tc>
          <w:tcPr>
            <w:tcW w:w="2030" w:type="dxa"/>
          </w:tcPr>
          <w:p w14:paraId="25FEF68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018D">
              <w:rPr>
                <w:rFonts w:ascii="Arial" w:hAnsi="Arial" w:cs="Arial"/>
                <w:b/>
                <w:bCs/>
                <w:sz w:val="24"/>
                <w:szCs w:val="24"/>
              </w:rPr>
              <w:t>Catalog number</w:t>
            </w:r>
          </w:p>
        </w:tc>
      </w:tr>
      <w:tr w:rsidR="007A2DFF" w:rsidRPr="00B1018D" w14:paraId="2AAA6FBD" w14:textId="77777777" w:rsidTr="007A2DFF">
        <w:tc>
          <w:tcPr>
            <w:tcW w:w="1838" w:type="dxa"/>
          </w:tcPr>
          <w:p w14:paraId="17CAC249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HIF1-1a</w:t>
            </w:r>
          </w:p>
        </w:tc>
        <w:tc>
          <w:tcPr>
            <w:tcW w:w="1276" w:type="dxa"/>
          </w:tcPr>
          <w:p w14:paraId="588C37EB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164A2491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1018D">
              <w:rPr>
                <w:rFonts w:ascii="Arial" w:hAnsi="Arial" w:cs="Arial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030" w:type="dxa"/>
          </w:tcPr>
          <w:p w14:paraId="35697B42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20960-1-AP</w:t>
            </w:r>
          </w:p>
        </w:tc>
      </w:tr>
      <w:tr w:rsidR="007A2DFF" w:rsidRPr="00B1018D" w14:paraId="13AE5FD9" w14:textId="77777777" w:rsidTr="007A2DFF">
        <w:tc>
          <w:tcPr>
            <w:tcW w:w="1838" w:type="dxa"/>
          </w:tcPr>
          <w:p w14:paraId="678D7A8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1018D">
              <w:rPr>
                <w:rFonts w:ascii="Arial" w:hAnsi="Arial" w:cs="Arial"/>
                <w:sz w:val="24"/>
                <w:szCs w:val="24"/>
              </w:rPr>
              <w:t>Bax</w:t>
            </w:r>
            <w:proofErr w:type="spellEnd"/>
          </w:p>
        </w:tc>
        <w:tc>
          <w:tcPr>
            <w:tcW w:w="1276" w:type="dxa"/>
          </w:tcPr>
          <w:p w14:paraId="39A36BB5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1:500</w:t>
            </w:r>
          </w:p>
        </w:tc>
        <w:tc>
          <w:tcPr>
            <w:tcW w:w="3146" w:type="dxa"/>
          </w:tcPr>
          <w:p w14:paraId="4D67DB97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  <w:tc>
          <w:tcPr>
            <w:tcW w:w="2030" w:type="dxa"/>
          </w:tcPr>
          <w:p w14:paraId="24600BB8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ab32503</w:t>
            </w:r>
          </w:p>
        </w:tc>
      </w:tr>
      <w:tr w:rsidR="007A2DFF" w:rsidRPr="00B1018D" w14:paraId="1DBEDECD" w14:textId="77777777" w:rsidTr="007A2DFF">
        <w:tc>
          <w:tcPr>
            <w:tcW w:w="1838" w:type="dxa"/>
          </w:tcPr>
          <w:p w14:paraId="239FBEAE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Cleaved casp3</w:t>
            </w:r>
          </w:p>
        </w:tc>
        <w:tc>
          <w:tcPr>
            <w:tcW w:w="1276" w:type="dxa"/>
          </w:tcPr>
          <w:p w14:paraId="4262F18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68D98DFB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030" w:type="dxa"/>
          </w:tcPr>
          <w:p w14:paraId="7D28B544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9964S</w:t>
            </w:r>
          </w:p>
        </w:tc>
      </w:tr>
      <w:tr w:rsidR="007A2DFF" w:rsidRPr="00B1018D" w14:paraId="569BA3A4" w14:textId="77777777" w:rsidTr="007A2DFF">
        <w:tc>
          <w:tcPr>
            <w:tcW w:w="1838" w:type="dxa"/>
          </w:tcPr>
          <w:p w14:paraId="3E7623EE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MLKL</w:t>
            </w:r>
          </w:p>
        </w:tc>
        <w:tc>
          <w:tcPr>
            <w:tcW w:w="1276" w:type="dxa"/>
          </w:tcPr>
          <w:p w14:paraId="554D49E9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1119516E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1018D">
              <w:rPr>
                <w:rFonts w:ascii="Arial" w:hAnsi="Arial" w:cs="Arial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030" w:type="dxa"/>
          </w:tcPr>
          <w:p w14:paraId="13559E03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66675-1-LG</w:t>
            </w:r>
          </w:p>
        </w:tc>
      </w:tr>
      <w:tr w:rsidR="007A2DFF" w:rsidRPr="00B1018D" w14:paraId="3D2E126D" w14:textId="77777777" w:rsidTr="007A2DFF">
        <w:tc>
          <w:tcPr>
            <w:tcW w:w="1838" w:type="dxa"/>
          </w:tcPr>
          <w:p w14:paraId="2BE1C084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Nfatc1</w:t>
            </w:r>
          </w:p>
        </w:tc>
        <w:tc>
          <w:tcPr>
            <w:tcW w:w="1276" w:type="dxa"/>
          </w:tcPr>
          <w:p w14:paraId="0EA35E0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1:500</w:t>
            </w:r>
          </w:p>
        </w:tc>
        <w:tc>
          <w:tcPr>
            <w:tcW w:w="3146" w:type="dxa"/>
          </w:tcPr>
          <w:p w14:paraId="2C5BC0E3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  <w:tc>
          <w:tcPr>
            <w:tcW w:w="2030" w:type="dxa"/>
          </w:tcPr>
          <w:p w14:paraId="570385BA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ab25916</w:t>
            </w:r>
          </w:p>
        </w:tc>
      </w:tr>
      <w:tr w:rsidR="007A2DFF" w:rsidRPr="00B1018D" w14:paraId="4FBCAB33" w14:textId="77777777" w:rsidTr="007A2DFF">
        <w:tc>
          <w:tcPr>
            <w:tcW w:w="1838" w:type="dxa"/>
          </w:tcPr>
          <w:p w14:paraId="2B85C1FB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CTSK</w:t>
            </w:r>
          </w:p>
        </w:tc>
        <w:tc>
          <w:tcPr>
            <w:tcW w:w="1276" w:type="dxa"/>
          </w:tcPr>
          <w:p w14:paraId="456F809E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1:500</w:t>
            </w:r>
          </w:p>
        </w:tc>
        <w:tc>
          <w:tcPr>
            <w:tcW w:w="3146" w:type="dxa"/>
          </w:tcPr>
          <w:p w14:paraId="61A5FD58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  <w:tc>
          <w:tcPr>
            <w:tcW w:w="2030" w:type="dxa"/>
          </w:tcPr>
          <w:p w14:paraId="37F511E7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ab19027</w:t>
            </w:r>
          </w:p>
        </w:tc>
      </w:tr>
      <w:tr w:rsidR="007A2DFF" w:rsidRPr="00B1018D" w14:paraId="483B2E4D" w14:textId="77777777" w:rsidTr="007A2DFF">
        <w:tc>
          <w:tcPr>
            <w:tcW w:w="1838" w:type="dxa"/>
          </w:tcPr>
          <w:p w14:paraId="1400AD08" w14:textId="01D85E73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Integrin β1</w:t>
            </w:r>
          </w:p>
        </w:tc>
        <w:tc>
          <w:tcPr>
            <w:tcW w:w="1276" w:type="dxa"/>
          </w:tcPr>
          <w:p w14:paraId="78FAB5CA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1:500</w:t>
            </w:r>
          </w:p>
        </w:tc>
        <w:tc>
          <w:tcPr>
            <w:tcW w:w="3146" w:type="dxa"/>
          </w:tcPr>
          <w:p w14:paraId="451CF4D4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  <w:tc>
          <w:tcPr>
            <w:tcW w:w="2030" w:type="dxa"/>
          </w:tcPr>
          <w:p w14:paraId="02E938F8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ab179471</w:t>
            </w:r>
          </w:p>
        </w:tc>
      </w:tr>
      <w:tr w:rsidR="007A2DFF" w:rsidRPr="00B1018D" w14:paraId="3884997E" w14:textId="77777777" w:rsidTr="007A2DFF">
        <w:tc>
          <w:tcPr>
            <w:tcW w:w="1838" w:type="dxa"/>
          </w:tcPr>
          <w:p w14:paraId="216C2043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DC-STAMP</w:t>
            </w:r>
          </w:p>
        </w:tc>
        <w:tc>
          <w:tcPr>
            <w:tcW w:w="1276" w:type="dxa"/>
          </w:tcPr>
          <w:p w14:paraId="4C1E5E1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1:500</w:t>
            </w:r>
          </w:p>
        </w:tc>
        <w:tc>
          <w:tcPr>
            <w:tcW w:w="3146" w:type="dxa"/>
          </w:tcPr>
          <w:p w14:paraId="440D6C15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Novus</w:t>
            </w:r>
          </w:p>
        </w:tc>
        <w:tc>
          <w:tcPr>
            <w:tcW w:w="2030" w:type="dxa"/>
          </w:tcPr>
          <w:p w14:paraId="51F82A89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NBP1-79329</w:t>
            </w:r>
          </w:p>
        </w:tc>
      </w:tr>
      <w:tr w:rsidR="007A2DFF" w:rsidRPr="00B1018D" w14:paraId="3A68B40F" w14:textId="77777777" w:rsidTr="007A2DFF">
        <w:tc>
          <w:tcPr>
            <w:tcW w:w="1838" w:type="dxa"/>
          </w:tcPr>
          <w:p w14:paraId="52015ACD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Na/K ATPase</w:t>
            </w:r>
          </w:p>
        </w:tc>
        <w:tc>
          <w:tcPr>
            <w:tcW w:w="1276" w:type="dxa"/>
          </w:tcPr>
          <w:p w14:paraId="1905571F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7CEC0245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030" w:type="dxa"/>
          </w:tcPr>
          <w:p w14:paraId="0520123F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3010S</w:t>
            </w:r>
          </w:p>
        </w:tc>
      </w:tr>
      <w:tr w:rsidR="007A2DFF" w:rsidRPr="00B1018D" w14:paraId="6EE389FD" w14:textId="77777777" w:rsidTr="007A2DFF">
        <w:tc>
          <w:tcPr>
            <w:tcW w:w="1838" w:type="dxa"/>
          </w:tcPr>
          <w:p w14:paraId="5DD06DA0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β-actin</w:t>
            </w:r>
          </w:p>
        </w:tc>
        <w:tc>
          <w:tcPr>
            <w:tcW w:w="1276" w:type="dxa"/>
          </w:tcPr>
          <w:p w14:paraId="200A8C96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4FC01AD3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030" w:type="dxa"/>
          </w:tcPr>
          <w:p w14:paraId="17D203AC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3700</w:t>
            </w:r>
          </w:p>
        </w:tc>
      </w:tr>
      <w:tr w:rsidR="007A2DFF" w:rsidRPr="00B1018D" w14:paraId="57D7D2A6" w14:textId="77777777" w:rsidTr="007A2DFF">
        <w:tc>
          <w:tcPr>
            <w:tcW w:w="1838" w:type="dxa"/>
          </w:tcPr>
          <w:p w14:paraId="2A31AB11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GAPDH</w:t>
            </w:r>
          </w:p>
        </w:tc>
        <w:tc>
          <w:tcPr>
            <w:tcW w:w="1276" w:type="dxa"/>
          </w:tcPr>
          <w:p w14:paraId="4E7C8444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1:1000</w:t>
            </w:r>
          </w:p>
        </w:tc>
        <w:tc>
          <w:tcPr>
            <w:tcW w:w="3146" w:type="dxa"/>
          </w:tcPr>
          <w:p w14:paraId="19EAFD6C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030" w:type="dxa"/>
          </w:tcPr>
          <w:p w14:paraId="6708CE1B" w14:textId="77777777" w:rsidR="007A2DFF" w:rsidRPr="00B1018D" w:rsidRDefault="007A2DFF" w:rsidP="007A2D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1018D">
              <w:rPr>
                <w:rFonts w:ascii="Arial" w:hAnsi="Arial" w:cs="Arial"/>
                <w:sz w:val="24"/>
                <w:szCs w:val="24"/>
              </w:rPr>
              <w:t>5174</w:t>
            </w:r>
          </w:p>
        </w:tc>
      </w:tr>
    </w:tbl>
    <w:p w14:paraId="5F9FBE65" w14:textId="77777777" w:rsidR="007A2DFF" w:rsidRDefault="007A2DFF" w:rsidP="00B74B3A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31FCB19" w14:textId="089BE4A8" w:rsidR="002E0164" w:rsidRPr="00B1018D" w:rsidRDefault="002E0164" w:rsidP="00B74B3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B1018D">
        <w:rPr>
          <w:rFonts w:ascii="Arial" w:hAnsi="Arial" w:cs="Arial"/>
          <w:b/>
          <w:sz w:val="24"/>
          <w:szCs w:val="24"/>
        </w:rPr>
        <w:t xml:space="preserve">Supplementary </w:t>
      </w:r>
      <w:r w:rsidR="00BD4D00" w:rsidRPr="00B1018D">
        <w:rPr>
          <w:rFonts w:ascii="Arial" w:hAnsi="Arial" w:cs="Arial"/>
          <w:b/>
          <w:sz w:val="24"/>
          <w:szCs w:val="24"/>
        </w:rPr>
        <w:t>Movie Legends</w:t>
      </w:r>
    </w:p>
    <w:p w14:paraId="35BF5812" w14:textId="77777777" w:rsidR="002E0164" w:rsidRPr="00B1018D" w:rsidRDefault="002E0164" w:rsidP="00B74B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MOVIE 1</w:t>
      </w:r>
      <w:r w:rsidRPr="00B1018D">
        <w:rPr>
          <w:rFonts w:ascii="Arial" w:hAnsi="Arial" w:cs="Arial"/>
          <w:sz w:val="24"/>
          <w:szCs w:val="24"/>
        </w:rPr>
        <w:t xml:space="preserve"> Dynamic observation of the ABs engulfment by pre-OCs. BMMSCs derived ABs can be targeted recognized and engulfed by pre-OCs. ABs were stained with PKH26 (Red). Magnification: 10x.</w:t>
      </w:r>
    </w:p>
    <w:p w14:paraId="649855C8" w14:textId="06A24BA6" w:rsidR="002E0164" w:rsidRPr="00B1018D" w:rsidRDefault="002E0164" w:rsidP="00B74B3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1018D">
        <w:rPr>
          <w:rFonts w:ascii="Arial" w:hAnsi="Arial" w:cs="Arial"/>
          <w:b/>
          <w:bCs/>
          <w:sz w:val="24"/>
          <w:szCs w:val="24"/>
        </w:rPr>
        <w:t>MOVIE 2</w:t>
      </w:r>
      <w:r w:rsidRPr="00B1018D">
        <w:rPr>
          <w:rFonts w:ascii="Arial" w:hAnsi="Arial" w:cs="Arial"/>
          <w:sz w:val="24"/>
          <w:szCs w:val="24"/>
        </w:rPr>
        <w:t xml:space="preserve"> Dynamic observation of the KO-ABs engulfment by pre-OCs. BMMSCs from DC-STAMPKO mice derived KO-ABs failed to be engulfed by pre-OCs. KO-ABs were stained with PKH67 (Green). Magnification: 10x.</w:t>
      </w:r>
    </w:p>
    <w:sectPr w:rsidR="002E0164" w:rsidRPr="00B1018D" w:rsidSect="0077259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81F4A"/>
    <w:multiLevelType w:val="hybridMultilevel"/>
    <w:tmpl w:val="D93EA4C2"/>
    <w:lvl w:ilvl="0" w:tplc="EF4CCF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783B22"/>
    <w:multiLevelType w:val="hybridMultilevel"/>
    <w:tmpl w:val="DF9E6E1A"/>
    <w:lvl w:ilvl="0" w:tplc="1FB23B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B4E419C"/>
    <w:multiLevelType w:val="hybridMultilevel"/>
    <w:tmpl w:val="6276C36C"/>
    <w:lvl w:ilvl="0" w:tplc="42F05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7155443"/>
    <w:multiLevelType w:val="hybridMultilevel"/>
    <w:tmpl w:val="86FE3A04"/>
    <w:lvl w:ilvl="0" w:tplc="6F72C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77182743">
    <w:abstractNumId w:val="0"/>
  </w:num>
  <w:num w:numId="2" w16cid:durableId="1580598488">
    <w:abstractNumId w:val="1"/>
  </w:num>
  <w:num w:numId="3" w16cid:durableId="1496725841">
    <w:abstractNumId w:val="2"/>
  </w:num>
  <w:num w:numId="4" w16cid:durableId="2693188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02"/>
    <w:rsid w:val="00087023"/>
    <w:rsid w:val="001074AF"/>
    <w:rsid w:val="00120E29"/>
    <w:rsid w:val="00130A83"/>
    <w:rsid w:val="001B0347"/>
    <w:rsid w:val="001C26C9"/>
    <w:rsid w:val="001D4994"/>
    <w:rsid w:val="001D6D1B"/>
    <w:rsid w:val="002150A7"/>
    <w:rsid w:val="00215D45"/>
    <w:rsid w:val="002200F6"/>
    <w:rsid w:val="002631D8"/>
    <w:rsid w:val="002C34FE"/>
    <w:rsid w:val="002E0164"/>
    <w:rsid w:val="00304E8E"/>
    <w:rsid w:val="00331FEF"/>
    <w:rsid w:val="003606B6"/>
    <w:rsid w:val="00371325"/>
    <w:rsid w:val="00382D87"/>
    <w:rsid w:val="004624E8"/>
    <w:rsid w:val="004D25D8"/>
    <w:rsid w:val="0050526F"/>
    <w:rsid w:val="00506E84"/>
    <w:rsid w:val="005362DE"/>
    <w:rsid w:val="00545393"/>
    <w:rsid w:val="00553B0D"/>
    <w:rsid w:val="00565F28"/>
    <w:rsid w:val="00584032"/>
    <w:rsid w:val="005935E2"/>
    <w:rsid w:val="0059502F"/>
    <w:rsid w:val="0063455D"/>
    <w:rsid w:val="00676BA6"/>
    <w:rsid w:val="0068071B"/>
    <w:rsid w:val="006865D0"/>
    <w:rsid w:val="006B3467"/>
    <w:rsid w:val="006B492E"/>
    <w:rsid w:val="007167E8"/>
    <w:rsid w:val="00722613"/>
    <w:rsid w:val="0074254C"/>
    <w:rsid w:val="0075488C"/>
    <w:rsid w:val="00772598"/>
    <w:rsid w:val="007A2DFF"/>
    <w:rsid w:val="007C5A02"/>
    <w:rsid w:val="007E7569"/>
    <w:rsid w:val="007F123B"/>
    <w:rsid w:val="00865634"/>
    <w:rsid w:val="00893D25"/>
    <w:rsid w:val="00897975"/>
    <w:rsid w:val="008D1994"/>
    <w:rsid w:val="00941DB3"/>
    <w:rsid w:val="0095636A"/>
    <w:rsid w:val="009625B6"/>
    <w:rsid w:val="009902A8"/>
    <w:rsid w:val="0099524C"/>
    <w:rsid w:val="00A021A7"/>
    <w:rsid w:val="00A0282B"/>
    <w:rsid w:val="00A24581"/>
    <w:rsid w:val="00A6547A"/>
    <w:rsid w:val="00A8203D"/>
    <w:rsid w:val="00AB03B6"/>
    <w:rsid w:val="00AC0B72"/>
    <w:rsid w:val="00B0767E"/>
    <w:rsid w:val="00B1018D"/>
    <w:rsid w:val="00B1428D"/>
    <w:rsid w:val="00B275A7"/>
    <w:rsid w:val="00B41C8B"/>
    <w:rsid w:val="00B439C2"/>
    <w:rsid w:val="00B74B3A"/>
    <w:rsid w:val="00B8187A"/>
    <w:rsid w:val="00BD4D00"/>
    <w:rsid w:val="00C40DE2"/>
    <w:rsid w:val="00CE20E8"/>
    <w:rsid w:val="00D20E10"/>
    <w:rsid w:val="00D75627"/>
    <w:rsid w:val="00D963C8"/>
    <w:rsid w:val="00DA4910"/>
    <w:rsid w:val="00DA6728"/>
    <w:rsid w:val="00DD6CE0"/>
    <w:rsid w:val="00DF5E84"/>
    <w:rsid w:val="00E428EE"/>
    <w:rsid w:val="00E70C34"/>
    <w:rsid w:val="00E93E7C"/>
    <w:rsid w:val="00EB4863"/>
    <w:rsid w:val="00F35720"/>
    <w:rsid w:val="00F372FC"/>
    <w:rsid w:val="00F619F0"/>
    <w:rsid w:val="00F6444E"/>
    <w:rsid w:val="00F81CDD"/>
    <w:rsid w:val="00F82CD8"/>
    <w:rsid w:val="00F90EAA"/>
    <w:rsid w:val="00FB37EB"/>
    <w:rsid w:val="00FB567F"/>
    <w:rsid w:val="00FB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6FAAA"/>
  <w15:chartTrackingRefBased/>
  <w15:docId w15:val="{EFB06DB5-3D69-B24E-A88A-EC89808B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A02"/>
    <w:pPr>
      <w:widowControl w:val="0"/>
      <w:wordWrap w:val="0"/>
      <w:autoSpaceDE w:val="0"/>
      <w:autoSpaceDN w:val="0"/>
      <w:spacing w:after="160" w:line="259" w:lineRule="auto"/>
      <w:jc w:val="both"/>
    </w:pPr>
    <w:rPr>
      <w:sz w:val="20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071B"/>
    <w:pPr>
      <w:wordWrap/>
      <w:autoSpaceDE/>
      <w:autoSpaceDN/>
      <w:spacing w:after="0" w:line="240" w:lineRule="auto"/>
      <w:ind w:firstLineChars="200" w:firstLine="420"/>
    </w:pPr>
    <w:rPr>
      <w:sz w:val="21"/>
      <w:szCs w:val="24"/>
      <w:lang w:eastAsia="zh-CN"/>
    </w:rPr>
  </w:style>
  <w:style w:type="paragraph" w:styleId="a4">
    <w:name w:val="Revision"/>
    <w:hidden/>
    <w:uiPriority w:val="99"/>
    <w:semiHidden/>
    <w:rsid w:val="002200F6"/>
    <w:rPr>
      <w:sz w:val="20"/>
      <w:szCs w:val="22"/>
      <w:lang w:eastAsia="ko-KR"/>
    </w:rPr>
  </w:style>
  <w:style w:type="table" w:styleId="a5">
    <w:name w:val="Table Grid"/>
    <w:basedOn w:val="a1"/>
    <w:uiPriority w:val="39"/>
    <w:rsid w:val="00B10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0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0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56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53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3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01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6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62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8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2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27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9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xafr</dc:creator>
  <cp:keywords/>
  <dc:description/>
  <cp:lastModifiedBy>xafr</cp:lastModifiedBy>
  <cp:revision>3</cp:revision>
  <cp:lastPrinted>2023-02-18T13:22:00Z</cp:lastPrinted>
  <dcterms:created xsi:type="dcterms:W3CDTF">2023-08-02T02:23:00Z</dcterms:created>
  <dcterms:modified xsi:type="dcterms:W3CDTF">2023-08-02T02:28:00Z</dcterms:modified>
</cp:coreProperties>
</file>