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19726" w14:textId="77777777" w:rsidR="00E73DE9" w:rsidRPr="004A54CE" w:rsidRDefault="00E73DE9" w:rsidP="00E73DE9">
      <w:pPr>
        <w:outlineLvl w:val="0"/>
        <w:rPr>
          <w:b/>
          <w:bCs/>
        </w:rPr>
      </w:pPr>
      <w:r w:rsidRPr="004A54CE">
        <w:rPr>
          <w:b/>
          <w:bCs/>
        </w:rPr>
        <w:t xml:space="preserve">Figure </w:t>
      </w:r>
      <w:r>
        <w:rPr>
          <w:b/>
          <w:bCs/>
        </w:rPr>
        <w:t>S1</w:t>
      </w:r>
      <w:r w:rsidRPr="004A54CE">
        <w:rPr>
          <w:b/>
          <w:bCs/>
        </w:rPr>
        <w:t>. Cav-1</w:t>
      </w:r>
      <w:r>
        <w:rPr>
          <w:b/>
          <w:bCs/>
        </w:rPr>
        <w:t xml:space="preserve"> deficiency enhanced </w:t>
      </w:r>
      <w:r w:rsidRPr="004A54CE">
        <w:rPr>
          <w:b/>
          <w:bCs/>
        </w:rPr>
        <w:t xml:space="preserve">ICOS </w:t>
      </w:r>
      <w:r>
        <w:rPr>
          <w:b/>
          <w:bCs/>
        </w:rPr>
        <w:t xml:space="preserve">expression </w:t>
      </w:r>
      <w:r w:rsidRPr="004A54CE">
        <w:rPr>
          <w:b/>
          <w:bCs/>
        </w:rPr>
        <w:t xml:space="preserve">in </w:t>
      </w:r>
      <w:r>
        <w:rPr>
          <w:b/>
          <w:bCs/>
        </w:rPr>
        <w:t>CD4+ T</w:t>
      </w:r>
      <w:r w:rsidRPr="004A54CE">
        <w:rPr>
          <w:b/>
          <w:bCs/>
        </w:rPr>
        <w:t xml:space="preserve"> cells</w:t>
      </w:r>
    </w:p>
    <w:p w14:paraId="04904FDF" w14:textId="77777777" w:rsidR="00E73DE9" w:rsidRDefault="00E73DE9" w:rsidP="00E73DE9">
      <w:r w:rsidRPr="00BE32BC">
        <w:rPr>
          <w:b/>
          <w:bCs/>
        </w:rPr>
        <w:t xml:space="preserve">(A) </w:t>
      </w:r>
      <w:r>
        <w:t>Immunofluorescence staining of B220 (blue), GL-7 (green) and CD4 (red) in the draining cervical lymph nodes (CLN) of WT and Cav-1-/- ESS mice, while the yellow dashed line indicated the germinal center (GC). The ratio of CD4+ T cell counts in the GC to their counts in the follicles was determined in each mouse (n = 5; mean ± SEM); *P &lt;0.05.</w:t>
      </w:r>
    </w:p>
    <w:p w14:paraId="2F54C0EE" w14:textId="212D131E" w:rsidR="00E73DE9" w:rsidRDefault="00E73DE9" w:rsidP="00E73DE9">
      <w:r w:rsidRPr="00BE32BC">
        <w:rPr>
          <w:b/>
          <w:bCs/>
        </w:rPr>
        <w:t>(B)</w:t>
      </w:r>
      <w:r>
        <w:t xml:space="preserve"> </w:t>
      </w:r>
      <w:r w:rsidR="00C90632">
        <w:t>Representative f</w:t>
      </w:r>
      <w:r>
        <w:t xml:space="preserve">low cytometric </w:t>
      </w:r>
      <w:r w:rsidR="00C90632">
        <w:t>profile</w:t>
      </w:r>
      <w:r>
        <w:t xml:space="preserve"> of CD19+CD95+GL-7+ GC B cells in CLN of WT and Cav-1-/- ESS mice.</w:t>
      </w:r>
    </w:p>
    <w:p w14:paraId="617A36A9" w14:textId="16BA4A62" w:rsidR="00E73DE9" w:rsidRDefault="00E73DE9" w:rsidP="00E73DE9">
      <w:r w:rsidRPr="00BE32BC">
        <w:rPr>
          <w:b/>
          <w:bCs/>
        </w:rPr>
        <w:t>(C)</w:t>
      </w:r>
      <w:r>
        <w:t xml:space="preserve"> Immunofluorescence staining of AQP-5 (green) and IgG (red) expression in the salivary gland of NSG mice. NSG mice were co-transferred with CD19+ B cells </w:t>
      </w:r>
      <w:r w:rsidR="00F97B8C">
        <w:t xml:space="preserve">from WT mice, </w:t>
      </w:r>
      <w:r>
        <w:t>and CD4+ T cells from WT or Cav-1-/- mice, followed by immunization for ESS induction.</w:t>
      </w:r>
    </w:p>
    <w:p w14:paraId="288FE72F" w14:textId="77777777" w:rsidR="00E73DE9" w:rsidRDefault="00E73DE9" w:rsidP="00E73DE9">
      <w:r w:rsidRPr="00BE32BC">
        <w:rPr>
          <w:b/>
          <w:bCs/>
        </w:rPr>
        <w:t xml:space="preserve">(D) </w:t>
      </w:r>
      <w:r>
        <w:t>CD4+ T cells from WT or Cav-1-/- mice under Tfh polarization conditions for 3 days, while the CXCR5, ICOS and PD-1 expressions were analyzed by flow cytometry (n = 6; mean ± SEM); **P &lt;0.01.</w:t>
      </w:r>
    </w:p>
    <w:p w14:paraId="33A4BE3B" w14:textId="77777777" w:rsidR="00E73DE9" w:rsidRDefault="00E73DE9" w:rsidP="00E73DE9">
      <w:r w:rsidRPr="00BE32BC">
        <w:rPr>
          <w:b/>
          <w:bCs/>
        </w:rPr>
        <w:t xml:space="preserve">(E) </w:t>
      </w:r>
      <w:r>
        <w:t>CD4+ T cells from WT or Cav-1-/- mice under Th1, Th17 and Tfh polarization conditions for 3 days. The featured cytokines from supernatants were determined by ELISA and CD154 in Tfh cells was analyzed by flow cytometry, while the dashed line indicated the levels of controls under Th0 culture condition (n = 4; mean ± SEM); *P &lt;0.05.</w:t>
      </w:r>
    </w:p>
    <w:p w14:paraId="5222B433" w14:textId="00BA9D7F" w:rsidR="00E73DE9" w:rsidRDefault="00E73DE9" w:rsidP="00E73DE9">
      <w:r w:rsidRPr="00BE32BC">
        <w:rPr>
          <w:b/>
          <w:bCs/>
        </w:rPr>
        <w:t xml:space="preserve">(F) </w:t>
      </w:r>
      <w:r>
        <w:t>CD4+ T cells from WT or Cav-1-/- mice were labelled with BrdU and adoptively transferred into WT ESS mice for 10 weeks, while the</w:t>
      </w:r>
      <w:r w:rsidR="00AB2764">
        <w:t xml:space="preserve"> representative flow cytometric profile of</w:t>
      </w:r>
      <w:r>
        <w:t xml:space="preserve"> BrdU+Tfh cells were </w:t>
      </w:r>
      <w:r w:rsidR="00AB2764">
        <w:t>shown</w:t>
      </w:r>
      <w:r>
        <w:t>.</w:t>
      </w:r>
    </w:p>
    <w:p w14:paraId="1867EF68" w14:textId="77777777" w:rsidR="00E73DE9" w:rsidRDefault="00E73DE9" w:rsidP="00E73DE9">
      <w:r w:rsidRPr="00BE32BC">
        <w:rPr>
          <w:b/>
          <w:bCs/>
        </w:rPr>
        <w:t xml:space="preserve">(G) </w:t>
      </w:r>
      <w:r>
        <w:t>Flow cytometry analyses of ICOSL expression in the B cells from WT or Cav-1-/- ESS mice</w:t>
      </w:r>
      <w:r w:rsidRPr="00BF74AC">
        <w:t xml:space="preserve"> </w:t>
      </w:r>
      <w:r>
        <w:t>(n = 4; mean ± SEM).</w:t>
      </w:r>
    </w:p>
    <w:p w14:paraId="66582B51" w14:textId="46AD3FC1" w:rsidR="00E73DE9" w:rsidRDefault="00E73DE9" w:rsidP="00E73DE9">
      <w:r w:rsidRPr="00BE32BC">
        <w:rPr>
          <w:b/>
          <w:bCs/>
        </w:rPr>
        <w:t xml:space="preserve">(H) </w:t>
      </w:r>
      <w:r>
        <w:t xml:space="preserve">CD4+ T cells from WT or Cav-1-/- mice were differentiated into Tfh cells, which were further treated with anti-ICOS activating (a) antibodies. T cell movement was observed by </w:t>
      </w:r>
      <w:r w:rsidR="00A42988">
        <w:t>fluorescence</w:t>
      </w:r>
      <w:r>
        <w:t xml:space="preserve"> microscopy, while t</w:t>
      </w:r>
      <w:r w:rsidRPr="005F5D8E">
        <w:t xml:space="preserve">he mean-squared displacement </w:t>
      </w:r>
      <w:r>
        <w:t xml:space="preserve">(MSD) was analyzed over time (n = </w:t>
      </w:r>
      <w:proofErr w:type="gramStart"/>
      <w:r>
        <w:t>80 ;</w:t>
      </w:r>
      <w:proofErr w:type="gramEnd"/>
      <w:r>
        <w:t xml:space="preserve"> mean ± SEM); **P &lt;0.01.</w:t>
      </w:r>
    </w:p>
    <w:p w14:paraId="5F82A7A7" w14:textId="680CC1EE" w:rsidR="00E73DE9" w:rsidRDefault="00E73DE9" w:rsidP="00E73DE9">
      <w:r w:rsidRPr="00BE32BC">
        <w:rPr>
          <w:b/>
          <w:bCs/>
        </w:rPr>
        <w:t>(</w:t>
      </w:r>
      <w:r>
        <w:rPr>
          <w:b/>
          <w:bCs/>
        </w:rPr>
        <w:t>I</w:t>
      </w:r>
      <w:r w:rsidRPr="00BE32BC">
        <w:rPr>
          <w:b/>
          <w:bCs/>
        </w:rPr>
        <w:t>)</w:t>
      </w:r>
      <w:r>
        <w:rPr>
          <w:b/>
          <w:bCs/>
        </w:rPr>
        <w:t xml:space="preserve"> </w:t>
      </w:r>
      <w:r w:rsidR="00E70A01">
        <w:t xml:space="preserve">Polarized CD4+ T cells </w:t>
      </w:r>
      <w:r>
        <w:t>described in (H) were subjected to transwell assay on the upper chamber, while recombinant murine CXCL13 was added in the bottom chamber</w:t>
      </w:r>
      <w:r>
        <w:rPr>
          <w:rFonts w:hint="eastAsia"/>
        </w:rPr>
        <w:t xml:space="preserve"> </w:t>
      </w:r>
      <w:r>
        <w:t>(n = 4; mean ± SEM); *P &lt;0.05.</w:t>
      </w:r>
    </w:p>
    <w:p w14:paraId="32669AB8" w14:textId="77777777" w:rsidR="00E73DE9" w:rsidRDefault="00E73DE9" w:rsidP="00E73DE9">
      <w:r w:rsidRPr="00720090">
        <w:rPr>
          <w:b/>
        </w:rPr>
        <w:t>(</w:t>
      </w:r>
      <w:r>
        <w:rPr>
          <w:b/>
        </w:rPr>
        <w:t>J</w:t>
      </w:r>
      <w:r w:rsidRPr="00720090">
        <w:rPr>
          <w:b/>
        </w:rPr>
        <w:t xml:space="preserve">) </w:t>
      </w:r>
      <w:r>
        <w:t>Flow cytometry analyses of ICOS expression in the CD4+T cells in the CLN of WT or Cav-1-/- ESS mice (n = 10; mean ± SEM); ***P &lt;0.001.</w:t>
      </w:r>
    </w:p>
    <w:p w14:paraId="254A51A6" w14:textId="77777777" w:rsidR="00E73DE9" w:rsidRDefault="00E73DE9" w:rsidP="00E73DE9">
      <w:r w:rsidRPr="00BE32BC">
        <w:rPr>
          <w:b/>
          <w:bCs/>
        </w:rPr>
        <w:t>(</w:t>
      </w:r>
      <w:r>
        <w:rPr>
          <w:b/>
          <w:bCs/>
        </w:rPr>
        <w:t>K</w:t>
      </w:r>
      <w:r w:rsidRPr="00BE32BC">
        <w:rPr>
          <w:b/>
          <w:bCs/>
        </w:rPr>
        <w:t>)</w:t>
      </w:r>
      <w:r>
        <w:rPr>
          <w:b/>
          <w:bCs/>
        </w:rPr>
        <w:t xml:space="preserve"> </w:t>
      </w:r>
      <w:r>
        <w:rPr>
          <w:bCs/>
        </w:rPr>
        <w:t xml:space="preserve">Representative image showed </w:t>
      </w:r>
      <w:r>
        <w:t>ICOS+CD4+ T cells in the lymphocytic foci from the SG at 20wk post immunization, while the cell count per focus was quantified (n = 6; mean ± SEM); ***P &lt;0.001.</w:t>
      </w:r>
    </w:p>
    <w:p w14:paraId="2F2B07C0" w14:textId="0C17687A" w:rsidR="00E73DE9" w:rsidRDefault="00E73DE9" w:rsidP="00E73DE9">
      <w:r w:rsidRPr="008C3378">
        <w:rPr>
          <w:b/>
          <w:bCs/>
        </w:rPr>
        <w:t>(</w:t>
      </w:r>
      <w:r w:rsidRPr="008C3378">
        <w:rPr>
          <w:rFonts w:hint="eastAsia"/>
          <w:b/>
          <w:bCs/>
        </w:rPr>
        <w:t>L</w:t>
      </w:r>
      <w:r w:rsidRPr="008C3378">
        <w:rPr>
          <w:b/>
          <w:bCs/>
        </w:rPr>
        <w:t xml:space="preserve">) </w:t>
      </w:r>
      <w:r>
        <w:t>x-y displacement (μm) plots of individual WT or Cav-1-/- CD4+ T cell traces in the spleen of recipient NSG mice over 30 min, with starting positions realigned at the same origin, while the MSD was analyzed overtime (mean ± SEM), *P &lt;0.5; **P &lt;0.01; ***P &lt;0.001.</w:t>
      </w:r>
    </w:p>
    <w:p w14:paraId="20D51E4E" w14:textId="77777777" w:rsidR="00E73DE9" w:rsidRDefault="00E73DE9" w:rsidP="00E73DE9"/>
    <w:p w14:paraId="2AF849BD" w14:textId="77777777" w:rsidR="00E73DE9" w:rsidRPr="00CB5F72" w:rsidRDefault="00E73DE9" w:rsidP="00E73DE9">
      <w:pPr>
        <w:outlineLvl w:val="0"/>
        <w:rPr>
          <w:b/>
          <w:bCs/>
        </w:rPr>
      </w:pPr>
      <w:r w:rsidRPr="00CB5F72">
        <w:rPr>
          <w:b/>
          <w:bCs/>
        </w:rPr>
        <w:t>Figure S</w:t>
      </w:r>
      <w:r>
        <w:rPr>
          <w:b/>
          <w:bCs/>
        </w:rPr>
        <w:t>2</w:t>
      </w:r>
      <w:r w:rsidRPr="00CB5F72">
        <w:rPr>
          <w:b/>
          <w:bCs/>
        </w:rPr>
        <w:t xml:space="preserve">. ICOS </w:t>
      </w:r>
      <w:r>
        <w:rPr>
          <w:b/>
          <w:bCs/>
        </w:rPr>
        <w:t>blockage attenuated</w:t>
      </w:r>
      <w:r w:rsidRPr="00CB5F72">
        <w:rPr>
          <w:b/>
          <w:bCs/>
        </w:rPr>
        <w:t xml:space="preserve"> </w:t>
      </w:r>
      <w:r>
        <w:rPr>
          <w:b/>
          <w:bCs/>
        </w:rPr>
        <w:t>Cav-1 deficiency-mediated ESS pathology in</w:t>
      </w:r>
      <w:r w:rsidRPr="00CB5F72">
        <w:rPr>
          <w:b/>
          <w:bCs/>
        </w:rPr>
        <w:t xml:space="preserve"> mice</w:t>
      </w:r>
    </w:p>
    <w:p w14:paraId="1231A25E" w14:textId="4AEBA150" w:rsidR="00E73DE9" w:rsidRDefault="00E73DE9" w:rsidP="00E73DE9">
      <w:r w:rsidRPr="00C6143B">
        <w:rPr>
          <w:b/>
        </w:rPr>
        <w:t>(A)</w:t>
      </w:r>
      <w:r>
        <w:t xml:space="preserve"> </w:t>
      </w:r>
      <w:r w:rsidR="00D853D3">
        <w:t>Representative images showing ICOS+CD4+ T cells in the B cell follicles</w:t>
      </w:r>
      <w:r w:rsidR="00D853D3" w:rsidRPr="00D853D3">
        <w:t xml:space="preserve"> </w:t>
      </w:r>
      <w:r w:rsidR="00D853D3">
        <w:t>in the CLN of WT or Cav-1-/- ESS mice treated with vehicle or anti-ICOS blocking (b) antibodies, while of c</w:t>
      </w:r>
      <w:r>
        <w:t>ell count</w:t>
      </w:r>
      <w:r w:rsidR="00D853D3">
        <w:t xml:space="preserve">s were </w:t>
      </w:r>
      <w:r w:rsidR="00CF4678">
        <w:t>enumerated</w:t>
      </w:r>
      <w:r w:rsidR="00D853D3">
        <w:t xml:space="preserve"> in each follicle</w:t>
      </w:r>
      <w:r>
        <w:t xml:space="preserve"> (n = 20-27; mean ± SEM); *P &lt;0.05; **P &lt;0.01.</w:t>
      </w:r>
    </w:p>
    <w:p w14:paraId="152EA74C" w14:textId="4F7A6599" w:rsidR="00E73DE9" w:rsidRDefault="00E73DE9" w:rsidP="00E73DE9">
      <w:r w:rsidRPr="00C6143B">
        <w:rPr>
          <w:b/>
        </w:rPr>
        <w:t xml:space="preserve">(B) </w:t>
      </w:r>
      <w:r w:rsidR="00490E01">
        <w:t>Tfh cells in the CLN of WT or Cav-1-/- ESS mice treated with vehicle or anti-ICOS blocking (b) antibodies were analyzed by flow cytometry and quantified</w:t>
      </w:r>
      <w:r>
        <w:t xml:space="preserve"> (n = 4; mean ± SEM); *P &lt;0.05; **P &lt;0.01.</w:t>
      </w:r>
    </w:p>
    <w:p w14:paraId="39D4DC76" w14:textId="77777777" w:rsidR="00E73DE9" w:rsidRDefault="00E73DE9" w:rsidP="00E73DE9">
      <w:r w:rsidRPr="007F651A">
        <w:rPr>
          <w:b/>
        </w:rPr>
        <w:lastRenderedPageBreak/>
        <w:t xml:space="preserve">(C) </w:t>
      </w:r>
      <w:r>
        <w:t>Homing coefficient of CD4+ T cells in the CLN in the WT and Cav-1-/- ESS mice treated with vehicle or anti-ICOS (b) antibodies (n = 20; mean ± SEM); *P &lt;0.05; **P &lt;0.01.</w:t>
      </w:r>
    </w:p>
    <w:p w14:paraId="361A6A24" w14:textId="77777777" w:rsidR="00E73DE9" w:rsidRDefault="00E73DE9" w:rsidP="00E73DE9">
      <w:r w:rsidRPr="00A9157C">
        <w:rPr>
          <w:b/>
        </w:rPr>
        <w:t>(D)</w:t>
      </w:r>
      <w:r>
        <w:t xml:space="preserve"> Flow cytometric profiles and quantification of CD138+ plasma cells in the spleen of WT and Cav-1-/- ESS mice treated with vehicle or anti-ICOS (b) antibodies</w:t>
      </w:r>
      <w:r w:rsidRPr="00A9157C">
        <w:t xml:space="preserve"> </w:t>
      </w:r>
      <w:r>
        <w:t>(n = 4; mean ± SEM); *P &lt;0.05; **P &lt;0.01.</w:t>
      </w:r>
    </w:p>
    <w:p w14:paraId="2E66C7A9" w14:textId="77777777" w:rsidR="00E73DE9" w:rsidRDefault="00E73DE9" w:rsidP="00E73DE9">
      <w:r w:rsidRPr="007C5014">
        <w:rPr>
          <w:b/>
        </w:rPr>
        <w:t>(E)</w:t>
      </w:r>
      <w:r w:rsidRPr="007C5014">
        <w:t xml:space="preserve"> WT and Cav-1-/- ESS mice treated with vehicle or anti-ICOS (b) antibodies, while serum levels of IgG autoantibodies against the SSA epitope were determined by ELISA; dashed line indicated the </w:t>
      </w:r>
      <w:proofErr w:type="gramStart"/>
      <w:r w:rsidRPr="007C5014">
        <w:t>amount</w:t>
      </w:r>
      <w:proofErr w:type="gramEnd"/>
      <w:r w:rsidRPr="007C5014">
        <w:t xml:space="preserve"> of naïve controls (n = 6; mean ± SEM); **P &lt;0.01.</w:t>
      </w:r>
    </w:p>
    <w:p w14:paraId="38067D68" w14:textId="77777777" w:rsidR="00E73DE9" w:rsidRDefault="00E73DE9" w:rsidP="00E73DE9"/>
    <w:p w14:paraId="56981C97" w14:textId="77777777" w:rsidR="00E73DE9" w:rsidRPr="00884D14" w:rsidRDefault="00E73DE9" w:rsidP="00E73DE9">
      <w:pPr>
        <w:outlineLvl w:val="0"/>
        <w:rPr>
          <w:b/>
        </w:rPr>
      </w:pPr>
      <w:r w:rsidRPr="00884D14">
        <w:rPr>
          <w:b/>
        </w:rPr>
        <w:t>Figure S</w:t>
      </w:r>
      <w:r>
        <w:rPr>
          <w:b/>
        </w:rPr>
        <w:t>3</w:t>
      </w:r>
      <w:r w:rsidRPr="00884D14">
        <w:rPr>
          <w:b/>
        </w:rPr>
        <w:t xml:space="preserve">. </w:t>
      </w:r>
      <w:r>
        <w:rPr>
          <w:b/>
        </w:rPr>
        <w:t>Phenotypic analysis</w:t>
      </w:r>
      <w:r w:rsidRPr="00884D14">
        <w:rPr>
          <w:b/>
        </w:rPr>
        <w:t xml:space="preserve"> of </w:t>
      </w:r>
      <w:r>
        <w:rPr>
          <w:b/>
        </w:rPr>
        <w:t xml:space="preserve">CD4+ T cells </w:t>
      </w:r>
    </w:p>
    <w:p w14:paraId="248DBBFA" w14:textId="181891F7" w:rsidR="00E73DE9" w:rsidRDefault="00E73DE9" w:rsidP="00E73DE9">
      <w:r w:rsidRPr="00884D14">
        <w:rPr>
          <w:b/>
        </w:rPr>
        <w:t>(A)</w:t>
      </w:r>
      <w:r>
        <w:t xml:space="preserve"> Cav-1 (purple),</w:t>
      </w:r>
      <w:r w:rsidRPr="00884D14">
        <w:t xml:space="preserve"> ATP synt</w:t>
      </w:r>
      <w:r>
        <w:t>hase subunit beta (ATPB, mitochondrial marker, green) and DAPI (blue) expression in CD4+ T cells (</w:t>
      </w:r>
      <w:r w:rsidR="00DA1343">
        <w:t>yellow</w:t>
      </w:r>
      <w:r>
        <w:t>) were analyzed by confocal microscopy.</w:t>
      </w:r>
    </w:p>
    <w:p w14:paraId="6C71279B" w14:textId="77777777" w:rsidR="00E73DE9" w:rsidRDefault="00E73DE9" w:rsidP="00E73DE9">
      <w:r w:rsidRPr="00D8581E">
        <w:rPr>
          <w:b/>
        </w:rPr>
        <w:t>(B)</w:t>
      </w:r>
      <w:r>
        <w:t xml:space="preserve"> Cav-1 (purple) and DAPI (blue) expression in CD4+ T cells (yellow) were analyzed by s</w:t>
      </w:r>
      <w:r w:rsidRPr="00B50BDF">
        <w:t>uper-resolved structured illumination microscopy</w:t>
      </w:r>
      <w:r>
        <w:t>.</w:t>
      </w:r>
    </w:p>
    <w:p w14:paraId="4C095194" w14:textId="77777777" w:rsidR="00E73DE9" w:rsidRDefault="00E73DE9" w:rsidP="00E73DE9">
      <w:r w:rsidRPr="000A3A0B">
        <w:rPr>
          <w:b/>
        </w:rPr>
        <w:t>(C)</w:t>
      </w:r>
      <w:r>
        <w:t xml:space="preserve"> PPARγ expression levels in CD4+ T cells from WT and Cav-1-/- ESS mice were analyzed by flow cytometry (n = 4; mean ± SEM), while dashed line indicated the MFI levels of isotype control.</w:t>
      </w:r>
    </w:p>
    <w:p w14:paraId="1C8B86BD" w14:textId="77777777" w:rsidR="00E73DE9" w:rsidRDefault="00E73DE9" w:rsidP="00E73DE9">
      <w:r w:rsidRPr="000A3A0B">
        <w:rPr>
          <w:b/>
        </w:rPr>
        <w:t>(D)</w:t>
      </w:r>
      <w:r>
        <w:t xml:space="preserve"> Representative histogram of PPARα expression in CD4+ T cells from WT and Cav-1-/- ESS mice.</w:t>
      </w:r>
    </w:p>
    <w:p w14:paraId="6FB5F2B0" w14:textId="77777777" w:rsidR="00270CA8" w:rsidRDefault="00270CA8"/>
    <w:p w14:paraId="67F53CBA" w14:textId="77777777" w:rsidR="006F3CAA" w:rsidRPr="00E11288" w:rsidRDefault="006F3CAA" w:rsidP="006F3CAA">
      <w:pPr>
        <w:rPr>
          <w:b/>
        </w:rPr>
      </w:pPr>
      <w:r w:rsidRPr="00E11288">
        <w:rPr>
          <w:b/>
        </w:rPr>
        <w:t xml:space="preserve">Figure S4. </w:t>
      </w:r>
      <w:r>
        <w:rPr>
          <w:b/>
        </w:rPr>
        <w:t>M</w:t>
      </w:r>
      <w:r w:rsidRPr="00E11288">
        <w:rPr>
          <w:b/>
        </w:rPr>
        <w:t>etaboli</w:t>
      </w:r>
      <w:r>
        <w:rPr>
          <w:b/>
        </w:rPr>
        <w:t>c regulation</w:t>
      </w:r>
      <w:r w:rsidRPr="00E11288">
        <w:rPr>
          <w:b/>
        </w:rPr>
        <w:t xml:space="preserve"> </w:t>
      </w:r>
      <w:r>
        <w:rPr>
          <w:b/>
        </w:rPr>
        <w:t>in Tfh cell differentiation</w:t>
      </w:r>
    </w:p>
    <w:p w14:paraId="46279764" w14:textId="4C7B3A05" w:rsidR="006F3CAA" w:rsidRDefault="006F3CAA" w:rsidP="006F3CAA">
      <w:r w:rsidRPr="00021B23">
        <w:rPr>
          <w:b/>
        </w:rPr>
        <w:t>(A)</w:t>
      </w:r>
      <w:r>
        <w:t xml:space="preserve"> Representative image of BODIPY (Cyan) staining in </w:t>
      </w:r>
      <w:r w:rsidR="00C1340F">
        <w:t xml:space="preserve">effector </w:t>
      </w:r>
      <w:r>
        <w:t xml:space="preserve">CD44+ (white) </w:t>
      </w:r>
      <w:r w:rsidR="00CE02E3">
        <w:t xml:space="preserve">and </w:t>
      </w:r>
      <w:r>
        <w:t>CD4+ (purple) T cells, while the MFI of BODIPY was quantified by confocal microscopy.</w:t>
      </w:r>
    </w:p>
    <w:p w14:paraId="77E7BFC6" w14:textId="331649BB" w:rsidR="006F3CAA" w:rsidRDefault="006F3CAA" w:rsidP="006F3CAA">
      <w:r w:rsidRPr="00C463C0">
        <w:rPr>
          <w:b/>
        </w:rPr>
        <w:t>(B)</w:t>
      </w:r>
      <w:r>
        <w:t xml:space="preserve"> Fatty acid oxidation in CD4+ T cells 48h post Tfh polarization was analyzed, wh</w:t>
      </w:r>
      <w:r w:rsidR="00A23766">
        <w:t>ile</w:t>
      </w:r>
      <w:r>
        <w:t xml:space="preserve"> palmitic acid served as sole substrate of mitochondrial oxidation, in the absence or presence of</w:t>
      </w:r>
      <w:r w:rsidR="00921BE6">
        <w:t xml:space="preserve"> e</w:t>
      </w:r>
      <w:r w:rsidR="00921BE6" w:rsidRPr="00921BE6">
        <w:t>tomoxir</w:t>
      </w:r>
      <w:r>
        <w:t xml:space="preserve"> </w:t>
      </w:r>
      <w:r w:rsidR="00921BE6">
        <w:t>(</w:t>
      </w:r>
      <w:r>
        <w:t>Eto</w:t>
      </w:r>
      <w:r w:rsidR="00921BE6">
        <w:t>)</w:t>
      </w:r>
      <w:r>
        <w:t xml:space="preserve"> treatment (n = 3; mean ± SEM); *P &lt;0.05.</w:t>
      </w:r>
    </w:p>
    <w:p w14:paraId="10B51714" w14:textId="3F748404" w:rsidR="006F3CAA" w:rsidRPr="0009247A" w:rsidRDefault="006F3CAA" w:rsidP="006F3CAA">
      <w:r w:rsidRPr="0009247A">
        <w:rPr>
          <w:b/>
          <w:bCs/>
        </w:rPr>
        <w:t xml:space="preserve">(C) </w:t>
      </w:r>
      <w:r>
        <w:t xml:space="preserve">CD4+ T cells from WT or Cav-1-/- mice were cultured with fatty acid free medium X-VIVO toward Tfh differentiation, in absence or presence of </w:t>
      </w:r>
      <w:r w:rsidRPr="00821C6B">
        <w:t>bovine serum albumin</w:t>
      </w:r>
      <w:r w:rsidR="00427560">
        <w:t xml:space="preserve"> (BSA)</w:t>
      </w:r>
      <w:r>
        <w:t xml:space="preserve"> for 3 days, while Tfh cells were analyzed by flow cytometry</w:t>
      </w:r>
      <w:r w:rsidRPr="00166A78">
        <w:t xml:space="preserve"> </w:t>
      </w:r>
      <w:r>
        <w:t xml:space="preserve">and </w:t>
      </w:r>
      <w:r w:rsidR="005968DA">
        <w:t>quantified</w:t>
      </w:r>
      <w:r>
        <w:t>.</w:t>
      </w:r>
    </w:p>
    <w:p w14:paraId="0E430F65" w14:textId="77777777" w:rsidR="006F3CAA" w:rsidRDefault="006F3CAA" w:rsidP="006F3CAA">
      <w:r w:rsidRPr="00927627">
        <w:rPr>
          <w:b/>
          <w:bCs/>
        </w:rPr>
        <w:t xml:space="preserve">(D) </w:t>
      </w:r>
      <w:r>
        <w:t>CD4+ T cells from WT or Cav-1-/- mice were cultured under Tfh polarization conditions, while mitochondrial oxygen consumption rate (OCR) levels at 16h and 48h were determined with glucose as sole substrate.</w:t>
      </w:r>
    </w:p>
    <w:p w14:paraId="3DB240DA" w14:textId="77777777" w:rsidR="006F3CAA" w:rsidRDefault="006F3CAA" w:rsidP="006F3CAA">
      <w:r w:rsidRPr="00D3276D">
        <w:rPr>
          <w:b/>
          <w:bCs/>
        </w:rPr>
        <w:t>(E)</w:t>
      </w:r>
      <w:r>
        <w:rPr>
          <w:rFonts w:hint="eastAsia"/>
        </w:rPr>
        <w:t xml:space="preserve"> </w:t>
      </w:r>
      <w:r>
        <w:t>Protein expressions of p-PFK2 and PFK2 in WT and Cav-1-/- CD4+ T cells were analyzed by Western blot, with glucose as sole substrate of mitochondrial oxidation.</w:t>
      </w:r>
    </w:p>
    <w:p w14:paraId="7A6EB6A5" w14:textId="77777777" w:rsidR="006F3CAA" w:rsidRDefault="006F3CAA" w:rsidP="006F3CAA">
      <w:r w:rsidRPr="00D3276D">
        <w:rPr>
          <w:b/>
          <w:bCs/>
        </w:rPr>
        <w:t>(F)</w:t>
      </w:r>
      <w:r>
        <w:t xml:space="preserve"> CD4+ T cells from WT mice were cultured under Tfh polarization conditions for 3 days, in the absence or presence of HX531 (RXR: PPARα heterodimers antagonist) or LG100574 (RXR: PPARα heterodimers agonist), while CD4+ICOS+PD1+ Tfh cells were analyzed by flow cytometry.</w:t>
      </w:r>
    </w:p>
    <w:p w14:paraId="799EA31C" w14:textId="77777777" w:rsidR="00E73DE9" w:rsidRDefault="00E73DE9"/>
    <w:p w14:paraId="5A4D7966" w14:textId="77777777" w:rsidR="00957D9E" w:rsidRPr="006438AB" w:rsidRDefault="00957D9E" w:rsidP="00957D9E">
      <w:pPr>
        <w:rPr>
          <w:b/>
          <w:bCs/>
        </w:rPr>
      </w:pPr>
      <w:r w:rsidRPr="006438AB">
        <w:rPr>
          <w:b/>
          <w:bCs/>
        </w:rPr>
        <w:t xml:space="preserve">Figure </w:t>
      </w:r>
      <w:r>
        <w:rPr>
          <w:b/>
          <w:bCs/>
        </w:rPr>
        <w:t>S5</w:t>
      </w:r>
      <w:r w:rsidRPr="006438AB">
        <w:rPr>
          <w:b/>
          <w:bCs/>
        </w:rPr>
        <w:t xml:space="preserve">. </w:t>
      </w:r>
      <w:r>
        <w:rPr>
          <w:b/>
          <w:bCs/>
        </w:rPr>
        <w:t>IC50 of fenofibrate in</w:t>
      </w:r>
      <w:r w:rsidRPr="006438AB">
        <w:rPr>
          <w:b/>
          <w:bCs/>
        </w:rPr>
        <w:t xml:space="preserve"> </w:t>
      </w:r>
      <w:r>
        <w:rPr>
          <w:b/>
          <w:bCs/>
        </w:rPr>
        <w:t xml:space="preserve">suppressing murine Tfh cell differentiation </w:t>
      </w:r>
    </w:p>
    <w:p w14:paraId="69372E85" w14:textId="77777777" w:rsidR="00957D9E" w:rsidRPr="008C3378" w:rsidRDefault="00957D9E" w:rsidP="00957D9E">
      <w:r>
        <w:t>CD4+ T cells were purified from WT mice and cultured under Tfh polarization conditions for 3 days, in the presence of fenofibrate at various concentrations, while the</w:t>
      </w:r>
      <w:r w:rsidRPr="00752C37">
        <w:t xml:space="preserve"> half maximal inhibitory concentration</w:t>
      </w:r>
      <w:r>
        <w:t xml:space="preserve"> (IC50) was deduced.</w:t>
      </w:r>
    </w:p>
    <w:p w14:paraId="609BF687" w14:textId="77777777" w:rsidR="00957D9E" w:rsidRDefault="00957D9E"/>
    <w:p w14:paraId="1F3751CF" w14:textId="5497F903" w:rsidR="00C125C3" w:rsidRPr="004A54CE" w:rsidRDefault="00C125C3" w:rsidP="00C125C3">
      <w:pPr>
        <w:outlineLvl w:val="0"/>
        <w:rPr>
          <w:b/>
          <w:bCs/>
        </w:rPr>
      </w:pPr>
      <w:r w:rsidRPr="004A54CE">
        <w:rPr>
          <w:b/>
          <w:bCs/>
        </w:rPr>
        <w:t xml:space="preserve">Figure </w:t>
      </w:r>
      <w:r>
        <w:rPr>
          <w:b/>
          <w:bCs/>
        </w:rPr>
        <w:t>S</w:t>
      </w:r>
      <w:r>
        <w:rPr>
          <w:b/>
          <w:bCs/>
        </w:rPr>
        <w:t>6</w:t>
      </w:r>
      <w:r w:rsidRPr="004A54CE">
        <w:rPr>
          <w:b/>
          <w:bCs/>
        </w:rPr>
        <w:t xml:space="preserve">. </w:t>
      </w:r>
      <w:r>
        <w:rPr>
          <w:b/>
          <w:bCs/>
        </w:rPr>
        <w:t>Diagram of Cav-1/</w:t>
      </w:r>
      <w:r w:rsidRPr="00C125C3">
        <w:rPr>
          <w:b/>
          <w:bCs/>
        </w:rPr>
        <w:t>PPARα</w:t>
      </w:r>
      <w:r>
        <w:rPr>
          <w:b/>
          <w:bCs/>
        </w:rPr>
        <w:t xml:space="preserve"> axis in regulating Tfh cell response in pSS pathogenesis</w:t>
      </w:r>
    </w:p>
    <w:p w14:paraId="663BCD13" w14:textId="77777777" w:rsidR="00C125C3" w:rsidRPr="00957D9E" w:rsidRDefault="00C125C3">
      <w:pPr>
        <w:rPr>
          <w:rFonts w:hint="eastAsia"/>
        </w:rPr>
      </w:pPr>
    </w:p>
    <w:sectPr w:rsidR="00C125C3" w:rsidRPr="00957D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DE9"/>
    <w:rsid w:val="00023B8C"/>
    <w:rsid w:val="00096A70"/>
    <w:rsid w:val="00270CA8"/>
    <w:rsid w:val="003274AC"/>
    <w:rsid w:val="00371754"/>
    <w:rsid w:val="003B25E6"/>
    <w:rsid w:val="003E123B"/>
    <w:rsid w:val="00427560"/>
    <w:rsid w:val="00490E01"/>
    <w:rsid w:val="005968DA"/>
    <w:rsid w:val="005B4F51"/>
    <w:rsid w:val="006F3CAA"/>
    <w:rsid w:val="007F59A4"/>
    <w:rsid w:val="00921BE6"/>
    <w:rsid w:val="00957D9E"/>
    <w:rsid w:val="009F27F6"/>
    <w:rsid w:val="00A23766"/>
    <w:rsid w:val="00A42988"/>
    <w:rsid w:val="00AB2764"/>
    <w:rsid w:val="00C10670"/>
    <w:rsid w:val="00C125C3"/>
    <w:rsid w:val="00C1340F"/>
    <w:rsid w:val="00C90632"/>
    <w:rsid w:val="00CE02E3"/>
    <w:rsid w:val="00CF4678"/>
    <w:rsid w:val="00D853D3"/>
    <w:rsid w:val="00DA1343"/>
    <w:rsid w:val="00E239CE"/>
    <w:rsid w:val="00E70A01"/>
    <w:rsid w:val="00E73DE9"/>
    <w:rsid w:val="00E939F8"/>
    <w:rsid w:val="00F97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8759534"/>
  <w15:chartTrackingRefBased/>
  <w15:docId w15:val="{535A1858-6BE9-054F-AA3A-C684D5052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3DE9"/>
    <w:pPr>
      <w:widowControl w:val="0"/>
      <w:jc w:val="both"/>
    </w:pPr>
    <w:rPr>
      <w:rFonts w:ascii="Times New Roman" w:eastAsia="宋体" w:hAnsi="Times New Roman" w:cs="Times New Roman"/>
      <w:kern w:val="0"/>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943</Words>
  <Characters>5381</Characters>
  <Application>Microsoft Office Word</Application>
  <DocSecurity>0</DocSecurity>
  <Lines>44</Lines>
  <Paragraphs>12</Paragraphs>
  <ScaleCrop>false</ScaleCrop>
  <Company/>
  <LinksUpToDate>false</LinksUpToDate>
  <CharactersWithSpaces>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Xiang Lin</dc:creator>
  <cp:keywords/>
  <dc:description/>
  <cp:lastModifiedBy>Xiang Lin</cp:lastModifiedBy>
  <cp:revision>24</cp:revision>
  <cp:lastPrinted>2023-07-25T01:59:00Z</cp:lastPrinted>
  <dcterms:created xsi:type="dcterms:W3CDTF">2023-07-25T01:36:00Z</dcterms:created>
  <dcterms:modified xsi:type="dcterms:W3CDTF">2023-08-01T01:34:00Z</dcterms:modified>
</cp:coreProperties>
</file>