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04425" w14:textId="4B558A56" w:rsidR="00116286" w:rsidRPr="00773CEE" w:rsidRDefault="00116286" w:rsidP="00116286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223224">
        <w:rPr>
          <w:rFonts w:ascii="Times New Roman" w:hAnsi="Times New Roman" w:cs="Times New Roman"/>
          <w:b/>
          <w:bCs/>
          <w:sz w:val="20"/>
          <w:szCs w:val="20"/>
        </w:rPr>
        <w:t>Additional file</w:t>
      </w:r>
      <w:r w:rsidRPr="00773CEE">
        <w:rPr>
          <w:rFonts w:ascii="Times New Roman" w:hAnsi="Times New Roman" w:cs="Times New Roman"/>
          <w:b/>
          <w:sz w:val="20"/>
          <w:szCs w:val="20"/>
        </w:rPr>
        <w:t xml:space="preserve"> 2. </w:t>
      </w:r>
      <w:r w:rsidRPr="00315B3C">
        <w:rPr>
          <w:rFonts w:ascii="Times New Roman" w:hAnsi="Times New Roman" w:cs="Times New Roman"/>
          <w:bCs/>
          <w:sz w:val="20"/>
          <w:szCs w:val="20"/>
        </w:rPr>
        <w:t>Sensitivity analysis, heterogeneity analysis and pleiotropy analysis of the association between shingles and Alzheimer's disease</w:t>
      </w:r>
    </w:p>
    <w:tbl>
      <w:tblPr>
        <w:tblW w:w="9858" w:type="dxa"/>
        <w:jc w:val="center"/>
        <w:tblLook w:val="04A0" w:firstRow="1" w:lastRow="0" w:firstColumn="1" w:lastColumn="0" w:noHBand="0" w:noVBand="1"/>
      </w:tblPr>
      <w:tblGrid>
        <w:gridCol w:w="1769"/>
        <w:gridCol w:w="1019"/>
        <w:gridCol w:w="1946"/>
        <w:gridCol w:w="2100"/>
        <w:gridCol w:w="1008"/>
        <w:gridCol w:w="1008"/>
        <w:gridCol w:w="1008"/>
      </w:tblGrid>
      <w:tr w:rsidR="00116286" w:rsidRPr="00773CEE" w14:paraId="695F7DCE" w14:textId="77777777" w:rsidTr="00B43B10">
        <w:trPr>
          <w:trHeight w:val="375"/>
          <w:jc w:val="center"/>
        </w:trPr>
        <w:tc>
          <w:tcPr>
            <w:tcW w:w="17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72F47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 GWAS</w:t>
            </w:r>
          </w:p>
        </w:tc>
        <w:tc>
          <w:tcPr>
            <w:tcW w:w="10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1A5053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 SNPs</w:t>
            </w:r>
          </w:p>
        </w:tc>
        <w:tc>
          <w:tcPr>
            <w:tcW w:w="19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88761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MR method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272699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 (95%CI)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00980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assoc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D5BD62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pltr</w:t>
            </w:r>
          </w:p>
        </w:tc>
        <w:tc>
          <w:tcPr>
            <w:tcW w:w="10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CF14D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het</w:t>
            </w:r>
          </w:p>
        </w:tc>
      </w:tr>
      <w:tr w:rsidR="00116286" w:rsidRPr="00773CEE" w14:paraId="4564125B" w14:textId="77777777" w:rsidTr="00B43B10">
        <w:trPr>
          <w:trHeight w:val="276"/>
          <w:jc w:val="center"/>
        </w:trPr>
        <w:tc>
          <w:tcPr>
            <w:tcW w:w="17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A31DD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Primary analysis</w:t>
            </w:r>
          </w:p>
        </w:tc>
        <w:tc>
          <w:tcPr>
            <w:tcW w:w="10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9F9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0F1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B7DA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0.847 (0.601, 1.192)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FF83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0BD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53B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0.108</w:t>
            </w:r>
          </w:p>
        </w:tc>
      </w:tr>
      <w:tr w:rsidR="00116286" w:rsidRPr="00773CEE" w14:paraId="38B546A3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1117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7C4F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180A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3AA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0.874 (0.781, 0.978)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1994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F99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D46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37B928F0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3AAF1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19D3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33A1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697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0.867 (0.784, 0.958)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2E5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79299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C1C2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</w:tr>
      <w:tr w:rsidR="00116286" w:rsidRPr="00773CEE" w14:paraId="4315F54C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4438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F3856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E7B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Simple mode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868B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0.907 (0.767, 1.072)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7284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FAA2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FA09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495E33B1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05022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EF4E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1A5D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3BB4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0.879 (0.755, 1.023)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1AA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E764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B5ED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2A4B5F5D" w14:textId="77777777" w:rsidTr="00B43B10">
        <w:trPr>
          <w:trHeight w:val="318"/>
          <w:jc w:val="center"/>
        </w:trPr>
        <w:tc>
          <w:tcPr>
            <w:tcW w:w="1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1EB09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29B0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1E7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MR-PRESSO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29D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0.875 (0.793, 0.965)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3E4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F87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E2C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3C27C05E" w14:textId="77777777" w:rsidTr="00B43B10">
        <w:trPr>
          <w:trHeight w:val="276"/>
          <w:jc w:val="center"/>
        </w:trPr>
        <w:tc>
          <w:tcPr>
            <w:tcW w:w="1769" w:type="dxa"/>
            <w:vMerge w:val="restart"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962F8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Validation</w:t>
            </w:r>
          </w:p>
        </w:tc>
        <w:tc>
          <w:tcPr>
            <w:tcW w:w="1019" w:type="dxa"/>
            <w:vMerge w:val="restart"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AB19FA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946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58E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 Egger</w:t>
            </w:r>
          </w:p>
        </w:tc>
        <w:tc>
          <w:tcPr>
            <w:tcW w:w="2100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2C0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1.054 (0.910, 1.220)</w:t>
            </w:r>
          </w:p>
        </w:tc>
        <w:tc>
          <w:tcPr>
            <w:tcW w:w="1008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D22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0.500</w:t>
            </w:r>
          </w:p>
        </w:tc>
        <w:tc>
          <w:tcPr>
            <w:tcW w:w="1008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FD6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1008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47F2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</w:tr>
      <w:tr w:rsidR="00116286" w:rsidRPr="00773CEE" w14:paraId="6E0828C5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0BAB7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BED657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B21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Weighted median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876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1.068 (1.009, 1.131)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4D1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FFD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BEA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1FE6F4CD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110EAB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6C8EC4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A41B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IVW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94C6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1.047 (0.995, 1.101)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3829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5AA1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B53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116286" w:rsidRPr="00773CEE" w14:paraId="24337D15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4A17E3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83613F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5213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Simple mode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98D6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1.064 (0.979, 1.158)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4633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E12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773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24504CFB" w14:textId="77777777" w:rsidTr="00B43B10">
        <w:trPr>
          <w:trHeight w:val="276"/>
          <w:jc w:val="center"/>
        </w:trPr>
        <w:tc>
          <w:tcPr>
            <w:tcW w:w="176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524B0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14E816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9C11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Weighted mode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E641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1.061 (0.988, 1.140)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40A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2CDE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379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16286" w:rsidRPr="00773CEE" w14:paraId="1C7349F8" w14:textId="77777777" w:rsidTr="00B43B10">
        <w:trPr>
          <w:trHeight w:val="291"/>
          <w:jc w:val="center"/>
        </w:trPr>
        <w:tc>
          <w:tcPr>
            <w:tcW w:w="176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A5FF78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/>
            <w:tcBorders>
              <w:top w:val="single" w:sz="8" w:space="0" w:color="AEAAAA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46609A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F4F520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MR-PRESSO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6C85CC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1.096 (1.048, 1.146)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55AD4B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E5C2FA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0.989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75DB85" w14:textId="77777777" w:rsidR="00116286" w:rsidRPr="00773CEE" w:rsidRDefault="0011628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14:paraId="0DE981F8" w14:textId="77777777" w:rsidR="00116286" w:rsidRPr="00773CEE" w:rsidRDefault="00116286" w:rsidP="0011628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sz w:val="20"/>
          <w:szCs w:val="20"/>
        </w:rPr>
        <w:t>AD, Alzheimer disease; GWAS, genome-wide association studies; CI, confidence interval; OR, odds ratio; P</w:t>
      </w:r>
      <w:r w:rsidRPr="00773CEE">
        <w:rPr>
          <w:rFonts w:ascii="Times New Roman" w:hAnsi="Times New Roman" w:cs="Times New Roman"/>
          <w:sz w:val="20"/>
          <w:szCs w:val="20"/>
          <w:vertAlign w:val="subscript"/>
        </w:rPr>
        <w:t>assoc</w:t>
      </w:r>
      <w:r w:rsidRPr="00773CEE">
        <w:rPr>
          <w:rFonts w:ascii="Times New Roman" w:hAnsi="Times New Roman" w:cs="Times New Roman"/>
          <w:sz w:val="20"/>
          <w:szCs w:val="20"/>
        </w:rPr>
        <w:t>, P-value for association; P</w:t>
      </w:r>
      <w:r w:rsidRPr="00773CEE">
        <w:rPr>
          <w:rFonts w:ascii="Times New Roman" w:hAnsi="Times New Roman" w:cs="Times New Roman"/>
          <w:sz w:val="20"/>
          <w:szCs w:val="20"/>
          <w:vertAlign w:val="subscript"/>
        </w:rPr>
        <w:t>het</w:t>
      </w:r>
      <w:r w:rsidRPr="00773CEE">
        <w:rPr>
          <w:rFonts w:ascii="Times New Roman" w:hAnsi="Times New Roman" w:cs="Times New Roman"/>
          <w:sz w:val="20"/>
          <w:szCs w:val="20"/>
        </w:rPr>
        <w:t>, P-value for heterogeneity between instrumental SNP causal estimates; P</w:t>
      </w:r>
      <w:r w:rsidRPr="00773CEE">
        <w:rPr>
          <w:rFonts w:ascii="Times New Roman" w:hAnsi="Times New Roman" w:cs="Times New Roman"/>
          <w:sz w:val="20"/>
          <w:szCs w:val="20"/>
          <w:vertAlign w:val="subscript"/>
        </w:rPr>
        <w:t>pltr</w:t>
      </w:r>
      <w:r w:rsidRPr="00773CEE">
        <w:rPr>
          <w:rFonts w:ascii="Times New Roman" w:hAnsi="Times New Roman" w:cs="Times New Roman"/>
          <w:sz w:val="20"/>
          <w:szCs w:val="20"/>
        </w:rPr>
        <w:t xml:space="preserve">, P-value for horizontal pleiotropy from MR-Egger intercept test or MR-PRESSO global test; </w:t>
      </w:r>
      <w:bookmarkStart w:id="0" w:name="_Hlk62332044"/>
      <w:r w:rsidRPr="00773CEE">
        <w:rPr>
          <w:rFonts w:ascii="Times New Roman" w:hAnsi="Times New Roman" w:cs="Times New Roman"/>
          <w:sz w:val="20"/>
          <w:szCs w:val="20"/>
        </w:rPr>
        <w:t>N SNPs represents the number of single nucleotide polymorphisms used as instrumental variables;</w:t>
      </w:r>
      <w:bookmarkEnd w:id="0"/>
      <w:r w:rsidRPr="00773CEE">
        <w:rPr>
          <w:rFonts w:ascii="Times New Roman" w:hAnsi="Times New Roman" w:cs="Times New Roman"/>
          <w:sz w:val="20"/>
          <w:szCs w:val="20"/>
        </w:rPr>
        <w:t xml:space="preserve"> IVW, inverse variance weighted. </w:t>
      </w:r>
    </w:p>
    <w:p w14:paraId="522BB686" w14:textId="77777777" w:rsidR="00116286" w:rsidRPr="00773CEE" w:rsidRDefault="00116286" w:rsidP="0011628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2C3C59" w14:textId="77777777" w:rsidR="00A014C2" w:rsidRPr="00116286" w:rsidRDefault="00116286"/>
    <w:sectPr w:rsidR="00A014C2" w:rsidRPr="001162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6286"/>
    <w:rsid w:val="00116286"/>
    <w:rsid w:val="00167201"/>
    <w:rsid w:val="001A4E21"/>
    <w:rsid w:val="004677A4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A5757"/>
  <w15:chartTrackingRefBased/>
  <w15:docId w15:val="{8501272D-7EE3-4106-9705-88CB115DC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2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2021-03-07T06:40:00Z</dcterms:created>
  <dcterms:modified xsi:type="dcterms:W3CDTF">2021-03-07T06:43:00Z</dcterms:modified>
</cp:coreProperties>
</file>