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>Table 1. Characteristics of study population by T2DM with HTN</w:t>
      </w:r>
    </w:p>
    <w:tbl>
      <w:tblPr>
        <w:tblStyle w:val="5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306"/>
        <w:gridCol w:w="851"/>
        <w:gridCol w:w="1943"/>
        <w:gridCol w:w="2556"/>
        <w:gridCol w:w="852"/>
        <w:gridCol w:w="852"/>
      </w:tblGrid>
      <w:tr>
        <w:tblPrEx>
          <w:tblLayout w:type="fixed"/>
        </w:tblPrEx>
        <w:tc>
          <w:tcPr>
            <w:tcW w:w="8516" w:type="dxa"/>
            <w:gridSpan w:val="7"/>
            <w:tcBorders>
              <w:left w:val="nil"/>
              <w:bottom w:val="single" w:color="000000" w:sz="4" w:space="0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T2DM with HTN      T2DM with HTN        P value</w:t>
            </w:r>
          </w:p>
        </w:tc>
      </w:tr>
      <w:tr>
        <w:tblPrEx>
          <w:tblLayout w:type="fixed"/>
        </w:tblPrEx>
        <w:tc>
          <w:tcPr>
            <w:tcW w:w="146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TyG(2011)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Age,years</w:t>
            </w:r>
          </w:p>
        </w:tc>
        <w:tc>
          <w:tcPr>
            <w:tcW w:w="2794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4364</w:t>
            </w:r>
          </w:p>
          <w:p>
            <w:pPr>
              <w:pStyle w:val="6"/>
              <w:ind w:firstLine="990" w:firstLineChars="5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7.67(7.32-8.03）</w:t>
            </w:r>
          </w:p>
          <w:p>
            <w:pPr>
              <w:pStyle w:val="6"/>
              <w:ind w:firstLine="990" w:firstLineChars="5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54.00(49.00-58.00）</w:t>
            </w:r>
          </w:p>
        </w:tc>
        <w:tc>
          <w:tcPr>
            <w:tcW w:w="2556" w:type="dxa"/>
            <w:vMerge w:val="restart"/>
            <w:tcBorders>
              <w:top w:val="single" w:color="000000" w:sz="4" w:space="0"/>
              <w:left w:val="nil"/>
              <w:right w:val="nil"/>
            </w:tcBorders>
          </w:tcPr>
          <w:p>
            <w:pPr>
              <w:pStyle w:val="6"/>
              <w:ind w:firstLine="1080" w:firstLineChars="6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70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8.83(8.37-9.36)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55.50(50-61.25)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25.29(23.87-27.65)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128.50(118.17-134.83)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73.67(69.25-79.67)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71.00(65.00-76.50)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5.67(5.26-6.36)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8.45(6.54-9.37)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5.90(5.60-6.20)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18.40(15.00-23.15)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18.50(16.65-21.45)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19.70(15.25-29.05)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1.39(0.94-2.27)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5.13(4.55-5.75)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3.08(2.60-3.63)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1.27(1.07-1.46)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119.85(107.16-135.84)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32(45.71%)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38(54.29%)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9(12.86%)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2(2.86%)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18(25.71%)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15(21.43%)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5(7.14%)</w:t>
            </w:r>
          </w:p>
          <w:p>
            <w:pPr>
              <w:pStyle w:val="6"/>
              <w:ind w:firstLine="810" w:firstLineChars="4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65(92.86%)</w:t>
            </w:r>
          </w:p>
        </w:tc>
        <w:tc>
          <w:tcPr>
            <w:tcW w:w="1704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>
        <w:tblPrEx>
          <w:tblLayout w:type="fixed"/>
        </w:tblPrEx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BMI,kg/m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                                      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SBP,mmHg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DBP,mmHg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Heart rate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FBG,mmol/L</w:t>
            </w:r>
          </w:p>
        </w:tc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24.70(22.62-26.78)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122.33(114.33-129.33)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72.33(66.67-77.33)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73.00(67.00-80.00)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5.27(4.97-5.60)</w:t>
            </w:r>
          </w:p>
        </w:tc>
        <w:tc>
          <w:tcPr>
            <w:tcW w:w="2556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>
        <w:tblPrEx>
          <w:tblLayout w:type="fixed"/>
        </w:tblPrEx>
        <w:tc>
          <w:tcPr>
            <w:tcW w:w="23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PBG,mmol/L</w:t>
            </w:r>
          </w:p>
        </w:tc>
        <w:tc>
          <w:tcPr>
            <w:tcW w:w="1943" w:type="dxa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6.46(5.52-7.49)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5.70(5.50-6.00)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16.40(13.00-22.20)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19.00(16.50-22.30)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18.00(13.60-25.30)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1.16(0.84-1.63)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4.98(4.50-5.35)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3.15(2.66-3.68)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1.45(1.23-1.71)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123.26(110.33-137.12)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1217(27.89%)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3147(72.11%)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788(18.06%)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238(5.45%)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1232(28.23%)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901(20.65%)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200(4.58%)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4164(95.42%)</w:t>
            </w:r>
          </w:p>
        </w:tc>
        <w:tc>
          <w:tcPr>
            <w:tcW w:w="2556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>
        <w:tblPrEx>
          <w:tblLayout w:type="fixed"/>
        </w:tblPrEx>
        <w:tc>
          <w:tcPr>
            <w:tcW w:w="23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HbA1c,%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ALT,U/L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AST,U/L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GGT,U/L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TG,mmol/L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TC,mmol/L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LDL-C,mmol/L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HDL-C,mmol/L</w:t>
            </w:r>
          </w:p>
        </w:tc>
        <w:tc>
          <w:tcPr>
            <w:tcW w:w="1943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>
        <w:tblPrEx>
          <w:tblLayout w:type="fixed"/>
        </w:tblPrEx>
        <w:tc>
          <w:tcPr>
            <w:tcW w:w="23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eGFR,mL/(min·</w:t>
            </w:r>
            <w:r>
              <w:rPr>
                <w:rFonts w:ascii="Arial" w:hAnsi="Arial" w:cs="Arial"/>
                <w:kern w:val="0"/>
                <w:sz w:val="18"/>
                <w:szCs w:val="21"/>
                <w:lang w:bidi="ar"/>
              </w:rPr>
              <w:t>1.73 m²)</w:t>
            </w:r>
          </w:p>
        </w:tc>
        <w:tc>
          <w:tcPr>
            <w:tcW w:w="1943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>
        <w:tblPrEx>
          <w:tblLayout w:type="fixed"/>
        </w:tblPrEx>
        <w:tc>
          <w:tcPr>
            <w:tcW w:w="2313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Sex,(%)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Current smoker, no. (%)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Past smoker, no. (%)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Current alcohol drinker, no. (%)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Past alcohol drinker, no. (%)</w:t>
            </w:r>
          </w:p>
        </w:tc>
        <w:tc>
          <w:tcPr>
            <w:tcW w:w="1943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Layout w:type="fixed"/>
        </w:tblPrEx>
        <w:tc>
          <w:tcPr>
            <w:tcW w:w="2313" w:type="dxa"/>
            <w:gridSpan w:val="3"/>
            <w:vMerge w:val="continue"/>
            <w:tcBorders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>
        <w:tblPrEx>
          <w:tblLayout w:type="fixed"/>
        </w:tblPrEx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CVDs,(%)</w:t>
            </w: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>
        <w:tblPrEx>
          <w:tblLayout w:type="fixed"/>
        </w:tblPrEx>
        <w:tc>
          <w:tcPr>
            <w:tcW w:w="1462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vMerge w:val="continue"/>
            <w:tcBorders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</w:tcPr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</w:tbl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ascii="Times New Roman" w:hAnsi="Times New Roman"/>
          <w:kern w:val="2"/>
        </w:rPr>
        <w:t xml:space="preserve">Data were mean ± SD or median (IQR) for skewed variables or numbers (proportions) for categorical variables. </w:t>
      </w:r>
    </w:p>
    <w:p>
      <w:pPr>
        <w:pStyle w:val="2"/>
        <w:widowControl/>
        <w:rPr>
          <w:rFonts w:ascii="Times New Roman" w:hAnsi="Times New Roman"/>
          <w:kern w:val="2"/>
        </w:rPr>
      </w:pPr>
      <w:r>
        <w:rPr>
          <w:rFonts w:hint="eastAsia" w:ascii="Times New Roman" w:hAnsi="Times New Roman"/>
          <w:kern w:val="2"/>
        </w:rPr>
        <w:t>HTN: hypertension; T2DM: type 2 diabetes.</w:t>
      </w:r>
      <w:r>
        <w:rPr>
          <w:rFonts w:ascii="Times New Roman" w:hAnsi="Times New Roman"/>
          <w:kern w:val="2"/>
        </w:rPr>
        <w:t xml:space="preserve"> </w:t>
      </w:r>
      <w:r>
        <w:rPr>
          <w:rFonts w:hint="eastAsia" w:ascii="Times New Roman" w:hAnsi="Times New Roman"/>
          <w:kern w:val="2"/>
        </w:rPr>
        <w:t>BMI: body mass index; SBP: systolic blood pressure; DBP: diastolic blood pressure; heart rate; FBG: fasting plasma glucose;</w:t>
      </w:r>
      <w:r>
        <w:rPr>
          <w:rFonts w:ascii="Times New Roman" w:hAnsi="Times New Roman"/>
          <w:kern w:val="2"/>
        </w:rPr>
        <w:t xml:space="preserve"> </w:t>
      </w:r>
      <w:r>
        <w:rPr>
          <w:rFonts w:hint="eastAsia" w:ascii="Times New Roman" w:hAnsi="Times New Roman"/>
          <w:kern w:val="2"/>
        </w:rPr>
        <w:t>PBG: 2 h post-load blood glucose; HbA1c: glycosylated hemoglobin; ALT: alanine transferase; AST: aspartate transferase; GGT: gamma-glutamyl</w:t>
      </w:r>
      <w:r>
        <w:rPr>
          <w:rFonts w:ascii="Times New Roman" w:hAnsi="Times New Roman"/>
          <w:kern w:val="2"/>
        </w:rPr>
        <w:t xml:space="preserve"> </w:t>
      </w:r>
      <w:r>
        <w:rPr>
          <w:rFonts w:hint="eastAsia" w:ascii="Times New Roman" w:hAnsi="Times New Roman"/>
          <w:kern w:val="2"/>
        </w:rPr>
        <w:t>transferase; TG: triglyceride; TC: high cholesterol; LDL-C: low-density lipoprotein cholesterol; HDL-C: high-density lipoprotein cholesterol; eGFR:</w:t>
      </w:r>
      <w:r>
        <w:rPr>
          <w:rFonts w:ascii="Times New Roman" w:hAnsi="Times New Roman"/>
          <w:kern w:val="2"/>
        </w:rPr>
        <w:t xml:space="preserve"> </w:t>
      </w:r>
      <w:r>
        <w:rPr>
          <w:rFonts w:hint="eastAsia" w:ascii="Times New Roman" w:hAnsi="Times New Roman"/>
          <w:kern w:val="2"/>
        </w:rPr>
        <w:t>lower estimated glomerular filtration rate; CVD: cardiovascular disease</w:t>
      </w:r>
      <w:r>
        <w:rPr>
          <w:rFonts w:ascii="Times New Roman" w:hAnsi="Times New Roman"/>
          <w:kern w:val="2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TimesNewRomanPSMT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5E2D9"/>
    <w:rsid w:val="1F85E2D9"/>
    <w:rsid w:val="6FE4A87C"/>
    <w:rsid w:val="7DFDA96C"/>
    <w:rsid w:val="EF59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6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Office_1.1.0.1454_F1E327BC-269C-435d-A152-05C5408002CA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2023-05-06T06:03:00Z</dcterms:created>
  <dc:creator>wandouer</dc:creator>
  <cp:lastModifiedBy>wandouer</cp:lastModifiedBy>
  <dcterms:modified xsi:type="dcterms:W3CDTF">2023-05-05T22:08:15Z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