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CBC07" w14:textId="77777777" w:rsidR="00987BBD" w:rsidRPr="00922E5A" w:rsidRDefault="00987BBD" w:rsidP="00987BBD">
      <w:pPr>
        <w:spacing w:line="360" w:lineRule="auto"/>
        <w:rPr>
          <w:b/>
          <w:bCs/>
          <w:sz w:val="32"/>
          <w:szCs w:val="32"/>
        </w:rPr>
      </w:pPr>
      <w:r w:rsidRPr="00922E5A">
        <w:rPr>
          <w:b/>
          <w:bCs/>
          <w:sz w:val="32"/>
          <w:szCs w:val="32"/>
        </w:rPr>
        <w:t>Supplemental Information</w:t>
      </w:r>
    </w:p>
    <w:p w14:paraId="64760E90" w14:textId="77777777" w:rsidR="00987BBD" w:rsidRDefault="00987BBD" w:rsidP="00987BBD">
      <w:pPr>
        <w:pStyle w:val="BodyText"/>
        <w:tabs>
          <w:tab w:val="left" w:pos="567"/>
        </w:tabs>
        <w:spacing w:line="360" w:lineRule="auto"/>
        <w:jc w:val="both"/>
        <w:rPr>
          <w:b/>
          <w:bCs/>
          <w:sz w:val="28"/>
          <w:szCs w:val="28"/>
          <w:lang w:val="en-GB"/>
        </w:rPr>
      </w:pPr>
    </w:p>
    <w:p w14:paraId="2019A918" w14:textId="77777777" w:rsidR="00987BBD" w:rsidRPr="00922E5A" w:rsidRDefault="00987BBD" w:rsidP="00987BBD">
      <w:pPr>
        <w:pStyle w:val="BodyText"/>
        <w:tabs>
          <w:tab w:val="left" w:pos="567"/>
        </w:tabs>
        <w:spacing w:line="360" w:lineRule="auto"/>
        <w:jc w:val="both"/>
        <w:rPr>
          <w:b/>
          <w:bCs/>
          <w:sz w:val="28"/>
          <w:szCs w:val="28"/>
          <w:lang w:val="en-GB"/>
        </w:rPr>
      </w:pPr>
      <w:r w:rsidRPr="00922E5A">
        <w:rPr>
          <w:b/>
          <w:bCs/>
          <w:sz w:val="28"/>
          <w:szCs w:val="28"/>
          <w:lang w:val="en-GB"/>
        </w:rPr>
        <w:t>Materials and Methods</w:t>
      </w:r>
    </w:p>
    <w:p w14:paraId="1378BE16" w14:textId="77777777" w:rsidR="00987BBD" w:rsidRDefault="00987BBD" w:rsidP="00987BBD">
      <w:pPr>
        <w:pStyle w:val="BodyText"/>
        <w:tabs>
          <w:tab w:val="left" w:pos="567"/>
        </w:tabs>
        <w:spacing w:line="360" w:lineRule="auto"/>
        <w:jc w:val="both"/>
        <w:rPr>
          <w:b/>
          <w:bCs/>
          <w:szCs w:val="22"/>
          <w:lang w:val="en-GB"/>
        </w:rPr>
      </w:pPr>
      <w:r>
        <w:rPr>
          <w:b/>
          <w:bCs/>
          <w:szCs w:val="22"/>
          <w:lang w:val="en-GB"/>
        </w:rPr>
        <w:t>Cell Culture and Virus Growth</w:t>
      </w:r>
    </w:p>
    <w:p w14:paraId="1A210698" w14:textId="77777777" w:rsidR="00987BBD" w:rsidRDefault="00987BBD" w:rsidP="00987BBD">
      <w:pPr>
        <w:pStyle w:val="BodyText"/>
        <w:tabs>
          <w:tab w:val="left" w:pos="567"/>
        </w:tabs>
        <w:spacing w:line="360" w:lineRule="auto"/>
        <w:jc w:val="both"/>
        <w:rPr>
          <w:lang w:val="en-GB"/>
        </w:rPr>
      </w:pPr>
      <w:r>
        <w:rPr>
          <w:lang w:val="en-GB"/>
        </w:rPr>
        <w:t xml:space="preserve">Vero E6 cells modified to stably express TMPRSS2 (Vero E6/TMPRSS2 cell, obtained from NIBSC, UK) and Vero E6 cells modified to stably express human ACE2 and TMPRSS2 (Vero E6/ACE2/TMPRSS2 (VAT) cells </w:t>
      </w:r>
      <w:r>
        <w:fldChar w:fldCharType="begin"/>
      </w:r>
      <w:r>
        <w:rPr>
          <w:lang w:val="en-GB"/>
        </w:rPr>
        <w:instrText>ADDIN EN.CITE</w:instrText>
      </w:r>
      <w:r>
        <w:fldChar w:fldCharType="begin"/>
      </w:r>
      <w:r>
        <w:rPr>
          <w:lang w:val="en-GB"/>
        </w:rPr>
        <w:instrText>ADDIN EN.CITE.DATA</w:instrText>
      </w:r>
      <w:r>
        <w:rPr>
          <w:lang w:val="en-GB"/>
        </w:rPr>
        <w:fldChar w:fldCharType="separate"/>
      </w:r>
      <w:r>
        <w:rPr>
          <w:lang w:val="en-GB"/>
        </w:rPr>
        <w:fldChar w:fldCharType="end"/>
      </w:r>
      <w:r>
        <w:rPr>
          <w:lang w:val="en-GB"/>
        </w:rPr>
        <w:fldChar w:fldCharType="separate"/>
      </w:r>
      <w:r>
        <w:rPr>
          <w:lang w:val="en-GB"/>
        </w:rPr>
        <w:t>(25)</w:t>
      </w:r>
      <w:r>
        <w:rPr>
          <w:lang w:val="en-GB"/>
        </w:rPr>
        <w:fldChar w:fldCharType="end"/>
      </w:r>
      <w:r>
        <w:rPr>
          <w:lang w:val="en-GB"/>
        </w:rPr>
        <w:t>) are cultured in Dulbecco’s Modified Eagle Medium (DMEM, high glucose; Sigma, UK) supplemented with 10% foetal bovine serum (FBS, Sigma) at 37°C and 5% CO</w:t>
      </w:r>
      <w:r>
        <w:rPr>
          <w:vertAlign w:val="subscript"/>
          <w:lang w:val="en-GB"/>
        </w:rPr>
        <w:t>2(g)</w:t>
      </w:r>
      <w:r>
        <w:rPr>
          <w:lang w:val="en-GB"/>
        </w:rPr>
        <w:t xml:space="preserve">, 100 units/ml penicillin (Gibco, UK), 100 µg/ml streptomycin (Gibco, UK), and L-glutamine (Gibco, UK). </w:t>
      </w:r>
    </w:p>
    <w:p w14:paraId="0006BC54" w14:textId="77777777" w:rsidR="00987BBD" w:rsidRDefault="00987BBD" w:rsidP="00987BBD">
      <w:pPr>
        <w:pStyle w:val="BodyText"/>
        <w:tabs>
          <w:tab w:val="left" w:pos="567"/>
        </w:tabs>
        <w:spacing w:line="360" w:lineRule="auto"/>
        <w:jc w:val="both"/>
        <w:rPr>
          <w:szCs w:val="22"/>
          <w:lang w:val="en-GB"/>
        </w:rPr>
      </w:pPr>
    </w:p>
    <w:p w14:paraId="1D73A474" w14:textId="77777777" w:rsidR="00987BBD" w:rsidRDefault="00987BBD" w:rsidP="00987BBD">
      <w:pPr>
        <w:pStyle w:val="BodyText"/>
        <w:tabs>
          <w:tab w:val="left" w:pos="567"/>
        </w:tabs>
        <w:spacing w:line="360" w:lineRule="auto"/>
        <w:jc w:val="both"/>
        <w:rPr>
          <w:lang w:val="en-GB"/>
        </w:rPr>
      </w:pPr>
      <w:r>
        <w:rPr>
          <w:lang w:val="en-GB"/>
        </w:rPr>
        <w:t>Viral stocks of the B.1.617.2 (Delta) (GISAID ID: EPI_ISL_1731019) and Omicron (BA.2) VOCs are prepared using VAT cells grown to confluence in T75 flasks. The cells are infected at different multiplicities of infection (MOI) of 0.01 and 0.1 and the infected cells grown in Eagle’s Minimal Essential Medium (MEM) supplemented with 2% FBS for either 24-hours (for Delta) or 72-hours (for BA.2) post-infection for virus production. After the incubation (37°C, 5% CO</w:t>
      </w:r>
      <w:r>
        <w:rPr>
          <w:vertAlign w:val="subscript"/>
          <w:lang w:val="en-GB"/>
        </w:rPr>
        <w:t>2</w:t>
      </w:r>
      <w:r>
        <w:rPr>
          <w:lang w:val="en-GB"/>
        </w:rPr>
        <w:t>) period, the culture supernatant is collected, centrifuged (250 g, 10 minutes), filtered (0.22 µm), aliquoted and frozen (-80 °C). The Delta VOC (TCID</w:t>
      </w:r>
      <w:r>
        <w:rPr>
          <w:vertAlign w:val="subscript"/>
          <w:lang w:val="en-GB"/>
        </w:rPr>
        <w:t>50</w:t>
      </w:r>
      <w:r>
        <w:rPr>
          <w:lang w:val="en-GB"/>
        </w:rPr>
        <w:t>/mL of 3.4 × 10</w:t>
      </w:r>
      <w:r>
        <w:rPr>
          <w:vertAlign w:val="superscript"/>
          <w:lang w:val="en-GB"/>
        </w:rPr>
        <w:t>7</w:t>
      </w:r>
      <w:r>
        <w:rPr>
          <w:lang w:val="en-GB"/>
        </w:rPr>
        <w:t>) grows to a higher titre than the BA.2 VOC (TCID</w:t>
      </w:r>
      <w:r>
        <w:rPr>
          <w:vertAlign w:val="subscript"/>
          <w:lang w:val="en-GB"/>
        </w:rPr>
        <w:t>50</w:t>
      </w:r>
      <w:r>
        <w:rPr>
          <w:lang w:val="en-GB"/>
        </w:rPr>
        <w:t>/mL of 3.1 × 10</w:t>
      </w:r>
      <w:r>
        <w:rPr>
          <w:vertAlign w:val="superscript"/>
          <w:lang w:val="en-GB"/>
        </w:rPr>
        <w:t>6</w:t>
      </w:r>
      <w:r>
        <w:rPr>
          <w:lang w:val="en-GB"/>
        </w:rPr>
        <w:t xml:space="preserve">). </w:t>
      </w:r>
    </w:p>
    <w:p w14:paraId="7878C9FC" w14:textId="77777777" w:rsidR="00987BBD" w:rsidRDefault="00987BBD" w:rsidP="00987BBD">
      <w:pPr>
        <w:spacing w:line="360" w:lineRule="auto"/>
        <w:jc w:val="both"/>
        <w:rPr>
          <w:sz w:val="22"/>
          <w:szCs w:val="22"/>
          <w:lang w:val="en-GB"/>
        </w:rPr>
      </w:pPr>
    </w:p>
    <w:p w14:paraId="4CE9B9D7" w14:textId="77777777" w:rsidR="00987BBD" w:rsidRDefault="00987BBD" w:rsidP="00987BBD">
      <w:pPr>
        <w:pStyle w:val="BodyText"/>
        <w:tabs>
          <w:tab w:val="left" w:pos="567"/>
        </w:tabs>
        <w:spacing w:line="360" w:lineRule="auto"/>
        <w:jc w:val="both"/>
        <w:rPr>
          <w:b/>
          <w:bCs/>
          <w:szCs w:val="22"/>
          <w:lang w:val="en-GB"/>
        </w:rPr>
      </w:pPr>
      <w:r>
        <w:rPr>
          <w:b/>
          <w:bCs/>
          <w:szCs w:val="22"/>
          <w:lang w:val="en-GB"/>
        </w:rPr>
        <w:t>CELEBS – Airborne Longevity Measurements</w:t>
      </w:r>
    </w:p>
    <w:p w14:paraId="3D8B3928" w14:textId="77777777" w:rsidR="00987BBD" w:rsidRDefault="00987BBD" w:rsidP="00987BBD">
      <w:pPr>
        <w:spacing w:line="360" w:lineRule="auto"/>
        <w:jc w:val="both"/>
        <w:rPr>
          <w:sz w:val="22"/>
          <w:szCs w:val="22"/>
          <w:lang w:val="en-GB"/>
        </w:rPr>
      </w:pPr>
      <w:r>
        <w:rPr>
          <w:sz w:val="22"/>
          <w:szCs w:val="22"/>
          <w:lang w:val="en-GB"/>
        </w:rPr>
        <w:t xml:space="preserve">The airborne stability of SARS-CoV-2 variants is measured using the Controlled Electrodynamic Levitation and Extraction of Bioaerosol onto a Substrate (CELEBS) technique. This has been described in detail previously for the study of both bacterial </w:t>
      </w:r>
      <w:r>
        <w:rPr>
          <w:sz w:val="22"/>
          <w:szCs w:val="22"/>
          <w:lang w:val="en-GB"/>
        </w:rPr>
        <w:fldChar w:fldCharType="begin">
          <w:fldData xml:space="preserve">PEVuZE5vdGU+PENpdGU+PEF1dGhvcj5GZXJuYW5kZXo8L0F1dGhvcj48WWVhcj4yMDE5PC9ZZWFy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</w:fldData>
        </w:fldChar>
      </w:r>
      <w:r>
        <w:rPr>
          <w:sz w:val="22"/>
          <w:szCs w:val="22"/>
          <w:lang w:val="en-GB"/>
        </w:rPr>
        <w:instrText xml:space="preserve"> ADDIN EN.CITE </w:instrText>
      </w:r>
      <w:r>
        <w:rPr>
          <w:sz w:val="22"/>
          <w:szCs w:val="22"/>
          <w:lang w:val="en-GB"/>
        </w:rPr>
        <w:fldChar w:fldCharType="begin">
          <w:fldData xml:space="preserve">PEVuZE5vdGU+PENpdGU+PEF1dGhvcj5GZXJuYW5kZXo8L0F1dGhvcj48WWVhcj4yMDE5PC9ZZWFy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</w:fldData>
        </w:fldChar>
      </w:r>
      <w:r>
        <w:rPr>
          <w:sz w:val="22"/>
          <w:szCs w:val="22"/>
          <w:lang w:val="en-GB"/>
        </w:rPr>
        <w:instrText xml:space="preserve"> ADDIN EN.CITE.DATA </w:instrText>
      </w:r>
      <w:r>
        <w:rPr>
          <w:sz w:val="22"/>
          <w:szCs w:val="22"/>
          <w:lang w:val="en-GB"/>
        </w:rPr>
      </w:r>
      <w:r>
        <w:rPr>
          <w:sz w:val="22"/>
          <w:szCs w:val="22"/>
          <w:lang w:val="en-GB"/>
        </w:rPr>
        <w:fldChar w:fldCharType="end"/>
      </w:r>
      <w:r>
        <w:rPr>
          <w:sz w:val="22"/>
          <w:szCs w:val="22"/>
          <w:lang w:val="en-GB"/>
        </w:rPr>
      </w:r>
      <w:r>
        <w:rPr>
          <w:sz w:val="22"/>
          <w:szCs w:val="22"/>
          <w:lang w:val="en-GB"/>
        </w:rPr>
        <w:fldChar w:fldCharType="separate"/>
      </w:r>
      <w:r>
        <w:rPr>
          <w:noProof/>
          <w:sz w:val="22"/>
          <w:szCs w:val="22"/>
          <w:lang w:val="en-GB"/>
        </w:rPr>
        <w:t>(</w:t>
      </w:r>
      <w:r w:rsidRPr="00130D7F">
        <w:rPr>
          <w:i/>
          <w:noProof/>
          <w:sz w:val="22"/>
          <w:szCs w:val="22"/>
          <w:lang w:val="en-GB"/>
        </w:rPr>
        <w:t>1, 2</w:t>
      </w:r>
      <w:r>
        <w:rPr>
          <w:noProof/>
          <w:sz w:val="22"/>
          <w:szCs w:val="22"/>
          <w:lang w:val="en-GB"/>
        </w:rPr>
        <w:t>)</w:t>
      </w:r>
      <w:r>
        <w:rPr>
          <w:sz w:val="22"/>
          <w:szCs w:val="22"/>
          <w:lang w:val="en-GB"/>
        </w:rPr>
        <w:fldChar w:fldCharType="end"/>
      </w:r>
      <w:r>
        <w:rPr>
          <w:sz w:val="22"/>
          <w:szCs w:val="22"/>
          <w:lang w:val="en-GB"/>
        </w:rPr>
        <w:t xml:space="preserve"> and viral species </w:t>
      </w:r>
      <w:r>
        <w:rPr>
          <w:sz w:val="22"/>
          <w:szCs w:val="22"/>
          <w:lang w:val="en-GB"/>
        </w:rPr>
        <w:fldChar w:fldCharType="begin">
          <w:fldData xml:space="preserve">PEVuZE5vdGU+PENpdGU+PEF1dGhvcj5Pc3dpbjwvQXV0aG9yPjxZZWFyPjIwMjE8L1llYXI+PFJl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</w:fldData>
        </w:fldChar>
      </w:r>
      <w:r>
        <w:rPr>
          <w:sz w:val="22"/>
          <w:szCs w:val="22"/>
          <w:lang w:val="en-GB"/>
        </w:rPr>
        <w:instrText xml:space="preserve"> ADDIN EN.CITE </w:instrText>
      </w:r>
      <w:r>
        <w:rPr>
          <w:sz w:val="22"/>
          <w:szCs w:val="22"/>
          <w:lang w:val="en-GB"/>
        </w:rPr>
        <w:fldChar w:fldCharType="begin">
          <w:fldData xml:space="preserve">PEVuZE5vdGU+PENpdGU+PEF1dGhvcj5Pc3dpbjwvQXV0aG9yPjxZZWFyPjIwMjE8L1llYXI+PFJl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</w:fldData>
        </w:fldChar>
      </w:r>
      <w:r>
        <w:rPr>
          <w:sz w:val="22"/>
          <w:szCs w:val="22"/>
          <w:lang w:val="en-GB"/>
        </w:rPr>
        <w:instrText xml:space="preserve"> ADDIN EN.CITE.DATA </w:instrText>
      </w:r>
      <w:r>
        <w:rPr>
          <w:sz w:val="22"/>
          <w:szCs w:val="22"/>
          <w:lang w:val="en-GB"/>
        </w:rPr>
      </w:r>
      <w:r>
        <w:rPr>
          <w:sz w:val="22"/>
          <w:szCs w:val="22"/>
          <w:lang w:val="en-GB"/>
        </w:rPr>
        <w:fldChar w:fldCharType="end"/>
      </w:r>
      <w:r>
        <w:rPr>
          <w:sz w:val="22"/>
          <w:szCs w:val="22"/>
          <w:lang w:val="en-GB"/>
        </w:rPr>
      </w:r>
      <w:r>
        <w:rPr>
          <w:sz w:val="22"/>
          <w:szCs w:val="22"/>
          <w:lang w:val="en-GB"/>
        </w:rPr>
        <w:fldChar w:fldCharType="separate"/>
      </w:r>
      <w:r>
        <w:rPr>
          <w:noProof/>
          <w:sz w:val="22"/>
          <w:szCs w:val="22"/>
          <w:lang w:val="en-GB"/>
        </w:rPr>
        <w:t>(</w:t>
      </w:r>
      <w:r w:rsidRPr="00130D7F">
        <w:rPr>
          <w:i/>
          <w:noProof/>
          <w:sz w:val="22"/>
          <w:szCs w:val="22"/>
          <w:lang w:val="en-GB"/>
        </w:rPr>
        <w:t>3-5</w:t>
      </w:r>
      <w:r>
        <w:rPr>
          <w:noProof/>
          <w:sz w:val="22"/>
          <w:szCs w:val="22"/>
          <w:lang w:val="en-GB"/>
        </w:rPr>
        <w:t>)</w:t>
      </w:r>
      <w:r>
        <w:rPr>
          <w:sz w:val="22"/>
          <w:szCs w:val="22"/>
          <w:lang w:val="en-GB"/>
        </w:rPr>
        <w:fldChar w:fldCharType="end"/>
      </w:r>
      <w:r>
        <w:rPr>
          <w:sz w:val="22"/>
          <w:szCs w:val="22"/>
          <w:lang w:val="en-GB"/>
        </w:rPr>
        <w:t>. Briefly, a starting formulation containing the virus is loaded into a droplet-on-demand dispenser. Depending on the magnitude and pulse width used to activate the dispenser, the starting radius of the droplet will range between ~17 to ~25 microns. The dispenser is positioned near an induction electrode such that during droplet generation, ion migration (e.g. Na</w:t>
      </w:r>
      <w:r>
        <w:rPr>
          <w:sz w:val="22"/>
          <w:szCs w:val="22"/>
          <w:vertAlign w:val="superscript"/>
          <w:lang w:val="en-GB"/>
        </w:rPr>
        <w:t>+</w:t>
      </w:r>
      <w:r>
        <w:rPr>
          <w:sz w:val="22"/>
          <w:szCs w:val="22"/>
          <w:lang w:val="en-GB"/>
        </w:rPr>
        <w:t xml:space="preserve">) in the jet results in the production of an individual droplet with a slight net charge (&lt;5fC from ion imbalance) when the jet collapses. The individual droplets are then levitated by the electrodynamic fields produced by the ring electrodes within the core of the CELEBS. </w:t>
      </w:r>
    </w:p>
    <w:p w14:paraId="211C9B62" w14:textId="77777777" w:rsidR="00987BBD" w:rsidRDefault="00987BBD" w:rsidP="00987BBD">
      <w:pPr>
        <w:spacing w:line="360" w:lineRule="auto"/>
        <w:jc w:val="both"/>
        <w:rPr>
          <w:sz w:val="22"/>
          <w:szCs w:val="22"/>
          <w:lang w:val="en-GB"/>
        </w:rPr>
      </w:pPr>
    </w:p>
    <w:p w14:paraId="6181CEFF" w14:textId="77777777" w:rsidR="00987BBD" w:rsidRDefault="00987BBD" w:rsidP="00987BBD">
      <w:pPr>
        <w:spacing w:line="360" w:lineRule="auto"/>
        <w:jc w:val="both"/>
        <w:rPr>
          <w:sz w:val="22"/>
          <w:szCs w:val="22"/>
          <w:lang w:val="en-GB"/>
        </w:rPr>
      </w:pPr>
      <w:r>
        <w:rPr>
          <w:sz w:val="22"/>
          <w:szCs w:val="22"/>
          <w:lang w:val="en-GB"/>
        </w:rPr>
        <w:t xml:space="preserve">A laminar air flow is passed over the region in which the droplets are levitated such that the chemical composition, relative humidity and temperature of the air can be controlled and monitored. After a set time period, ranging from &lt;5 seconds through to 40 minutes, the electric fields are manipulated such that the droplets are deposited into a Petri dish filled with 6 mL of DMEM containing 2% FBS. Within </w:t>
      </w:r>
      <w:r>
        <w:rPr>
          <w:sz w:val="22"/>
          <w:szCs w:val="22"/>
          <w:lang w:val="en-GB"/>
        </w:rPr>
        <w:lastRenderedPageBreak/>
        <w:t>15 minutes post deposition (typically under 5 minutes), the 6 mL of virus containing medium is added in 100 µL aliquots to the central 60 wells (containing confluent Vero-E6/TMPRSS2 cells) of a 96 well plate. After 3-5 days incubation (in 37</w:t>
      </w:r>
      <w:r>
        <w:rPr>
          <w:sz w:val="22"/>
          <w:szCs w:val="22"/>
          <w:vertAlign w:val="superscript"/>
          <w:lang w:val="en-GB"/>
        </w:rPr>
        <w:t>o</w:t>
      </w:r>
      <w:r>
        <w:rPr>
          <w:sz w:val="22"/>
          <w:szCs w:val="22"/>
          <w:lang w:val="en-GB"/>
        </w:rPr>
        <w:t>C, &gt;99% RH, 5% CO</w:t>
      </w:r>
      <w:r>
        <w:rPr>
          <w:sz w:val="22"/>
          <w:szCs w:val="22"/>
          <w:vertAlign w:val="subscript"/>
          <w:lang w:val="en-GB"/>
        </w:rPr>
        <w:t>2</w:t>
      </w:r>
      <w:r>
        <w:rPr>
          <w:sz w:val="22"/>
          <w:szCs w:val="22"/>
          <w:lang w:val="en-GB"/>
        </w:rPr>
        <w:t xml:space="preserve">), the number of wells showing the characteristic cytopathic effect (CPE) of SARS-CoV-2 are tabulated, and the number of viral particles that maintained their infectivity throughout the levitation process is calculated as previously described </w:t>
      </w:r>
      <w:r>
        <w:rPr>
          <w:sz w:val="22"/>
          <w:szCs w:val="22"/>
          <w:lang w:val="en-GB"/>
        </w:rPr>
        <w:fldChar w:fldCharType="begin"/>
      </w:r>
      <w:r>
        <w:rPr>
          <w:sz w:val="22"/>
          <w:szCs w:val="22"/>
          <w:lang w:val="en-GB"/>
        </w:rPr>
        <w:instrText xml:space="preserve"> ADDIN EN.CITE &lt;EndNote&gt;&lt;Cite&gt;&lt;Author&gt;Oswin&lt;/Author&gt;&lt;Year&gt;2021&lt;/Year&gt;&lt;RecNum&gt;57&lt;/RecNum&gt;&lt;DisplayText&gt;(&lt;style face="italic"&gt;3&lt;/style&gt;)&lt;/DisplayText&gt;&lt;record&gt;&lt;rec-number&gt;57&lt;/rec-number&gt;&lt;foreign-keys&gt;&lt;key app="EN" db-id="wsw2059ew2fp0qetpwuppxah2przszaxz9d9" timestamp="1665391830"&gt;57&lt;/key&gt;&lt;/foreign-keys&gt;&lt;ref-type name="Journal Article"&gt;17&lt;/ref-type&gt;&lt;contributors&gt;&lt;authors&gt;&lt;author&gt;Oswin, H. P.&lt;/author&gt;&lt;author&gt;Haddrell, A. E.&lt;/author&gt;&lt;author&gt;Otero-Fernandez, M.&lt;/author&gt;&lt;author&gt;Cogan, T. A.&lt;/author&gt;&lt;author&gt;Mann, J. F. S.&lt;/author&gt;&lt;author&gt;Morley, C. H.&lt;/author&gt;&lt;author&gt;Hill, D. J.&lt;/author&gt;&lt;author&gt;Davidson, A. D.&lt;/author&gt;&lt;author&gt;Finn, A.&lt;/author&gt;&lt;author&gt;Thomas, R. J.&lt;/author&gt;&lt;author&gt;Reid, J. P.&lt;/author&gt;&lt;/authors&gt;&lt;/contributors&gt;&lt;auth-address&gt;Univ Bristol, Sch Chem, Cantocks Close, Bristol BS8 1TS, Avon, England&amp;#xD;Univ Bristol, Bristol Vet Sch, Langford House, Bristol, Avon, England&amp;#xD;Univ Bristol, Sch Cellular &amp;amp; Mol Med, Bristol, Avon, England&amp;#xD;Defe Sci Technol Lab Dstl, Salisbury, Wilts, England&lt;/auth-address&gt;&lt;titles&gt;&lt;title&gt;Measuring stability of virus in aerosols under varying environmental conditions&lt;/title&gt;&lt;secondary-title&gt;Aerosol Science and Technology&lt;/secondary-title&gt;&lt;alt-title&gt;Aerosol Sci Tech&lt;/alt-title&gt;&lt;/titles&gt;&lt;periodical&gt;&lt;full-title&gt;Aerosol Science and Technology&lt;/full-title&gt;&lt;abbr-1&gt;Aerosol Sci Tech&lt;/abbr-1&gt;&lt;/periodical&gt;&lt;alt-periodical&gt;&lt;full-title&gt;Aerosol Science and Technology&lt;/full-title&gt;&lt;abbr-1&gt;Aerosol Sci Tech&lt;/abbr-1&gt;&lt;/alt-periodical&gt;&lt;pages&gt;1315-1320&lt;/pages&gt;&lt;volume&gt;55&lt;/volume&gt;&lt;number&gt;12&lt;/number&gt;&lt;keywords&gt;&lt;keyword&gt;transmission&lt;/keyword&gt;&lt;keyword&gt;survival&lt;/keyword&gt;&lt;/keywords&gt;&lt;dates&gt;&lt;year&gt;2021&lt;/year&gt;&lt;pub-dates&gt;&lt;date&gt;Oct 22&lt;/date&gt;&lt;/pub-dates&gt;&lt;/dates&gt;&lt;isbn&gt;0278-6826&lt;/isbn&gt;&lt;accession-num&gt;WOS:000696864200001&lt;/accession-num&gt;&lt;urls&gt;&lt;related-urls&gt;&lt;url&gt;&amp;lt;Go to ISI&amp;gt;://WOS:000696864200001&lt;/url&gt;&lt;/related-urls&gt;&lt;/urls&gt;&lt;electronic-resource-num&gt;10.1080/02786826.2021.1976718&lt;/electronic-resource-num&gt;&lt;language&gt;English&lt;/language&gt;&lt;/record&gt;&lt;/Cite&gt;&lt;/EndNote&gt;</w:instrText>
      </w:r>
      <w:r>
        <w:rPr>
          <w:sz w:val="22"/>
          <w:szCs w:val="22"/>
          <w:lang w:val="en-GB"/>
        </w:rPr>
        <w:fldChar w:fldCharType="separate"/>
      </w:r>
      <w:r>
        <w:rPr>
          <w:noProof/>
          <w:sz w:val="22"/>
          <w:szCs w:val="22"/>
          <w:lang w:val="en-GB"/>
        </w:rPr>
        <w:t>(</w:t>
      </w:r>
      <w:r w:rsidRPr="00130D7F">
        <w:rPr>
          <w:i/>
          <w:noProof/>
          <w:sz w:val="22"/>
          <w:szCs w:val="22"/>
          <w:lang w:val="en-GB"/>
        </w:rPr>
        <w:t>3</w:t>
      </w:r>
      <w:r>
        <w:rPr>
          <w:noProof/>
          <w:sz w:val="22"/>
          <w:szCs w:val="22"/>
          <w:lang w:val="en-GB"/>
        </w:rPr>
        <w:t>)</w:t>
      </w:r>
      <w:r>
        <w:rPr>
          <w:sz w:val="22"/>
          <w:szCs w:val="22"/>
          <w:lang w:val="en-GB"/>
        </w:rPr>
        <w:fldChar w:fldCharType="end"/>
      </w:r>
      <w:r>
        <w:rPr>
          <w:sz w:val="22"/>
          <w:szCs w:val="22"/>
          <w:lang w:val="en-GB"/>
        </w:rPr>
        <w:t>. Each day, the infectivity is normalized to the infectious units per droplet of those levitated at 90% RH and &lt;5 seconds (conditions under which no loss of viral infectivity is seen), termed the time (T)=0 point.</w:t>
      </w:r>
    </w:p>
    <w:p w14:paraId="4BEF0904" w14:textId="77777777" w:rsidR="00987BBD" w:rsidRDefault="00987BBD" w:rsidP="00987BBD">
      <w:pPr>
        <w:spacing w:line="360" w:lineRule="auto"/>
        <w:jc w:val="both"/>
        <w:rPr>
          <w:sz w:val="22"/>
          <w:szCs w:val="22"/>
          <w:lang w:val="en-GB"/>
        </w:rPr>
      </w:pPr>
    </w:p>
    <w:p w14:paraId="2C39CC60" w14:textId="77777777" w:rsidR="00987BBD" w:rsidRDefault="00987BBD" w:rsidP="00987BBD">
      <w:pPr>
        <w:spacing w:line="360" w:lineRule="auto"/>
        <w:jc w:val="both"/>
        <w:rPr>
          <w:sz w:val="22"/>
          <w:szCs w:val="22"/>
          <w:lang w:val="en-GB"/>
        </w:rPr>
      </w:pPr>
      <w:r>
        <w:rPr>
          <w:sz w:val="22"/>
          <w:szCs w:val="22"/>
        </w:rPr>
        <w:t xml:space="preserve">We previously reported that the physicochemical properties of aerosol particles composed of  MEM and artificial saliva are similar </w:t>
      </w:r>
      <w:r>
        <w:fldChar w:fldCharType="begin"/>
      </w:r>
      <w:r>
        <w:rPr>
          <w:sz w:val="22"/>
          <w:szCs w:val="22"/>
        </w:rPr>
        <w:instrText>ADDIN EN.CITE</w:instrText>
      </w:r>
      <w:r>
        <w:fldChar w:fldCharType="begin"/>
      </w:r>
      <w:r>
        <w:rPr>
          <w:sz w:val="22"/>
          <w:szCs w:val="22"/>
        </w:rPr>
        <w:instrText>ADDIN EN.CITE.DATA</w:instrText>
      </w:r>
      <w:r>
        <w:rPr>
          <w:sz w:val="22"/>
          <w:szCs w:val="22"/>
        </w:rPr>
        <w:fldChar w:fldCharType="separate"/>
      </w:r>
      <w:r>
        <w:rPr>
          <w:sz w:val="22"/>
          <w:szCs w:val="22"/>
        </w:rPr>
        <w:fldChar w:fldCharType="end"/>
      </w:r>
      <w:r>
        <w:rPr>
          <w:sz w:val="22"/>
          <w:szCs w:val="22"/>
        </w:rPr>
        <w:fldChar w:fldCharType="separate"/>
      </w:r>
      <w:r>
        <w:rPr>
          <w:sz w:val="22"/>
          <w:szCs w:val="22"/>
        </w:rPr>
        <w:t>(14, 15)</w:t>
      </w:r>
      <w:r>
        <w:rPr>
          <w:sz w:val="22"/>
          <w:szCs w:val="22"/>
        </w:rPr>
        <w:fldChar w:fldCharType="end"/>
      </w:r>
      <w:r>
        <w:rPr>
          <w:sz w:val="22"/>
          <w:szCs w:val="22"/>
        </w:rPr>
        <w:t>. As well as broad similarities in composition, these properties include the aerosol pH, which changes from neutral to &gt;10 following generation (resulting from a similar initial bicarbonate concentration), as well as a variability in particle phase and morphology when the RH is between the deliquescence (~75%) and efflorescence (~50%) RHs of the aerosol. For MEM, all aerosol particles are homogeneous liquids containing no precipitate above an RH of 85%, while all particles contain a large proportion of crystalline salt below 45% RH. Indeed, initially formed droplets of MEM and saliva have similar concentrations of salts (to ensure a stable osmotic pressure for cell growth) and NaHCO</w:t>
      </w:r>
      <w:r>
        <w:rPr>
          <w:sz w:val="22"/>
          <w:szCs w:val="22"/>
          <w:vertAlign w:val="subscript"/>
        </w:rPr>
        <w:t>3</w:t>
      </w:r>
      <w:r>
        <w:rPr>
          <w:sz w:val="22"/>
          <w:szCs w:val="22"/>
        </w:rPr>
        <w:t xml:space="preserve"> (because both are at equilibrium with ~5% CO</w:t>
      </w:r>
      <w:r>
        <w:rPr>
          <w:sz w:val="22"/>
          <w:szCs w:val="22"/>
          <w:vertAlign w:val="subscript"/>
        </w:rPr>
        <w:t>2</w:t>
      </w:r>
      <w:r>
        <w:rPr>
          <w:sz w:val="22"/>
          <w:szCs w:val="22"/>
        </w:rPr>
        <w:t xml:space="preserve">). Thus, MEM can be considered a good proxy for saliva as they share the underlying physicochemical properties that govern viral </w:t>
      </w:r>
      <w:proofErr w:type="spellStart"/>
      <w:r>
        <w:rPr>
          <w:sz w:val="22"/>
          <w:szCs w:val="22"/>
        </w:rPr>
        <w:t>aerostability</w:t>
      </w:r>
      <w:proofErr w:type="spellEnd"/>
      <w:r>
        <w:rPr>
          <w:sz w:val="22"/>
          <w:szCs w:val="22"/>
        </w:rPr>
        <w:t xml:space="preserve">. Indeed, we have shown that the infectivity recorded at high and low RH and over the first 120s of levitation (enough time for the majority of the viral infectivity to be lost) there are not significant in their differences. As a consequence, MEM is used as the droplet medium in this study and infectivity measurements were undertaken in conditions where the structure of the particles are known to be homogeneous, specifically at RHs of 40% and 90%. </w:t>
      </w:r>
    </w:p>
    <w:p w14:paraId="40624442" w14:textId="77777777" w:rsidR="00987BBD" w:rsidRDefault="00987BBD" w:rsidP="00987BBD">
      <w:pPr>
        <w:spacing w:line="360" w:lineRule="auto"/>
        <w:jc w:val="both"/>
        <w:rPr>
          <w:sz w:val="22"/>
          <w:szCs w:val="22"/>
          <w:lang w:val="en-GB"/>
        </w:rPr>
      </w:pPr>
    </w:p>
    <w:p w14:paraId="14E17976" w14:textId="77777777" w:rsidR="00987BBD" w:rsidRDefault="00987BBD" w:rsidP="00987BBD">
      <w:pPr>
        <w:pStyle w:val="BodyText"/>
        <w:tabs>
          <w:tab w:val="left" w:pos="567"/>
        </w:tabs>
        <w:spacing w:line="360" w:lineRule="auto"/>
        <w:jc w:val="both"/>
        <w:rPr>
          <w:b/>
          <w:bCs/>
          <w:szCs w:val="22"/>
          <w:lang w:val="en-GB"/>
        </w:rPr>
      </w:pPr>
      <w:r>
        <w:rPr>
          <w:b/>
          <w:bCs/>
          <w:szCs w:val="22"/>
          <w:lang w:val="en-GB"/>
        </w:rPr>
        <w:t>Bulk Stability Measurements</w:t>
      </w:r>
    </w:p>
    <w:p w14:paraId="28FD6368" w14:textId="77777777" w:rsidR="00987BBD" w:rsidRDefault="00987BBD" w:rsidP="00987BBD">
      <w:pPr>
        <w:pStyle w:val="BodyText"/>
        <w:tabs>
          <w:tab w:val="left" w:pos="567"/>
        </w:tabs>
        <w:spacing w:line="360" w:lineRule="auto"/>
        <w:jc w:val="both"/>
        <w:rPr>
          <w:szCs w:val="22"/>
          <w:lang w:val="en-GB"/>
        </w:rPr>
      </w:pPr>
      <w:r>
        <w:rPr>
          <w:szCs w:val="22"/>
          <w:lang w:val="en-GB"/>
        </w:rPr>
        <w:t>The stability of the Delta and BA.2 variants in bulk solutions is assessed either by TCID</w:t>
      </w:r>
      <w:r>
        <w:rPr>
          <w:szCs w:val="22"/>
          <w:vertAlign w:val="subscript"/>
          <w:lang w:val="en-GB"/>
        </w:rPr>
        <w:t>50</w:t>
      </w:r>
      <w:r>
        <w:rPr>
          <w:szCs w:val="22"/>
          <w:lang w:val="en-GB"/>
        </w:rPr>
        <w:t xml:space="preserve"> assay detection of infectious virus or by immunostaining. In the TCID</w:t>
      </w:r>
      <w:r>
        <w:rPr>
          <w:szCs w:val="22"/>
          <w:vertAlign w:val="subscript"/>
          <w:lang w:val="en-GB"/>
        </w:rPr>
        <w:t>50</w:t>
      </w:r>
      <w:r>
        <w:rPr>
          <w:szCs w:val="22"/>
          <w:lang w:val="en-GB"/>
        </w:rPr>
        <w:t xml:space="preserve"> assay, the virus stock is first diluted 1 in 10,000 in DMEM with 2% FBS which is adjusted to a pH of 11 with NaOH. After a set incubation period at 20</w:t>
      </w:r>
      <w:r>
        <w:rPr>
          <w:rFonts w:ascii="Symbol" w:eastAsia="Symbol" w:hAnsi="Symbol" w:cs="Symbol"/>
          <w:szCs w:val="22"/>
          <w:lang w:val="en-GB"/>
        </w:rPr>
        <w:t>°</w:t>
      </w:r>
      <w:r>
        <w:rPr>
          <w:szCs w:val="22"/>
          <w:lang w:val="en-GB"/>
        </w:rPr>
        <w:t>C in open air, the sample is then serially diluted into neutral DMEM containing 2% FBS and the TCID</w:t>
      </w:r>
      <w:r>
        <w:rPr>
          <w:szCs w:val="22"/>
          <w:vertAlign w:val="subscript"/>
          <w:lang w:val="en-GB"/>
        </w:rPr>
        <w:t>50</w:t>
      </w:r>
      <w:r>
        <w:rPr>
          <w:szCs w:val="22"/>
          <w:lang w:val="en-GB"/>
        </w:rPr>
        <w:t>/ml of each sample is then measured. For all samples, the TCID</w:t>
      </w:r>
      <w:r>
        <w:rPr>
          <w:szCs w:val="22"/>
          <w:vertAlign w:val="subscript"/>
          <w:lang w:val="en-GB"/>
        </w:rPr>
        <w:t>50</w:t>
      </w:r>
      <w:r>
        <w:rPr>
          <w:szCs w:val="22"/>
          <w:lang w:val="en-GB"/>
        </w:rPr>
        <w:t xml:space="preserve">/ml is normalised to a sample that is not exposed to a change in the growth medium </w:t>
      </w:r>
      <w:proofErr w:type="spellStart"/>
      <w:r>
        <w:rPr>
          <w:szCs w:val="22"/>
          <w:lang w:val="en-GB"/>
        </w:rPr>
        <w:t>pH.</w:t>
      </w:r>
      <w:proofErr w:type="spellEnd"/>
      <w:r>
        <w:rPr>
          <w:szCs w:val="22"/>
          <w:lang w:val="en-GB"/>
        </w:rPr>
        <w:t xml:space="preserve"> </w:t>
      </w:r>
    </w:p>
    <w:p w14:paraId="1BDB67D2" w14:textId="77777777" w:rsidR="00987BBD" w:rsidRDefault="00987BBD" w:rsidP="00987BBD">
      <w:pPr>
        <w:pStyle w:val="BodyText"/>
        <w:tabs>
          <w:tab w:val="left" w:pos="567"/>
        </w:tabs>
        <w:spacing w:line="360" w:lineRule="auto"/>
        <w:jc w:val="both"/>
        <w:rPr>
          <w:szCs w:val="22"/>
          <w:lang w:val="en-GB"/>
        </w:rPr>
      </w:pPr>
    </w:p>
    <w:p w14:paraId="4B2AB15D" w14:textId="77777777" w:rsidR="00987BBD" w:rsidRDefault="00987BBD" w:rsidP="00987BBD">
      <w:pPr>
        <w:pStyle w:val="BodyText"/>
        <w:tabs>
          <w:tab w:val="left" w:pos="567"/>
        </w:tabs>
        <w:spacing w:line="360" w:lineRule="auto"/>
        <w:jc w:val="both"/>
        <w:rPr>
          <w:lang w:val="en-GB"/>
        </w:rPr>
      </w:pPr>
      <w:r>
        <w:rPr>
          <w:lang w:val="en-GB"/>
        </w:rPr>
        <w:t>In the immunostaining approach, the virus stock is diluted 1:40 in DMEM with 2% FBS (pH 11). After a set incubation period, the sample is then diluted 1:15 in DMEM with 2% FBS (pH 7.0). 100 µL of the diluted virus is then added to well of a 96 well plate seeded with Vero E6/TMPRSS2 cells the day prior. After an 18 hour incubation (37</w:t>
      </w:r>
      <w:r>
        <w:rPr>
          <w:vertAlign w:val="superscript"/>
          <w:lang w:val="en-GB"/>
        </w:rPr>
        <w:t>o</w:t>
      </w:r>
      <w:r>
        <w:rPr>
          <w:lang w:val="en-GB"/>
        </w:rPr>
        <w:t>C, 5% CO</w:t>
      </w:r>
      <w:r>
        <w:rPr>
          <w:vertAlign w:val="subscript"/>
          <w:lang w:val="en-GB"/>
        </w:rPr>
        <w:t>2</w:t>
      </w:r>
      <w:r>
        <w:rPr>
          <w:lang w:val="en-GB"/>
        </w:rPr>
        <w:t xml:space="preserve">), the cells are fixed in 4% (v/v) paraformaldehyde for 60 </w:t>
      </w:r>
      <w:r>
        <w:rPr>
          <w:lang w:val="en-GB"/>
        </w:rPr>
        <w:lastRenderedPageBreak/>
        <w:t>minutes. Fixed cells are then permeabilized (0.1% Triton-X100 in PBS) and blocked (1% (w/v) bovine serum albumin) prior to being stained with a monoclonal antibody against the SARS-CoV-2 nucleocapsid protein (N) (1:2000 dilution; 200-401-A50, Rockland) followed by an appropriate Alexa Fluor-conjugated secondary antibody (</w:t>
      </w:r>
      <w:proofErr w:type="spellStart"/>
      <w:r>
        <w:rPr>
          <w:lang w:val="en-GB"/>
        </w:rPr>
        <w:t>ThermoFisher</w:t>
      </w:r>
      <w:proofErr w:type="spellEnd"/>
      <w:r>
        <w:rPr>
          <w:lang w:val="en-GB"/>
        </w:rPr>
        <w:t>) and DAPI (Sigma Aldrich). Images of the wells are collected (</w:t>
      </w:r>
      <w:proofErr w:type="spellStart"/>
      <w:r>
        <w:rPr>
          <w:lang w:val="en-GB"/>
        </w:rPr>
        <w:t>ImageExpress</w:t>
      </w:r>
      <w:proofErr w:type="spellEnd"/>
      <w:r>
        <w:rPr>
          <w:lang w:val="en-GB"/>
        </w:rPr>
        <w:t xml:space="preserve"> Pico automated imaging platform </w:t>
      </w:r>
      <w:r>
        <w:rPr>
          <w:lang w:val="en-GB"/>
        </w:rPr>
        <w:fldChar w:fldCharType="begin"/>
      </w:r>
      <w:r>
        <w:rPr>
          <w:lang w:val="en-GB"/>
        </w:rPr>
        <w:instrText xml:space="preserve"> ADDIN EN.CITE &lt;EndNote&gt;&lt;Cite&gt;&lt;Author&gt;Haddrell&lt;/Author&gt;&lt;Year&gt;2023&lt;/Year&gt;&lt;RecNum&gt;158&lt;/RecNum&gt;&lt;DisplayText&gt;(&lt;style face="italic"&gt;6&lt;/style&gt;)&lt;/DisplayText&gt;&lt;record&gt;&lt;rec-number&gt;158&lt;/rec-number&gt;&lt;foreign-keys&gt;&lt;key app="EN" db-id="wsw2059ew2fp0qetpwuppxah2przszaxz9d9" timestamp="1688031295"&gt;158&lt;/key&gt;&lt;/foreign-keys&gt;&lt;ref-type name="Journal Article"&gt;17&lt;/ref-type&gt;&lt;contributors&gt;&lt;authors&gt;&lt;author&gt;Haddrell, Allen&lt;/author&gt;&lt;author&gt;Otero-Fernandez, Mara&lt;/author&gt;&lt;author&gt;Oswin, Henry&lt;/author&gt;&lt;author&gt;Cogan, Tristan&lt;/author&gt;&lt;author&gt;Bazire, James&lt;/author&gt;&lt;author&gt;Tian, Jianghan&lt;/author&gt;&lt;author&gt;Alexander, Robert&lt;/author&gt;&lt;author&gt;Mann, Jamie F. S.&lt;/author&gt;&lt;author&gt;Hill, Darryl&lt;/author&gt;&lt;author&gt;Finn, Adam&lt;/author&gt;&lt;author&gt;Davidson, Andrew D.&lt;/author&gt;&lt;author&gt;Reid, Jonathan P.&lt;/author&gt;&lt;/authors&gt;&lt;/contributors&gt;&lt;titles&gt;&lt;title&gt;Differences in airborne stability of SARS-CoV-2 variants of concern is impacted by alkalinity of surrogates of respiratory aerosol&lt;/title&gt;&lt;secondary-title&gt;Journal of The Royal Society Interface&lt;/secondary-title&gt;&lt;/titles&gt;&lt;periodical&gt;&lt;full-title&gt;Journal of the Royal Society Interface&lt;/full-title&gt;&lt;abbr-1&gt;J R Soc Interface&lt;/abbr-1&gt;&lt;/periodical&gt;&lt;pages&gt;20230062&lt;/pages&gt;&lt;volume&gt;20&lt;/volume&gt;&lt;number&gt;203&lt;/number&gt;&lt;dates&gt;&lt;year&gt;2023&lt;/year&gt;&lt;/dates&gt;&lt;urls&gt;&lt;related-urls&gt;&lt;url&gt;https://royalsocietypublishing.org/doi/abs/10.1098/rsif.2023.0062&lt;/url&gt;&lt;/related-urls&gt;&lt;/urls&gt;&lt;electronic-resource-num&gt;doi:10.1098/rsif.2023.0062&lt;/electronic-resource-num&gt;&lt;/record&gt;&lt;/Cite&gt;&lt;/EndNote&gt;</w:instrText>
      </w:r>
      <w:r>
        <w:rPr>
          <w:lang w:val="en-GB"/>
        </w:rPr>
        <w:fldChar w:fldCharType="separate"/>
      </w:r>
      <w:r>
        <w:rPr>
          <w:noProof/>
          <w:lang w:val="en-GB"/>
        </w:rPr>
        <w:t>(</w:t>
      </w:r>
      <w:r w:rsidRPr="007639CF">
        <w:rPr>
          <w:i/>
          <w:noProof/>
          <w:lang w:val="en-GB"/>
        </w:rPr>
        <w:t>6</w:t>
      </w:r>
      <w:r>
        <w:rPr>
          <w:noProof/>
          <w:lang w:val="en-GB"/>
        </w:rPr>
        <w:t>)</w:t>
      </w:r>
      <w:r>
        <w:rPr>
          <w:lang w:val="en-GB"/>
        </w:rPr>
        <w:fldChar w:fldCharType="end"/>
      </w:r>
      <w:r>
        <w:rPr>
          <w:lang w:val="en-GB"/>
        </w:rPr>
        <w:t>), and the number of infected cells tabulated.</w:t>
      </w:r>
    </w:p>
    <w:p w14:paraId="3FE320F7" w14:textId="77777777" w:rsidR="00987BBD" w:rsidRDefault="00987BBD" w:rsidP="00987BBD">
      <w:pPr>
        <w:pStyle w:val="BodyText"/>
        <w:tabs>
          <w:tab w:val="left" w:pos="567"/>
        </w:tabs>
        <w:spacing w:line="360" w:lineRule="auto"/>
        <w:jc w:val="both"/>
        <w:rPr>
          <w:szCs w:val="22"/>
          <w:lang w:val="en-GB"/>
        </w:rPr>
      </w:pPr>
    </w:p>
    <w:p w14:paraId="077477F4" w14:textId="77777777" w:rsidR="00987BBD" w:rsidRDefault="00987BBD" w:rsidP="00987BBD">
      <w:pPr>
        <w:pStyle w:val="BodyText"/>
        <w:tabs>
          <w:tab w:val="left" w:pos="567"/>
        </w:tabs>
        <w:spacing w:line="360" w:lineRule="auto"/>
        <w:jc w:val="both"/>
        <w:rPr>
          <w:b/>
          <w:bCs/>
          <w:szCs w:val="22"/>
          <w:lang w:val="en-GB"/>
        </w:rPr>
      </w:pPr>
      <w:r>
        <w:rPr>
          <w:b/>
          <w:bCs/>
          <w:szCs w:val="22"/>
          <w:lang w:val="en-GB"/>
        </w:rPr>
        <w:t>Statistical Analysis</w:t>
      </w:r>
    </w:p>
    <w:p w14:paraId="1A2A856A" w14:textId="77777777" w:rsidR="00987BBD" w:rsidRDefault="00987BBD" w:rsidP="00987BBD">
      <w:pPr>
        <w:pStyle w:val="BodyText"/>
        <w:tabs>
          <w:tab w:val="left" w:pos="567"/>
        </w:tabs>
        <w:spacing w:line="360" w:lineRule="auto"/>
        <w:jc w:val="both"/>
        <w:rPr>
          <w:szCs w:val="22"/>
          <w:lang w:val="en-GB"/>
        </w:rPr>
      </w:pPr>
      <w:r>
        <w:rPr>
          <w:szCs w:val="22"/>
          <w:lang w:val="en-GB"/>
        </w:rPr>
        <w:t>Error bars provided in the figures are reporting standard error. Significance was measured using a two-sample t-test with equal variance, where the p-values are reported as being less than 0.5, 0.05 or 0.005. When multiple variables were explored, a two-way ANOVA was used to assess the interaction between them (e.g. effect of [CO</w:t>
      </w:r>
      <w:r>
        <w:rPr>
          <w:szCs w:val="22"/>
          <w:vertAlign w:val="subscript"/>
          <w:lang w:val="en-GB"/>
        </w:rPr>
        <w:t>2(g)</w:t>
      </w:r>
      <w:r>
        <w:rPr>
          <w:szCs w:val="22"/>
          <w:lang w:val="en-GB"/>
        </w:rPr>
        <w:t xml:space="preserve">] and RH on </w:t>
      </w:r>
      <w:proofErr w:type="spellStart"/>
      <w:r>
        <w:rPr>
          <w:szCs w:val="22"/>
          <w:lang w:val="en-GB"/>
        </w:rPr>
        <w:t>aerostability</w:t>
      </w:r>
      <w:proofErr w:type="spellEnd"/>
      <w:r>
        <w:rPr>
          <w:szCs w:val="22"/>
          <w:lang w:val="en-GB"/>
        </w:rPr>
        <w:t>).</w:t>
      </w:r>
    </w:p>
    <w:p w14:paraId="6C4CE8B4" w14:textId="77777777" w:rsidR="00987BBD" w:rsidRDefault="00987BBD" w:rsidP="00987BBD">
      <w:pPr>
        <w:suppressAutoHyphens w:val="0"/>
        <w:spacing w:after="160" w:line="259" w:lineRule="auto"/>
        <w:rPr>
          <w:b/>
          <w:bCs/>
          <w:sz w:val="28"/>
          <w:szCs w:val="28"/>
          <w:lang w:val="en-GB"/>
        </w:rPr>
      </w:pPr>
      <w:r>
        <w:rPr>
          <w:b/>
          <w:bCs/>
          <w:sz w:val="28"/>
          <w:szCs w:val="28"/>
          <w:lang w:val="en-GB"/>
        </w:rPr>
        <w:br w:type="page"/>
      </w:r>
    </w:p>
    <w:p w14:paraId="5D88403E" w14:textId="77777777" w:rsidR="00987BBD" w:rsidRPr="00922E5A" w:rsidRDefault="00987BBD" w:rsidP="00987BBD">
      <w:pPr>
        <w:spacing w:line="360" w:lineRule="auto"/>
        <w:rPr>
          <w:b/>
          <w:bCs/>
          <w:sz w:val="28"/>
          <w:szCs w:val="28"/>
          <w:lang w:val="en-GB"/>
        </w:rPr>
      </w:pPr>
      <w:r>
        <w:rPr>
          <w:b/>
          <w:bCs/>
          <w:sz w:val="28"/>
          <w:szCs w:val="28"/>
          <w:lang w:val="en-GB"/>
        </w:rPr>
        <w:lastRenderedPageBreak/>
        <w:t>Results</w:t>
      </w:r>
    </w:p>
    <w:p w14:paraId="4F15784B" w14:textId="77777777" w:rsidR="00987BBD" w:rsidRDefault="00987BBD" w:rsidP="00987BBD">
      <w:pPr>
        <w:spacing w:line="360" w:lineRule="auto"/>
        <w:jc w:val="center"/>
        <w:rPr>
          <w:sz w:val="22"/>
          <w:szCs w:val="22"/>
        </w:rPr>
      </w:pPr>
      <w:r>
        <w:rPr>
          <w:noProof/>
        </w:rPr>
        <w:drawing>
          <wp:inline distT="0" distB="0" distL="0" distR="0" wp14:anchorId="4C159CE4" wp14:editId="7430B948">
            <wp:extent cx="3766185" cy="3409950"/>
            <wp:effectExtent l="0" t="0" r="0" b="0"/>
            <wp:docPr id="9" name="Picture 9" descr="A graph of a droplet and crystalliz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5" descr="A graph of a droplet and crystallization&#10;&#10;Description automatically generated"/>
                    <pic:cNvPicPr>
                      <a:picLocks noChangeAspect="1" noChangeArrowheads="1"/>
                    </pic:cNvPicPr>
                  </pic:nvPicPr>
                  <pic:blipFill>
                    <a:blip r:embed="rId4"/>
                    <a:stretch>
                      <a:fillRect/>
                    </a:stretch>
                  </pic:blipFill>
                  <pic:spPr bwMode="auto">
                    <a:xfrm>
                      <a:off x="0" y="0"/>
                      <a:ext cx="3766185" cy="3409950"/>
                    </a:xfrm>
                    <a:prstGeom prst="rect">
                      <a:avLst/>
                    </a:prstGeom>
                  </pic:spPr>
                </pic:pic>
              </a:graphicData>
            </a:graphic>
          </wp:inline>
        </w:drawing>
      </w:r>
    </w:p>
    <w:p w14:paraId="05B4B30F" w14:textId="77777777" w:rsidR="00987BBD" w:rsidRDefault="00987BBD" w:rsidP="00987BBD">
      <w:pPr>
        <w:jc w:val="both"/>
        <w:rPr>
          <w:sz w:val="22"/>
          <w:szCs w:val="22"/>
        </w:rPr>
      </w:pPr>
      <w:r>
        <w:rPr>
          <w:b/>
          <w:bCs/>
          <w:sz w:val="22"/>
          <w:szCs w:val="22"/>
        </w:rPr>
        <w:t>Supplemental Figure 1</w:t>
      </w:r>
      <w:r>
        <w:rPr>
          <w:sz w:val="22"/>
          <w:szCs w:val="22"/>
        </w:rPr>
        <w:t xml:space="preserve">: The evaporation profile of MEM droplets containing 2X the amount of NaCl when injected into an airflow where the RH was 69% measured with a comparative kinetic electrodynamic balance (CK-EDB) as described previously </w:t>
      </w:r>
      <w:r>
        <w:rPr>
          <w:sz w:val="22"/>
          <w:szCs w:val="22"/>
        </w:rPr>
        <w:fldChar w:fldCharType="begin">
          <w:fldData xml:space="preserve">PEVuZE5vdGU+PENpdGU+PEF1dGhvcj5IYWRkcmVsbDwvQXV0aG9yPjxZZWFyPjIwMTk8L1llYXI+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</w:fldData>
        </w:fldChar>
      </w:r>
      <w:r>
        <w:rPr>
          <w:sz w:val="22"/>
          <w:szCs w:val="22"/>
        </w:rPr>
        <w:instrText xml:space="preserve"> ADDIN EN.CITE </w:instrText>
      </w:r>
      <w:r>
        <w:rPr>
          <w:sz w:val="22"/>
          <w:szCs w:val="22"/>
        </w:rPr>
        <w:fldChar w:fldCharType="begin">
          <w:fldData xml:space="preserve">PEVuZE5vdGU+PENpdGU+PEF1dGhvcj5IYWRkcmVsbDwvQXV0aG9yPjxZZWFyPjIwMTk8L1llYXI+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</w:fldData>
        </w:fldChar>
      </w:r>
      <w:r>
        <w:rPr>
          <w:sz w:val="22"/>
          <w:szCs w:val="22"/>
        </w:rPr>
        <w:instrText xml:space="preserve"> ADDIN EN.CITE.DATA </w:instrText>
      </w:r>
      <w:r>
        <w:rPr>
          <w:sz w:val="22"/>
          <w:szCs w:val="22"/>
        </w:rPr>
      </w:r>
      <w:r>
        <w:rPr>
          <w:sz w:val="22"/>
          <w:szCs w:val="22"/>
        </w:rPr>
        <w:fldChar w:fldCharType="end"/>
      </w:r>
      <w:r>
        <w:rPr>
          <w:sz w:val="22"/>
          <w:szCs w:val="22"/>
        </w:rPr>
      </w:r>
      <w:r>
        <w:rPr>
          <w:sz w:val="22"/>
          <w:szCs w:val="22"/>
        </w:rPr>
        <w:fldChar w:fldCharType="separate"/>
      </w:r>
      <w:r>
        <w:rPr>
          <w:noProof/>
          <w:sz w:val="22"/>
          <w:szCs w:val="22"/>
        </w:rPr>
        <w:t>(</w:t>
      </w:r>
      <w:r w:rsidRPr="00883D76">
        <w:rPr>
          <w:i/>
          <w:noProof/>
          <w:sz w:val="22"/>
          <w:szCs w:val="22"/>
        </w:rPr>
        <w:t>7</w:t>
      </w:r>
      <w:r>
        <w:rPr>
          <w:noProof/>
          <w:sz w:val="22"/>
          <w:szCs w:val="22"/>
        </w:rPr>
        <w:t>)</w:t>
      </w:r>
      <w:r>
        <w:rPr>
          <w:sz w:val="22"/>
          <w:szCs w:val="22"/>
        </w:rPr>
        <w:fldChar w:fldCharType="end"/>
      </w:r>
      <w:r>
        <w:rPr>
          <w:sz w:val="22"/>
          <w:szCs w:val="22"/>
        </w:rPr>
        <w:t>. Once the droplet becomes a non-spherical/non-homogeneous/amorphous solid, the droplet is no longer spherical and thus cannot be sized using Mie theory.</w:t>
      </w:r>
    </w:p>
    <w:p w14:paraId="004609D0" w14:textId="77777777" w:rsidR="00987BBD" w:rsidRDefault="00987BBD" w:rsidP="00987BBD">
      <w:pPr>
        <w:spacing w:after="160" w:line="259" w:lineRule="auto"/>
        <w:rPr>
          <w:sz w:val="22"/>
          <w:szCs w:val="22"/>
        </w:rPr>
      </w:pPr>
      <w:r>
        <w:br w:type="page"/>
      </w:r>
    </w:p>
    <w:p w14:paraId="19F32F5B" w14:textId="77777777" w:rsidR="00987BBD" w:rsidRDefault="00987BBD" w:rsidP="00987BBD">
      <w:pPr>
        <w:spacing w:line="360" w:lineRule="auto"/>
        <w:rPr>
          <w:sz w:val="22"/>
          <w:szCs w:val="22"/>
        </w:rPr>
      </w:pPr>
    </w:p>
    <w:p w14:paraId="216C71C8" w14:textId="77777777" w:rsidR="00987BBD" w:rsidRDefault="00987BBD" w:rsidP="00987BBD">
      <w:pPr>
        <w:spacing w:after="160" w:line="360" w:lineRule="auto"/>
        <w:jc w:val="center"/>
      </w:pPr>
      <w:r>
        <w:rPr>
          <w:noProof/>
        </w:rPr>
        <w:drawing>
          <wp:inline distT="0" distB="0" distL="0" distR="0" wp14:anchorId="0C40F2ED" wp14:editId="32B413A3">
            <wp:extent cx="4572000" cy="3381375"/>
            <wp:effectExtent l="0" t="0" r="0" b="0"/>
            <wp:docPr id="10" name="Picture 10"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64108150" descr="A diagram of a graph&#10;&#10;Description automatically generated"/>
                    <pic:cNvPicPr>
                      <a:picLocks noChangeAspect="1" noChangeArrowheads="1"/>
                    </pic:cNvPicPr>
                  </pic:nvPicPr>
                  <pic:blipFill>
                    <a:blip r:embed="rId5"/>
                    <a:stretch>
                      <a:fillRect/>
                    </a:stretch>
                  </pic:blipFill>
                  <pic:spPr bwMode="auto">
                    <a:xfrm>
                      <a:off x="0" y="0"/>
                      <a:ext cx="4572000" cy="3381375"/>
                    </a:xfrm>
                    <a:prstGeom prst="rect">
                      <a:avLst/>
                    </a:prstGeom>
                  </pic:spPr>
                </pic:pic>
              </a:graphicData>
            </a:graphic>
          </wp:inline>
        </w:drawing>
      </w:r>
    </w:p>
    <w:p w14:paraId="5855BE95" w14:textId="77777777" w:rsidR="00987BBD" w:rsidRDefault="00987BBD" w:rsidP="00987BBD">
      <w:pPr>
        <w:spacing w:after="160"/>
        <w:jc w:val="both"/>
        <w:rPr>
          <w:sz w:val="22"/>
          <w:szCs w:val="22"/>
        </w:rPr>
      </w:pPr>
      <w:r>
        <w:rPr>
          <w:b/>
          <w:bCs/>
          <w:sz w:val="22"/>
          <w:szCs w:val="22"/>
        </w:rPr>
        <w:t>Supplemental Figure 2:</w:t>
      </w:r>
      <w:r>
        <w:rPr>
          <w:sz w:val="22"/>
          <w:szCs w:val="22"/>
        </w:rPr>
        <w:t xml:space="preserve"> Decay profile fits to the CELEBS infectivity data with two exponentially decaying functions, to capture the distinct short and long decays. We show the complete fits of the data from a two-step exponential decay (solid lines), and also just the longer time part of this fit (dotted lines). We show also the standard 1.1hr decay assumed in the literature from drum studies (dashed red).</w:t>
      </w:r>
    </w:p>
    <w:p w14:paraId="6C7D3DA2" w14:textId="77777777" w:rsidR="00987BBD" w:rsidRDefault="00987BBD" w:rsidP="00987BBD">
      <w:pPr>
        <w:spacing w:after="160" w:line="259" w:lineRule="auto"/>
        <w:rPr>
          <w:sz w:val="22"/>
          <w:szCs w:val="22"/>
        </w:rPr>
      </w:pPr>
      <w:r>
        <w:br w:type="page"/>
      </w:r>
    </w:p>
    <w:p w14:paraId="1BB25216" w14:textId="77777777" w:rsidR="00987BBD" w:rsidRDefault="00987BBD" w:rsidP="00987BBD">
      <w:pPr>
        <w:spacing w:after="160"/>
        <w:jc w:val="both"/>
        <w:rPr>
          <w:sz w:val="22"/>
          <w:szCs w:val="22"/>
        </w:rPr>
      </w:pPr>
    </w:p>
    <w:p w14:paraId="2303CE91" w14:textId="77777777" w:rsidR="00987BBD" w:rsidRDefault="00987BBD" w:rsidP="00987BBD">
      <w:pPr>
        <w:spacing w:after="160"/>
        <w:jc w:val="both"/>
        <w:rPr>
          <w:sz w:val="22"/>
          <w:szCs w:val="22"/>
        </w:rPr>
      </w:pPr>
    </w:p>
    <w:p w14:paraId="64184978" w14:textId="77777777" w:rsidR="00987BBD" w:rsidRDefault="00987BBD" w:rsidP="00987BBD">
      <w:pPr>
        <w:spacing w:after="160"/>
        <w:jc w:val="center"/>
      </w:pPr>
      <w:r>
        <w:rPr>
          <w:noProof/>
        </w:rPr>
        <w:drawing>
          <wp:inline distT="0" distB="0" distL="0" distR="0" wp14:anchorId="41622E21" wp14:editId="6E9080A0">
            <wp:extent cx="4572000" cy="3324225"/>
            <wp:effectExtent l="0" t="0" r="0" b="0"/>
            <wp:docPr id="11" name="Picture 11" descr="A black background with line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94922165" descr="A black background with lines and symbols&#10;&#10;Description automatically generated"/>
                    <pic:cNvPicPr>
                      <a:picLocks noChangeAspect="1" noChangeArrowheads="1"/>
                    </pic:cNvPicPr>
                  </pic:nvPicPr>
                  <pic:blipFill>
                    <a:blip r:embed="rId6"/>
                    <a:stretch>
                      <a:fillRect/>
                    </a:stretch>
                  </pic:blipFill>
                  <pic:spPr bwMode="auto">
                    <a:xfrm>
                      <a:off x="0" y="0"/>
                      <a:ext cx="4572000" cy="3324225"/>
                    </a:xfrm>
                    <a:prstGeom prst="rect">
                      <a:avLst/>
                    </a:prstGeom>
                  </pic:spPr>
                </pic:pic>
              </a:graphicData>
            </a:graphic>
          </wp:inline>
        </w:drawing>
      </w:r>
    </w:p>
    <w:p w14:paraId="12C774A9" w14:textId="77777777" w:rsidR="00987BBD" w:rsidRDefault="00987BBD" w:rsidP="00987BBD">
      <w:pPr>
        <w:spacing w:after="160"/>
        <w:jc w:val="both"/>
        <w:rPr>
          <w:sz w:val="22"/>
          <w:szCs w:val="22"/>
        </w:rPr>
      </w:pPr>
      <w:r>
        <w:rPr>
          <w:b/>
          <w:bCs/>
          <w:sz w:val="22"/>
          <w:szCs w:val="22"/>
        </w:rPr>
        <w:t>Supplemental Figure 3:</w:t>
      </w:r>
      <w:r>
        <w:rPr>
          <w:sz w:val="22"/>
          <w:szCs w:val="22"/>
        </w:rPr>
        <w:t xml:space="preserve"> Concentration of infectious quanta in a 300m</w:t>
      </w:r>
      <w:r>
        <w:rPr>
          <w:sz w:val="22"/>
          <w:szCs w:val="22"/>
          <w:vertAlign w:val="superscript"/>
        </w:rPr>
        <w:t>3</w:t>
      </w:r>
      <w:r>
        <w:rPr>
          <w:sz w:val="22"/>
          <w:szCs w:val="22"/>
        </w:rPr>
        <w:t xml:space="preserve"> classroom using two-step decay fits to CELEBS data (solid lines) and just the longer time one-step decay (dotted lines). The incomplete latter fit captures the behavior very well at 40% RH, but deviates at 90% because the two-timescales in the complete fit are not neatly separated. We show also the standard 1.1hr decay assumed in the literature from drum studies (dashed red in top panel).</w:t>
      </w:r>
    </w:p>
    <w:p w14:paraId="08D338BC" w14:textId="77777777" w:rsidR="00987BBD" w:rsidRDefault="00987BBD" w:rsidP="00987BBD">
      <w:pPr>
        <w:spacing w:after="160"/>
        <w:jc w:val="both"/>
        <w:rPr>
          <w:sz w:val="22"/>
          <w:szCs w:val="22"/>
        </w:rPr>
      </w:pPr>
    </w:p>
    <w:p w14:paraId="2A3446C3" w14:textId="77777777" w:rsidR="00987BBD" w:rsidRDefault="00987BBD" w:rsidP="00987BBD">
      <w:pPr>
        <w:spacing w:after="160"/>
        <w:jc w:val="both"/>
        <w:rPr>
          <w:sz w:val="22"/>
          <w:szCs w:val="22"/>
        </w:rPr>
      </w:pPr>
      <w:r>
        <w:br/>
      </w:r>
    </w:p>
    <w:p w14:paraId="328B5EBD" w14:textId="77777777" w:rsidR="00987BBD" w:rsidRDefault="00987BBD" w:rsidP="00987BBD">
      <w:pPr>
        <w:spacing w:after="160"/>
        <w:jc w:val="center"/>
        <w:rPr>
          <w:sz w:val="22"/>
          <w:szCs w:val="22"/>
        </w:rPr>
      </w:pPr>
      <w:r>
        <w:rPr>
          <w:noProof/>
        </w:rPr>
        <w:lastRenderedPageBreak/>
        <w:drawing>
          <wp:inline distT="0" distB="0" distL="0" distR="0" wp14:anchorId="38A375C2" wp14:editId="71E96239">
            <wp:extent cx="4572000" cy="3381375"/>
            <wp:effectExtent l="0" t="0" r="0" b="0"/>
            <wp:docPr id="12" name="Picture 12" descr="A graph of a cur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9731873" descr="A graph of a curve&#10;&#10;Description automatically generated"/>
                    <pic:cNvPicPr>
                      <a:picLocks noChangeAspect="1" noChangeArrowheads="1"/>
                    </pic:cNvPicPr>
                  </pic:nvPicPr>
                  <pic:blipFill>
                    <a:blip r:embed="rId7"/>
                    <a:stretch>
                      <a:fillRect/>
                    </a:stretch>
                  </pic:blipFill>
                  <pic:spPr bwMode="auto">
                    <a:xfrm>
                      <a:off x="0" y="0"/>
                      <a:ext cx="4572000" cy="3381375"/>
                    </a:xfrm>
                    <a:prstGeom prst="rect">
                      <a:avLst/>
                    </a:prstGeom>
                  </pic:spPr>
                </pic:pic>
              </a:graphicData>
            </a:graphic>
          </wp:inline>
        </w:drawing>
      </w:r>
    </w:p>
    <w:p w14:paraId="27BE3F78" w14:textId="77777777" w:rsidR="00987BBD" w:rsidRDefault="00987BBD" w:rsidP="00987BBD">
      <w:pPr>
        <w:spacing w:after="160"/>
        <w:jc w:val="both"/>
        <w:rPr>
          <w:sz w:val="22"/>
          <w:szCs w:val="22"/>
        </w:rPr>
      </w:pPr>
      <w:r>
        <w:rPr>
          <w:b/>
          <w:bCs/>
          <w:sz w:val="22"/>
          <w:szCs w:val="22"/>
        </w:rPr>
        <w:t>Supplemental Figure 4:</w:t>
      </w:r>
      <w:r>
        <w:rPr>
          <w:sz w:val="22"/>
          <w:szCs w:val="22"/>
        </w:rPr>
        <w:t xml:space="preserve"> Delta data fits (solid lines) and their crude linear interpolation across CO</w:t>
      </w:r>
      <w:r>
        <w:rPr>
          <w:sz w:val="22"/>
          <w:szCs w:val="22"/>
          <w:vertAlign w:val="subscript"/>
        </w:rPr>
        <w:t>2</w:t>
      </w:r>
      <w:r>
        <w:rPr>
          <w:sz w:val="22"/>
          <w:szCs w:val="22"/>
        </w:rPr>
        <w:t xml:space="preserve"> concentration for illustration purposes (dotted lines).</w:t>
      </w:r>
    </w:p>
    <w:p w14:paraId="4895AB05" w14:textId="77777777" w:rsidR="00987BBD" w:rsidRDefault="00987BBD" w:rsidP="00987BBD">
      <w:pPr>
        <w:spacing w:after="160" w:line="259" w:lineRule="auto"/>
        <w:rPr>
          <w:sz w:val="22"/>
          <w:szCs w:val="22"/>
        </w:rPr>
      </w:pPr>
      <w:r>
        <w:br w:type="page"/>
      </w:r>
    </w:p>
    <w:p w14:paraId="30CEC326" w14:textId="77777777" w:rsidR="00987BBD" w:rsidRDefault="00987BBD" w:rsidP="00987BBD">
      <w:pPr>
        <w:spacing w:after="160"/>
        <w:jc w:val="both"/>
        <w:rPr>
          <w:sz w:val="22"/>
          <w:szCs w:val="22"/>
        </w:rPr>
      </w:pPr>
    </w:p>
    <w:p w14:paraId="0721449A" w14:textId="77777777" w:rsidR="00987BBD" w:rsidRDefault="00987BBD" w:rsidP="00987BBD">
      <w:pPr>
        <w:spacing w:after="160"/>
        <w:jc w:val="both"/>
      </w:pPr>
      <w:r>
        <w:rPr>
          <w:noProof/>
        </w:rPr>
        <w:drawing>
          <wp:inline distT="0" distB="0" distL="0" distR="0" wp14:anchorId="216A213D" wp14:editId="7F89F6CD">
            <wp:extent cx="5867400" cy="2847975"/>
            <wp:effectExtent l="0" t="0" r="0" b="0"/>
            <wp:docPr id="13" name="Picture 13" descr="A diagram of a solar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888433344" descr="A diagram of a solar system&#10;&#10;Description automatically generated"/>
                    <pic:cNvPicPr>
                      <a:picLocks noChangeAspect="1" noChangeArrowheads="1"/>
                    </pic:cNvPicPr>
                  </pic:nvPicPr>
                  <pic:blipFill>
                    <a:blip r:embed="rId8"/>
                    <a:stretch>
                      <a:fillRect/>
                    </a:stretch>
                  </pic:blipFill>
                  <pic:spPr bwMode="auto">
                    <a:xfrm>
                      <a:off x="0" y="0"/>
                      <a:ext cx="5867400" cy="2847975"/>
                    </a:xfrm>
                    <a:prstGeom prst="rect">
                      <a:avLst/>
                    </a:prstGeom>
                  </pic:spPr>
                </pic:pic>
              </a:graphicData>
            </a:graphic>
          </wp:inline>
        </w:drawing>
      </w:r>
    </w:p>
    <w:p w14:paraId="2251797A" w14:textId="77777777" w:rsidR="00987BBD" w:rsidRDefault="00987BBD" w:rsidP="00987BBD">
      <w:pPr>
        <w:spacing w:after="160"/>
        <w:jc w:val="both"/>
        <w:rPr>
          <w:color w:val="000000" w:themeColor="text1"/>
          <w:sz w:val="22"/>
          <w:szCs w:val="22"/>
        </w:rPr>
      </w:pPr>
      <w:r>
        <w:rPr>
          <w:b/>
          <w:bCs/>
          <w:sz w:val="22"/>
          <w:szCs w:val="22"/>
        </w:rPr>
        <w:t>Supplemental Figure 5:</w:t>
      </w:r>
      <w:r>
        <w:rPr>
          <w:sz w:val="22"/>
          <w:szCs w:val="22"/>
        </w:rPr>
        <w:t xml:space="preserve"> </w:t>
      </w:r>
      <w:r>
        <w:rPr>
          <w:color w:val="000000" w:themeColor="text1"/>
          <w:sz w:val="22"/>
          <w:szCs w:val="22"/>
        </w:rPr>
        <w:t>(A-C) Time until there is a 50% chance that at least one susceptible person will have become infected in an occupied classroom containing a single infected individual. We neglect the coupling between ventilation and [CO</w:t>
      </w:r>
      <w:r>
        <w:rPr>
          <w:color w:val="000000" w:themeColor="text1"/>
          <w:sz w:val="22"/>
          <w:szCs w:val="22"/>
          <w:vertAlign w:val="subscript"/>
        </w:rPr>
        <w:t>2</w:t>
      </w:r>
      <w:r>
        <w:rPr>
          <w:color w:val="000000" w:themeColor="text1"/>
          <w:sz w:val="22"/>
          <w:szCs w:val="22"/>
        </w:rPr>
        <w:t>], instead using the fits to the data at fixed [CO</w:t>
      </w:r>
      <w:r>
        <w:rPr>
          <w:color w:val="000000" w:themeColor="text1"/>
          <w:sz w:val="22"/>
          <w:szCs w:val="22"/>
          <w:vertAlign w:val="subscript"/>
        </w:rPr>
        <w:t>2</w:t>
      </w:r>
      <w:r>
        <w:rPr>
          <w:color w:val="000000" w:themeColor="text1"/>
          <w:sz w:val="22"/>
          <w:szCs w:val="22"/>
        </w:rPr>
        <w:t>], so this models air exchange with an interior source. (D) Variation in [CO</w:t>
      </w:r>
      <w:r>
        <w:rPr>
          <w:color w:val="000000" w:themeColor="text1"/>
          <w:sz w:val="22"/>
          <w:szCs w:val="22"/>
          <w:vertAlign w:val="subscript"/>
        </w:rPr>
        <w:t>2</w:t>
      </w:r>
      <w:r>
        <w:rPr>
          <w:color w:val="000000" w:themeColor="text1"/>
          <w:sz w:val="22"/>
          <w:szCs w:val="22"/>
        </w:rPr>
        <w:t>] with occupancy and ventilation. (E) Sketch of how factoring in CO2 changes the time using the linear interpolation shown in Supplemental Figure 4 for delta at 90% RH. This interpolation is purely intended to illustrate the nonlinear role of ventilation qualitatively, and so the numbers in (E) should not be taken literally. An infectious quanta production rate of 0.1s</w:t>
      </w:r>
      <w:r>
        <w:rPr>
          <w:color w:val="000000" w:themeColor="text1"/>
          <w:sz w:val="22"/>
          <w:szCs w:val="22"/>
          <w:vertAlign w:val="superscript"/>
        </w:rPr>
        <w:t>-1</w:t>
      </w:r>
      <w:r>
        <w:rPr>
          <w:color w:val="000000" w:themeColor="text1"/>
          <w:sz w:val="22"/>
          <w:szCs w:val="22"/>
        </w:rPr>
        <w:t xml:space="preserve"> is assumed in (A-C,E).</w:t>
      </w:r>
    </w:p>
    <w:p w14:paraId="2AADF345" w14:textId="77777777" w:rsidR="00987BBD" w:rsidRDefault="00987BBD" w:rsidP="00987BBD">
      <w:pPr>
        <w:spacing w:after="160"/>
        <w:jc w:val="both"/>
        <w:rPr>
          <w:color w:val="000000" w:themeColor="text1"/>
          <w:sz w:val="22"/>
          <w:szCs w:val="22"/>
        </w:rPr>
      </w:pPr>
    </w:p>
    <w:p w14:paraId="6E5A6F83" w14:textId="77777777" w:rsidR="00987BBD" w:rsidRDefault="00987BBD" w:rsidP="00987BBD">
      <w:pPr>
        <w:spacing w:after="160"/>
        <w:jc w:val="both"/>
        <w:rPr>
          <w:color w:val="000000" w:themeColor="text1"/>
          <w:sz w:val="22"/>
          <w:szCs w:val="22"/>
        </w:rPr>
      </w:pPr>
      <w:r>
        <w:rPr>
          <w:b/>
          <w:bCs/>
          <w:color w:val="000000" w:themeColor="text1"/>
          <w:sz w:val="22"/>
          <w:szCs w:val="22"/>
        </w:rPr>
        <w:t>Fits of experimental data</w:t>
      </w:r>
    </w:p>
    <w:p w14:paraId="1E74DF71" w14:textId="77777777" w:rsidR="00987BBD" w:rsidRDefault="00987BBD" w:rsidP="00987BBD">
      <w:pPr>
        <w:spacing w:after="160"/>
        <w:jc w:val="both"/>
        <w:rPr>
          <w:sz w:val="22"/>
          <w:szCs w:val="22"/>
        </w:rPr>
      </w:pPr>
      <w:r>
        <w:rPr>
          <w:sz w:val="22"/>
          <w:szCs w:val="22"/>
        </w:rPr>
        <w:t>For the Wells-Riley calculation, we fit each experimental dataset to a double exponential decay model which is more convenient for calculations. Specifically, we perform a least-squares fit of the infectivity to</w:t>
      </w:r>
    </w:p>
    <w:p w14:paraId="04ACA66E" w14:textId="77777777" w:rsidR="00987BBD" w:rsidRDefault="00987BBD" w:rsidP="00987BBD">
      <w:pPr>
        <w:spacing w:after="160"/>
        <w:jc w:val="center"/>
        <w:rPr>
          <w:sz w:val="22"/>
          <w:szCs w:val="22"/>
        </w:rPr>
      </w:pPr>
      <m:oMathPara>
        <m:oMathParaPr>
          <m:jc m:val="center"/>
        </m:oMathParaPr>
        <m:oMath>
          <m:r>
            <w:rPr>
              <w:rFonts w:ascii="Cambria Math" w:hAnsi="Cambria Math"/>
            </w:rPr>
            <m:t>I</m:t>
          </m:r>
          <m:d>
            <m:dPr>
              <m:ctrlPr>
                <w:rPr>
                  <w:rFonts w:ascii="Cambria Math" w:hAnsi="Cambria Math"/>
                </w:rPr>
              </m:ctrlPr>
            </m:dPr>
            <m:e>
              <m:r>
                <w:rPr>
                  <w:rFonts w:ascii="Cambria Math" w:hAnsi="Cambria Math"/>
                </w:rPr>
                <m:t>t</m:t>
              </m:r>
            </m:e>
          </m:d>
          <m:r>
            <w:rPr>
              <w:rFonts w:ascii="Cambria Math" w:hAnsi="Cambria Math"/>
            </w:rPr>
            <m:t>=Aexp</m:t>
          </m:r>
          <m:d>
            <m:dPr>
              <m:ctrlPr>
                <w:rPr>
                  <w:rFonts w:ascii="Cambria Math" w:hAnsi="Cambria Math"/>
                </w:rPr>
              </m:ctrlPr>
            </m:dPr>
            <m:e>
              <m:f>
                <m:fPr>
                  <m:ctrlPr>
                    <w:rPr>
                      <w:rFonts w:ascii="Cambria Math" w:hAnsi="Cambria Math"/>
                    </w:rPr>
                  </m:ctrlPr>
                </m:fPr>
                <m:num>
                  <m:r>
                    <w:rPr>
                      <w:rFonts w:ascii="Cambria Math" w:hAnsi="Cambria Math"/>
                    </w:rPr>
                    <m:t>-t</m:t>
                  </m:r>
                </m:num>
                <m:den>
                  <m:sSub>
                    <m:sSubPr>
                      <m:ctrlPr>
                        <w:rPr>
                          <w:rFonts w:ascii="Cambria Math" w:hAnsi="Cambria Math"/>
                        </w:rPr>
                      </m:ctrlPr>
                    </m:sSubPr>
                    <m:e>
                      <m:r>
                        <w:rPr>
                          <w:rFonts w:ascii="Cambria Math" w:hAnsi="Cambria Math"/>
                        </w:rPr>
                        <m:t>τ</m:t>
                      </m:r>
                    </m:e>
                    <m:sub>
                      <m:r>
                        <w:rPr>
                          <w:rFonts w:ascii="Cambria Math" w:hAnsi="Cambria Math"/>
                        </w:rPr>
                        <m:t>1</m:t>
                      </m:r>
                    </m:sub>
                  </m:sSub>
                </m:den>
              </m:f>
            </m:e>
          </m:d>
          <m:r>
            <w:rPr>
              <w:rFonts w:ascii="Cambria Math" w:hAnsi="Cambria Math"/>
            </w:rPr>
            <m:t>+</m:t>
          </m:r>
          <m:d>
            <m:dPr>
              <m:ctrlPr>
                <w:rPr>
                  <w:rFonts w:ascii="Cambria Math" w:hAnsi="Cambria Math"/>
                </w:rPr>
              </m:ctrlPr>
            </m:dPr>
            <m:e>
              <m:r>
                <w:rPr>
                  <w:rFonts w:ascii="Cambria Math" w:hAnsi="Cambria Math"/>
                </w:rPr>
                <m:t>1-A</m:t>
              </m:r>
            </m:e>
          </m:d>
          <m:r>
            <w:rPr>
              <w:rFonts w:ascii="Cambria Math" w:hAnsi="Cambria Math"/>
            </w:rPr>
            <m:t>exp</m:t>
          </m:r>
          <m:d>
            <m:dPr>
              <m:ctrlPr>
                <w:rPr>
                  <w:rFonts w:ascii="Cambria Math" w:hAnsi="Cambria Math"/>
                </w:rPr>
              </m:ctrlPr>
            </m:dPr>
            <m:e>
              <m:f>
                <m:fPr>
                  <m:ctrlPr>
                    <w:rPr>
                      <w:rFonts w:ascii="Cambria Math" w:hAnsi="Cambria Math"/>
                    </w:rPr>
                  </m:ctrlPr>
                </m:fPr>
                <m:num>
                  <m:r>
                    <w:rPr>
                      <w:rFonts w:ascii="Cambria Math" w:hAnsi="Cambria Math"/>
                    </w:rPr>
                    <m:t>-t</m:t>
                  </m:r>
                </m:num>
                <m:den>
                  <m:sSub>
                    <m:sSubPr>
                      <m:ctrlPr>
                        <w:rPr>
                          <w:rFonts w:ascii="Cambria Math" w:hAnsi="Cambria Math"/>
                        </w:rPr>
                      </m:ctrlPr>
                    </m:sSubPr>
                    <m:e>
                      <m:r>
                        <w:rPr>
                          <w:rFonts w:ascii="Cambria Math" w:hAnsi="Cambria Math"/>
                        </w:rPr>
                        <m:t>τ</m:t>
                      </m:r>
                    </m:e>
                    <m:sub>
                      <m:r>
                        <w:rPr>
                          <w:rFonts w:ascii="Cambria Math" w:hAnsi="Cambria Math"/>
                        </w:rPr>
                        <m:t>2</m:t>
                      </m:r>
                    </m:sub>
                  </m:sSub>
                </m:den>
              </m:f>
            </m:e>
          </m:d>
        </m:oMath>
      </m:oMathPara>
    </w:p>
    <w:p w14:paraId="6E797C29" w14:textId="77777777" w:rsidR="00987BBD" w:rsidRDefault="00987BBD" w:rsidP="00987BBD">
      <w:pPr>
        <w:spacing w:after="160"/>
        <w:jc w:val="both"/>
        <w:rPr>
          <w:sz w:val="22"/>
          <w:szCs w:val="22"/>
        </w:rPr>
      </w:pPr>
      <w:r>
        <w:rPr>
          <w:sz w:val="22"/>
          <w:szCs w:val="22"/>
        </w:rPr>
        <w:t xml:space="preserve">where </w:t>
      </w:r>
      <w:proofErr w:type="spellStart"/>
      <w:r>
        <w:rPr>
          <w:i/>
          <w:iCs/>
          <w:sz w:val="22"/>
          <w:szCs w:val="22"/>
        </w:rPr>
        <w:t>t</w:t>
      </w:r>
      <w:proofErr w:type="spellEnd"/>
      <w:r>
        <w:rPr>
          <w:i/>
          <w:iCs/>
          <w:sz w:val="22"/>
          <w:szCs w:val="22"/>
        </w:rPr>
        <w:t xml:space="preserve"> </w:t>
      </w:r>
      <w:r>
        <w:rPr>
          <w:sz w:val="22"/>
          <w:szCs w:val="22"/>
        </w:rPr>
        <w:t xml:space="preserve">is time, </w:t>
      </w:r>
      <w:r>
        <w:rPr>
          <w:i/>
          <w:iCs/>
          <w:sz w:val="22"/>
          <w:szCs w:val="22"/>
        </w:rPr>
        <w:t>τ</w:t>
      </w:r>
      <w:r>
        <w:rPr>
          <w:i/>
          <w:iCs/>
          <w:sz w:val="22"/>
          <w:szCs w:val="22"/>
          <w:vertAlign w:val="subscript"/>
        </w:rPr>
        <w:t>1</w:t>
      </w:r>
      <w:r>
        <w:rPr>
          <w:sz w:val="22"/>
          <w:szCs w:val="22"/>
        </w:rPr>
        <w:t xml:space="preserve"> and </w:t>
      </w:r>
      <w:r>
        <w:rPr>
          <w:i/>
          <w:iCs/>
          <w:sz w:val="22"/>
          <w:szCs w:val="22"/>
        </w:rPr>
        <w:t>τ</w:t>
      </w:r>
      <w:r>
        <w:rPr>
          <w:i/>
          <w:iCs/>
          <w:sz w:val="22"/>
          <w:szCs w:val="22"/>
          <w:vertAlign w:val="subscript"/>
        </w:rPr>
        <w:t>2</w:t>
      </w:r>
      <w:r>
        <w:rPr>
          <w:sz w:val="22"/>
          <w:szCs w:val="22"/>
        </w:rPr>
        <w:t xml:space="preserve"> are characteristic decay times, and </w:t>
      </w:r>
      <w:r>
        <w:rPr>
          <w:i/>
          <w:iCs/>
          <w:sz w:val="22"/>
          <w:szCs w:val="22"/>
        </w:rPr>
        <w:t>A</w:t>
      </w:r>
      <w:r>
        <w:rPr>
          <w:sz w:val="22"/>
          <w:szCs w:val="22"/>
        </w:rPr>
        <w:t xml:space="preserve"> is a dimensionless factor representing the relative amplitude of each decay mode. The first term represents an initial short-time decay, whereas the second term represents slower decay at longer times. In Supplemental Figure 2 we show the results of fitting the raw data (solid lines) and just the slower decay at longer times (dotted lines) to show the relative size of the second mode.</w:t>
      </w:r>
    </w:p>
    <w:p w14:paraId="459D258F" w14:textId="77777777" w:rsidR="00987BBD" w:rsidRDefault="00987BBD" w:rsidP="00987BBD">
      <w:pPr>
        <w:spacing w:after="160"/>
        <w:jc w:val="both"/>
        <w:rPr>
          <w:color w:val="000000" w:themeColor="text1"/>
          <w:sz w:val="22"/>
          <w:szCs w:val="22"/>
        </w:rPr>
      </w:pPr>
      <w:r>
        <w:rPr>
          <w:b/>
          <w:bCs/>
          <w:color w:val="000000" w:themeColor="text1"/>
          <w:sz w:val="22"/>
          <w:szCs w:val="22"/>
        </w:rPr>
        <w:t>Infectious quanta concentration</w:t>
      </w:r>
    </w:p>
    <w:p w14:paraId="38B6B1BF" w14:textId="77777777" w:rsidR="00987BBD" w:rsidRDefault="00987BBD" w:rsidP="00987BBD">
      <w:pPr>
        <w:spacing w:after="160"/>
        <w:jc w:val="both"/>
        <w:rPr>
          <w:sz w:val="22"/>
          <w:szCs w:val="22"/>
        </w:rPr>
      </w:pPr>
      <w:r>
        <w:rPr>
          <w:color w:val="000000" w:themeColor="text1"/>
          <w:sz w:val="22"/>
          <w:szCs w:val="22"/>
        </w:rPr>
        <w:t xml:space="preserve">For the Wells-Riley calculations we must calculate the expected concentration of infectious quanta in the well-mixed environment. </w:t>
      </w:r>
      <w:r>
        <w:rPr>
          <w:sz w:val="22"/>
          <w:szCs w:val="22"/>
        </w:rPr>
        <w:t xml:space="preserve">A droplet produced at some time </w:t>
      </w:r>
      <w:proofErr w:type="spellStart"/>
      <w:r>
        <w:rPr>
          <w:i/>
          <w:iCs/>
          <w:sz w:val="22"/>
          <w:szCs w:val="22"/>
        </w:rPr>
        <w:t>Δt</w:t>
      </w:r>
      <w:proofErr w:type="spellEnd"/>
      <w:r>
        <w:rPr>
          <w:sz w:val="22"/>
          <w:szCs w:val="22"/>
        </w:rPr>
        <w:t xml:space="preserve"> before the present will still be around and infectious with probability </w:t>
      </w:r>
      <w:proofErr w:type="spellStart"/>
      <w:r>
        <w:rPr>
          <w:i/>
          <w:iCs/>
          <w:sz w:val="22"/>
          <w:szCs w:val="22"/>
        </w:rPr>
        <w:t>p</w:t>
      </w:r>
      <w:r>
        <w:rPr>
          <w:i/>
          <w:iCs/>
          <w:sz w:val="22"/>
          <w:szCs w:val="22"/>
          <w:vertAlign w:val="subscript"/>
        </w:rPr>
        <w:t>active</w:t>
      </w:r>
      <w:proofErr w:type="spellEnd"/>
      <w:r>
        <w:rPr>
          <w:i/>
          <w:iCs/>
          <w:sz w:val="22"/>
          <w:szCs w:val="22"/>
        </w:rPr>
        <w:t xml:space="preserve"> I</w:t>
      </w:r>
      <w:r>
        <w:rPr>
          <w:sz w:val="22"/>
          <w:szCs w:val="22"/>
        </w:rPr>
        <w:t xml:space="preserve">. The total number of droplets still around at time </w:t>
      </w:r>
      <w:r>
        <w:rPr>
          <w:rFonts w:ascii="Cambria Math" w:hAnsi="Cambria Math" w:cs="Cambria Math"/>
          <w:i/>
          <w:iCs/>
          <w:sz w:val="28"/>
          <w:szCs w:val="28"/>
        </w:rPr>
        <w:t>𝑡</w:t>
      </w:r>
      <w:r>
        <w:rPr>
          <w:sz w:val="22"/>
          <w:szCs w:val="22"/>
        </w:rPr>
        <w:t xml:space="preserve"> is then obtained by integrating over all </w:t>
      </w:r>
      <w:proofErr w:type="spellStart"/>
      <w:r>
        <w:rPr>
          <w:i/>
          <w:iCs/>
          <w:sz w:val="22"/>
          <w:szCs w:val="22"/>
        </w:rPr>
        <w:t>Δt</w:t>
      </w:r>
      <w:proofErr w:type="spellEnd"/>
      <w:r>
        <w:rPr>
          <w:i/>
          <w:iCs/>
          <w:sz w:val="22"/>
          <w:szCs w:val="22"/>
        </w:rPr>
        <w:t xml:space="preserve">&gt;0 </w:t>
      </w:r>
      <w:r>
        <w:rPr>
          <w:sz w:val="22"/>
          <w:szCs w:val="22"/>
        </w:rPr>
        <w:t>i.e. over all the past. Writing α</w:t>
      </w:r>
      <w:r>
        <w:rPr>
          <w:i/>
          <w:iCs/>
          <w:sz w:val="28"/>
          <w:szCs w:val="28"/>
        </w:rPr>
        <w:t xml:space="preserve"> </w:t>
      </w:r>
      <w:r>
        <w:rPr>
          <w:sz w:val="22"/>
          <w:szCs w:val="22"/>
        </w:rPr>
        <w:t>as the rate of production, we therefore find the concentration is:</w:t>
      </w:r>
    </w:p>
    <w:p w14:paraId="53CDBB36" w14:textId="77777777" w:rsidR="00987BBD" w:rsidRDefault="00987BBD" w:rsidP="00987BBD">
      <w:pPr>
        <w:spacing w:after="160"/>
        <w:jc w:val="center"/>
        <w:rPr>
          <w:sz w:val="22"/>
          <w:szCs w:val="22"/>
        </w:rPr>
      </w:pPr>
      <m:oMathPara>
        <m:oMathParaPr>
          <m:jc m:val="center"/>
        </m:oMathParaPr>
        <m:oMath>
          <m:r>
            <w:rPr>
              <w:rFonts w:ascii="Cambria Math" w:hAnsi="Cambria Math"/>
            </w:rPr>
            <m:t>c=α</m:t>
          </m:r>
          <m:nary>
            <m:naryPr>
              <m:ctrlPr>
                <w:rPr>
                  <w:rFonts w:ascii="Cambria Math" w:hAnsi="Cambria Math"/>
                </w:rPr>
              </m:ctrlPr>
            </m:naryPr>
            <m:sub>
              <m:r>
                <w:rPr>
                  <w:rFonts w:ascii="Cambria Math" w:hAnsi="Cambria Math"/>
                </w:rPr>
                <m:t>0</m:t>
              </m:r>
            </m:sub>
            <m:sup>
              <m:r>
                <w:rPr>
                  <w:rFonts w:ascii="Cambria Math" w:hAnsi="Cambria Math"/>
                </w:rPr>
                <m:t>∞</m:t>
              </m:r>
            </m:sup>
            <m:e>
              <m:sSub>
                <m:sSubPr>
                  <m:ctrlPr>
                    <w:rPr>
                      <w:rFonts w:ascii="Cambria Math" w:hAnsi="Cambria Math"/>
                    </w:rPr>
                  </m:ctrlPr>
                </m:sSubPr>
                <m:e>
                  <m:r>
                    <w:rPr>
                      <w:rFonts w:ascii="Cambria Math" w:hAnsi="Cambria Math"/>
                    </w:rPr>
                    <m:t>p</m:t>
                  </m:r>
                </m:e>
                <m:sub>
                  <m:r>
                    <w:rPr>
                      <w:rFonts w:ascii="Cambria Math" w:hAnsi="Cambria Math"/>
                    </w:rPr>
                    <m:t>active</m:t>
                  </m:r>
                </m:sub>
              </m:sSub>
              <m:d>
                <m:dPr>
                  <m:ctrlPr>
                    <w:rPr>
                      <w:rFonts w:ascii="Cambria Math" w:hAnsi="Cambria Math"/>
                    </w:rPr>
                  </m:ctrlPr>
                </m:dPr>
                <m:e>
                  <m:r>
                    <w:rPr>
                      <w:rFonts w:ascii="Cambria Math" w:hAnsi="Cambria Math"/>
                    </w:rPr>
                    <m:t>Δt</m:t>
                  </m:r>
                </m:e>
              </m:d>
              <m:r>
                <w:rPr>
                  <w:rFonts w:ascii="Cambria Math" w:hAnsi="Cambria Math"/>
                </w:rPr>
                <m:t>I</m:t>
              </m:r>
              <m:d>
                <m:dPr>
                  <m:ctrlPr>
                    <w:rPr>
                      <w:rFonts w:ascii="Cambria Math" w:hAnsi="Cambria Math"/>
                    </w:rPr>
                  </m:ctrlPr>
                </m:dPr>
                <m:e>
                  <m:r>
                    <w:rPr>
                      <w:rFonts w:ascii="Cambria Math" w:hAnsi="Cambria Math"/>
                    </w:rPr>
                    <m:t>Δt</m:t>
                  </m:r>
                </m:e>
              </m:d>
              <m:r>
                <w:rPr>
                  <w:rFonts w:ascii="Cambria Math" w:hAnsi="Cambria Math"/>
                </w:rPr>
                <m:t>dΔt</m:t>
              </m:r>
            </m:e>
          </m:nary>
        </m:oMath>
      </m:oMathPara>
    </w:p>
    <w:p w14:paraId="1693E3C2" w14:textId="77777777" w:rsidR="00987BBD" w:rsidRDefault="00987BBD" w:rsidP="00987BBD">
      <w:pPr>
        <w:spacing w:after="160"/>
        <w:jc w:val="both"/>
        <w:rPr>
          <w:b/>
          <w:bCs/>
          <w:color w:val="000000" w:themeColor="text1"/>
          <w:sz w:val="22"/>
          <w:szCs w:val="22"/>
        </w:rPr>
      </w:pPr>
      <w:r>
        <w:rPr>
          <w:color w:val="000000" w:themeColor="text1"/>
          <w:sz w:val="22"/>
          <w:szCs w:val="22"/>
        </w:rPr>
        <w:lastRenderedPageBreak/>
        <w:t>We show the result of this calculation in Supplemental Figure 3 for our assumed quanta production rate of α = 0.1s</w:t>
      </w:r>
      <w:r>
        <w:rPr>
          <w:color w:val="000000" w:themeColor="text1"/>
          <w:sz w:val="22"/>
          <w:szCs w:val="22"/>
          <w:vertAlign w:val="superscript"/>
        </w:rPr>
        <w:t>-1</w:t>
      </w:r>
      <w:r>
        <w:rPr>
          <w:color w:val="000000" w:themeColor="text1"/>
          <w:sz w:val="22"/>
          <w:szCs w:val="22"/>
        </w:rPr>
        <w:t>.</w:t>
      </w:r>
    </w:p>
    <w:p w14:paraId="4295347C" w14:textId="77777777" w:rsidR="00987BBD" w:rsidRDefault="00987BBD" w:rsidP="00987BBD">
      <w:pPr>
        <w:spacing w:after="160"/>
        <w:jc w:val="both"/>
        <w:rPr>
          <w:color w:val="D13438"/>
          <w:sz w:val="22"/>
          <w:szCs w:val="22"/>
        </w:rPr>
      </w:pPr>
    </w:p>
    <w:p w14:paraId="710B5CEC" w14:textId="77777777" w:rsidR="00987BBD" w:rsidRDefault="00987BBD" w:rsidP="00987BBD">
      <w:pPr>
        <w:spacing w:after="160"/>
        <w:jc w:val="both"/>
        <w:rPr>
          <w:b/>
          <w:bCs/>
          <w:sz w:val="22"/>
          <w:szCs w:val="22"/>
        </w:rPr>
      </w:pPr>
      <w:r>
        <w:rPr>
          <w:b/>
          <w:bCs/>
          <w:sz w:val="22"/>
          <w:szCs w:val="22"/>
        </w:rPr>
        <w:t>Varying CO</w:t>
      </w:r>
      <w:r>
        <w:rPr>
          <w:b/>
          <w:bCs/>
          <w:sz w:val="22"/>
          <w:szCs w:val="22"/>
          <w:vertAlign w:val="subscript"/>
        </w:rPr>
        <w:t>2</w:t>
      </w:r>
    </w:p>
    <w:p w14:paraId="5BF8CECE" w14:textId="77777777" w:rsidR="00987BBD" w:rsidRDefault="00987BBD" w:rsidP="00987BBD">
      <w:pPr>
        <w:spacing w:after="160"/>
        <w:jc w:val="both"/>
        <w:rPr>
          <w:sz w:val="22"/>
          <w:szCs w:val="22"/>
        </w:rPr>
      </w:pPr>
      <w:r>
        <w:rPr>
          <w:sz w:val="22"/>
          <w:szCs w:val="22"/>
        </w:rPr>
        <w:t>For the Delta variant at 90% relative humidity we have two datasets at CO</w:t>
      </w:r>
      <w:r>
        <w:rPr>
          <w:sz w:val="22"/>
          <w:szCs w:val="22"/>
          <w:vertAlign w:val="subscript"/>
        </w:rPr>
        <w:t>2</w:t>
      </w:r>
      <w:r>
        <w:rPr>
          <w:sz w:val="22"/>
          <w:szCs w:val="22"/>
        </w:rPr>
        <w:t xml:space="preserve"> concentrations of 500ppm and 3000ppm. To obtain use data at intermediate concentrations for illustration purposes we interpolate the fit parameters (</w:t>
      </w:r>
      <w:r>
        <w:rPr>
          <w:i/>
          <w:iCs/>
          <w:sz w:val="22"/>
          <w:szCs w:val="22"/>
        </w:rPr>
        <w:t>A</w:t>
      </w:r>
      <w:r>
        <w:rPr>
          <w:sz w:val="22"/>
          <w:szCs w:val="22"/>
        </w:rPr>
        <w:t xml:space="preserve">, </w:t>
      </w:r>
      <w:r>
        <w:rPr>
          <w:i/>
          <w:iCs/>
          <w:sz w:val="22"/>
          <w:szCs w:val="22"/>
        </w:rPr>
        <w:t>τ</w:t>
      </w:r>
      <w:r>
        <w:rPr>
          <w:i/>
          <w:iCs/>
          <w:sz w:val="22"/>
          <w:szCs w:val="22"/>
          <w:vertAlign w:val="subscript"/>
        </w:rPr>
        <w:t>1</w:t>
      </w:r>
      <w:r>
        <w:rPr>
          <w:i/>
          <w:iCs/>
          <w:sz w:val="22"/>
          <w:szCs w:val="22"/>
        </w:rPr>
        <w:t>,</w:t>
      </w:r>
      <w:r>
        <w:rPr>
          <w:i/>
          <w:iCs/>
          <w:sz w:val="22"/>
          <w:szCs w:val="22"/>
          <w:vertAlign w:val="subscript"/>
        </w:rPr>
        <w:t xml:space="preserve"> </w:t>
      </w:r>
      <w:r>
        <w:rPr>
          <w:i/>
          <w:iCs/>
          <w:sz w:val="22"/>
          <w:szCs w:val="22"/>
        </w:rPr>
        <w:t>τ</w:t>
      </w:r>
      <w:r>
        <w:rPr>
          <w:i/>
          <w:iCs/>
          <w:sz w:val="22"/>
          <w:szCs w:val="22"/>
          <w:vertAlign w:val="subscript"/>
        </w:rPr>
        <w:t>2</w:t>
      </w:r>
      <w:r>
        <w:rPr>
          <w:sz w:val="22"/>
          <w:szCs w:val="22"/>
        </w:rPr>
        <w:t>) and insert them into the same fitting function. The results of this interpolation are shown in Supplemental Figure 4.</w:t>
      </w:r>
    </w:p>
    <w:p w14:paraId="7322A573" w14:textId="77777777" w:rsidR="00987BBD" w:rsidRDefault="00987BBD" w:rsidP="00987BBD">
      <w:pPr>
        <w:spacing w:after="160"/>
        <w:jc w:val="both"/>
        <w:rPr>
          <w:sz w:val="22"/>
          <w:szCs w:val="22"/>
        </w:rPr>
      </w:pPr>
      <w:r>
        <w:rPr>
          <w:sz w:val="22"/>
          <w:szCs w:val="22"/>
        </w:rPr>
        <w:t>To estimate the CO</w:t>
      </w:r>
      <w:r>
        <w:rPr>
          <w:sz w:val="22"/>
          <w:szCs w:val="22"/>
          <w:vertAlign w:val="subscript"/>
        </w:rPr>
        <w:t>2</w:t>
      </w:r>
      <w:r>
        <w:rPr>
          <w:sz w:val="22"/>
          <w:szCs w:val="22"/>
        </w:rPr>
        <w:t xml:space="preserve"> concentration in a room of </w:t>
      </w:r>
      <w:r>
        <w:rPr>
          <w:i/>
          <w:iCs/>
          <w:sz w:val="22"/>
          <w:szCs w:val="22"/>
        </w:rPr>
        <w:t>N</w:t>
      </w:r>
      <w:r>
        <w:rPr>
          <w:sz w:val="22"/>
          <w:szCs w:val="22"/>
        </w:rPr>
        <w:t xml:space="preserve"> occupants at fixed volume, we again assume the air is well-mixed so the concentration is uniform and that the CO</w:t>
      </w:r>
      <w:r>
        <w:rPr>
          <w:sz w:val="22"/>
          <w:szCs w:val="22"/>
          <w:vertAlign w:val="subscript"/>
        </w:rPr>
        <w:t>2</w:t>
      </w:r>
      <w:r>
        <w:rPr>
          <w:sz w:val="22"/>
          <w:szCs w:val="22"/>
        </w:rPr>
        <w:t xml:space="preserve"> produced by the occupants is constant. We take the average per-person CO</w:t>
      </w:r>
      <w:r>
        <w:rPr>
          <w:sz w:val="22"/>
          <w:szCs w:val="22"/>
          <w:vertAlign w:val="subscript"/>
        </w:rPr>
        <w:t>2</w:t>
      </w:r>
      <w:r>
        <w:rPr>
          <w:sz w:val="22"/>
          <w:szCs w:val="22"/>
        </w:rPr>
        <w:t xml:space="preserve"> production rate typical of a high school classroom as </w:t>
      </w:r>
      <w:r>
        <w:rPr>
          <w:i/>
          <w:iCs/>
          <w:sz w:val="22"/>
          <w:szCs w:val="22"/>
        </w:rPr>
        <w:t>R</w:t>
      </w:r>
      <w:r>
        <w:rPr>
          <w:sz w:val="22"/>
          <w:szCs w:val="22"/>
        </w:rPr>
        <w:t>=0.0065l/s [2]. The expected [CO</w:t>
      </w:r>
      <w:r>
        <w:rPr>
          <w:sz w:val="22"/>
          <w:szCs w:val="22"/>
          <w:vertAlign w:val="subscript"/>
        </w:rPr>
        <w:t>2</w:t>
      </w:r>
      <w:r>
        <w:rPr>
          <w:sz w:val="22"/>
          <w:szCs w:val="22"/>
        </w:rPr>
        <w:t>] is then</w:t>
      </w:r>
    </w:p>
    <w:p w14:paraId="13322D35" w14:textId="77777777" w:rsidR="00987BBD" w:rsidRDefault="00987BBD" w:rsidP="00987BBD">
      <w:pPr>
        <w:spacing w:after="160"/>
        <w:jc w:val="center"/>
        <w:rPr>
          <w:sz w:val="22"/>
          <w:szCs w:val="22"/>
        </w:rPr>
      </w:pPr>
      <m:oMathPara>
        <m:oMathParaPr>
          <m:jc m:val="center"/>
        </m:oMathParaPr>
        <m:oMath>
          <m:d>
            <m:dPr>
              <m:begChr m:val="["/>
              <m:endChr m:val="]"/>
              <m:ctrlPr>
                <w:rPr>
                  <w:rFonts w:ascii="Cambria Math" w:hAnsi="Cambria Math"/>
                </w:rPr>
              </m:ctrlPr>
            </m:dPr>
            <m:e>
              <m:r>
                <w:rPr>
                  <w:rFonts w:ascii="Cambria Math" w:hAnsi="Cambria Math"/>
                </w:rPr>
                <m:t>C</m:t>
              </m:r>
              <m:sSub>
                <m:sSubPr>
                  <m:ctrlPr>
                    <w:rPr>
                      <w:rFonts w:ascii="Cambria Math" w:hAnsi="Cambria Math"/>
                    </w:rPr>
                  </m:ctrlPr>
                </m:sSubPr>
                <m:e>
                  <m:r>
                    <w:rPr>
                      <w:rFonts w:ascii="Cambria Math" w:hAnsi="Cambria Math"/>
                    </w:rPr>
                    <m:t>O</m:t>
                  </m:r>
                </m:e>
                <m:sub>
                  <m:r>
                    <w:rPr>
                      <w:rFonts w:ascii="Cambria Math" w:hAnsi="Cambria Math"/>
                    </w:rPr>
                    <m:t>2</m:t>
                  </m:r>
                </m:sub>
              </m:sSub>
            </m:e>
          </m:d>
          <m:r>
            <w:rPr>
              <w:rFonts w:ascii="Cambria Math" w:hAnsi="Cambria Math"/>
            </w:rPr>
            <m:t>=</m:t>
          </m:r>
          <m:sSub>
            <m:sSubPr>
              <m:ctrlPr>
                <w:rPr>
                  <w:rFonts w:ascii="Cambria Math" w:hAnsi="Cambria Math"/>
                </w:rPr>
              </m:ctrlPr>
            </m:sSubPr>
            <m:e>
              <m:d>
                <m:dPr>
                  <m:begChr m:val="["/>
                  <m:endChr m:val="]"/>
                  <m:ctrlPr>
                    <w:rPr>
                      <w:rFonts w:ascii="Cambria Math" w:hAnsi="Cambria Math"/>
                    </w:rPr>
                  </m:ctrlPr>
                </m:dPr>
                <m:e>
                  <m:r>
                    <w:rPr>
                      <w:rFonts w:ascii="Cambria Math" w:hAnsi="Cambria Math"/>
                    </w:rPr>
                    <m:t>C</m:t>
                  </m:r>
                  <m:sSub>
                    <m:sSubPr>
                      <m:ctrlPr>
                        <w:rPr>
                          <w:rFonts w:ascii="Cambria Math" w:hAnsi="Cambria Math"/>
                        </w:rPr>
                      </m:ctrlPr>
                    </m:sSubPr>
                    <m:e>
                      <m:r>
                        <w:rPr>
                          <w:rFonts w:ascii="Cambria Math" w:hAnsi="Cambria Math"/>
                        </w:rPr>
                        <m:t>O</m:t>
                      </m:r>
                    </m:e>
                    <m:sub>
                      <m:r>
                        <w:rPr>
                          <w:rFonts w:ascii="Cambria Math" w:hAnsi="Cambria Math"/>
                        </w:rPr>
                        <m:t>2</m:t>
                      </m:r>
                    </m:sub>
                  </m:sSub>
                </m:e>
              </m:d>
            </m:e>
            <m:sub>
              <m:r>
                <w:rPr>
                  <w:rFonts w:ascii="Cambria Math" w:hAnsi="Cambria Math"/>
                </w:rPr>
                <m:t>0</m:t>
              </m:r>
            </m:sub>
          </m:sSub>
          <m:r>
            <w:rPr>
              <w:rFonts w:ascii="Cambria Math" w:hAnsi="Cambria Math"/>
            </w:rPr>
            <m:t>+N</m:t>
          </m:r>
          <m:f>
            <m:fPr>
              <m:ctrlPr>
                <w:rPr>
                  <w:rFonts w:ascii="Cambria Math" w:hAnsi="Cambria Math"/>
                </w:rPr>
              </m:ctrlPr>
            </m:fPr>
            <m:num>
              <m:r>
                <w:rPr>
                  <w:rFonts w:ascii="Cambria Math" w:hAnsi="Cambria Math"/>
                </w:rPr>
                <m:t>R</m:t>
              </m:r>
            </m:num>
            <m:den>
              <m:r>
                <w:rPr>
                  <w:rFonts w:ascii="Cambria Math" w:hAnsi="Cambria Math"/>
                </w:rPr>
                <m:t>Q</m:t>
              </m:r>
            </m:den>
          </m:f>
        </m:oMath>
      </m:oMathPara>
    </w:p>
    <w:p w14:paraId="06FD0A9F" w14:textId="77777777" w:rsidR="00987BBD" w:rsidRDefault="00987BBD" w:rsidP="00987BBD">
      <w:pPr>
        <w:spacing w:after="160"/>
        <w:jc w:val="both"/>
        <w:rPr>
          <w:sz w:val="22"/>
          <w:szCs w:val="22"/>
        </w:rPr>
      </w:pPr>
      <w:r>
        <w:rPr>
          <w:sz w:val="22"/>
          <w:szCs w:val="22"/>
        </w:rPr>
        <w:t>where Q is the volumetric flow rate out of the room, and we take the background [CO</w:t>
      </w:r>
      <w:r>
        <w:rPr>
          <w:sz w:val="22"/>
          <w:szCs w:val="22"/>
          <w:vertAlign w:val="subscript"/>
        </w:rPr>
        <w:t>2</w:t>
      </w:r>
      <w:r>
        <w:rPr>
          <w:sz w:val="22"/>
          <w:szCs w:val="22"/>
        </w:rPr>
        <w:t>]</w:t>
      </w:r>
      <w:r>
        <w:rPr>
          <w:sz w:val="22"/>
          <w:szCs w:val="22"/>
          <w:vertAlign w:val="subscript"/>
        </w:rPr>
        <w:t>0</w:t>
      </w:r>
      <w:r>
        <w:rPr>
          <w:sz w:val="22"/>
          <w:szCs w:val="22"/>
        </w:rPr>
        <w:t xml:space="preserve"> as 420ppm for direct exchange with outdoor air. The resulting concentration for the 300m3 classroom with different occupancies and ventilation rates is shown in Supplemental Figure 5D.</w:t>
      </w:r>
    </w:p>
    <w:p w14:paraId="348D2A5D" w14:textId="77777777" w:rsidR="00987BBD" w:rsidRDefault="00987BBD" w:rsidP="00987BBD">
      <w:pPr>
        <w:spacing w:after="160"/>
        <w:jc w:val="both"/>
        <w:rPr>
          <w:sz w:val="22"/>
          <w:szCs w:val="22"/>
        </w:rPr>
      </w:pPr>
      <w:r>
        <w:rPr>
          <w:sz w:val="22"/>
          <w:szCs w:val="22"/>
        </w:rPr>
        <w:t>Finally, we calculate the time until the risk of transmission reaches 50% for occupancies in the range of 0-40 at fixed [CO</w:t>
      </w:r>
      <w:r>
        <w:rPr>
          <w:sz w:val="22"/>
          <w:szCs w:val="22"/>
          <w:vertAlign w:val="subscript"/>
        </w:rPr>
        <w:t>2</w:t>
      </w:r>
      <w:r>
        <w:rPr>
          <w:sz w:val="22"/>
          <w:szCs w:val="22"/>
        </w:rPr>
        <w:t>] in Supplemental Figure 5A-C, and with varying [CO</w:t>
      </w:r>
      <w:r>
        <w:rPr>
          <w:sz w:val="22"/>
          <w:szCs w:val="22"/>
          <w:vertAlign w:val="subscript"/>
        </w:rPr>
        <w:t>2</w:t>
      </w:r>
      <w:r>
        <w:rPr>
          <w:sz w:val="22"/>
          <w:szCs w:val="22"/>
        </w:rPr>
        <w:t>] using the interpolations of Supplemental Figure 4 and the calculation above for the [CO</w:t>
      </w:r>
      <w:r>
        <w:rPr>
          <w:sz w:val="22"/>
          <w:szCs w:val="22"/>
          <w:vertAlign w:val="subscript"/>
        </w:rPr>
        <w:t>2</w:t>
      </w:r>
      <w:r>
        <w:rPr>
          <w:sz w:val="22"/>
          <w:szCs w:val="22"/>
        </w:rPr>
        <w:t>]. These contour plots show the same data as in the main text but across the full range of occupancies.</w:t>
      </w:r>
    </w:p>
    <w:p w14:paraId="269EF8E5" w14:textId="77777777" w:rsidR="00987BBD" w:rsidRDefault="00987BBD" w:rsidP="00987BBD">
      <w:pPr>
        <w:spacing w:after="160"/>
        <w:jc w:val="both"/>
        <w:rPr>
          <w:sz w:val="22"/>
          <w:szCs w:val="22"/>
        </w:rPr>
      </w:pPr>
    </w:p>
    <w:p w14:paraId="3BBF2B21" w14:textId="77777777" w:rsidR="00987BBD" w:rsidRDefault="00987BBD" w:rsidP="00987BBD">
      <w:pPr>
        <w:spacing w:after="160"/>
        <w:jc w:val="both"/>
        <w:rPr>
          <w:b/>
          <w:bCs/>
          <w:sz w:val="28"/>
          <w:szCs w:val="28"/>
        </w:rPr>
      </w:pPr>
      <w:r>
        <w:rPr>
          <w:b/>
          <w:bCs/>
          <w:sz w:val="28"/>
          <w:szCs w:val="28"/>
        </w:rPr>
        <w:t>Supplemental References</w:t>
      </w:r>
    </w:p>
    <w:p w14:paraId="2FE664D6" w14:textId="77777777" w:rsidR="00987BBD" w:rsidRDefault="00987BBD" w:rsidP="00987BBD"/>
    <w:p w14:paraId="34B72309" w14:textId="77777777" w:rsidR="00987BBD" w:rsidRDefault="00987BBD" w:rsidP="00987BBD"/>
    <w:p w14:paraId="70C7DA12" w14:textId="77777777" w:rsidR="00987BBD" w:rsidRPr="00883D76" w:rsidRDefault="00987BBD" w:rsidP="00987BBD">
      <w:pPr>
        <w:pStyle w:val="EndNoteBibliography"/>
        <w:ind w:left="720" w:hanging="720"/>
      </w:pPr>
      <w:r>
        <w:rPr>
          <w:noProof/>
        </w:rPr>
        <w:fldChar w:fldCharType="begin"/>
      </w:r>
      <w:r>
        <w:instrText xml:space="preserve"> ADDIN EN.REFLIST </w:instrText>
      </w:r>
      <w:r>
        <w:rPr>
          <w:noProof/>
        </w:rPr>
        <w:fldChar w:fldCharType="separate"/>
      </w:r>
      <w:r w:rsidRPr="00883D76">
        <w:t>1.</w:t>
      </w:r>
      <w:r w:rsidRPr="00883D76">
        <w:tab/>
        <w:t xml:space="preserve">M. O. </w:t>
      </w:r>
      <w:proofErr w:type="spellStart"/>
      <w:r w:rsidRPr="00883D76">
        <w:t>Fernandez</w:t>
      </w:r>
      <w:proofErr w:type="spellEnd"/>
      <w:r w:rsidRPr="00883D76">
        <w:rPr>
          <w:i/>
        </w:rPr>
        <w:t xml:space="preserve"> et al.</w:t>
      </w:r>
      <w:r w:rsidRPr="00883D76">
        <w:t xml:space="preserve">, </w:t>
      </w:r>
      <w:proofErr w:type="spellStart"/>
      <w:r w:rsidRPr="00883D76">
        <w:t>Assessing</w:t>
      </w:r>
      <w:proofErr w:type="spellEnd"/>
      <w:r w:rsidRPr="00883D76">
        <w:t xml:space="preserve"> </w:t>
      </w:r>
      <w:proofErr w:type="spellStart"/>
      <w:r w:rsidRPr="00883D76">
        <w:t>the</w:t>
      </w:r>
      <w:proofErr w:type="spellEnd"/>
      <w:r w:rsidRPr="00883D76">
        <w:t xml:space="preserve"> </w:t>
      </w:r>
      <w:proofErr w:type="spellStart"/>
      <w:r w:rsidRPr="00883D76">
        <w:t>airborne</w:t>
      </w:r>
      <w:proofErr w:type="spellEnd"/>
      <w:r w:rsidRPr="00883D76">
        <w:t xml:space="preserve"> </w:t>
      </w:r>
      <w:proofErr w:type="spellStart"/>
      <w:r w:rsidRPr="00883D76">
        <w:t>survival</w:t>
      </w:r>
      <w:proofErr w:type="spellEnd"/>
      <w:r w:rsidRPr="00883D76">
        <w:t xml:space="preserve"> </w:t>
      </w:r>
      <w:proofErr w:type="spellStart"/>
      <w:r w:rsidRPr="00883D76">
        <w:t>of</w:t>
      </w:r>
      <w:proofErr w:type="spellEnd"/>
      <w:r w:rsidRPr="00883D76">
        <w:t xml:space="preserve"> bacteria in </w:t>
      </w:r>
      <w:proofErr w:type="spellStart"/>
      <w:r w:rsidRPr="00883D76">
        <w:t>populations</w:t>
      </w:r>
      <w:proofErr w:type="spellEnd"/>
      <w:r w:rsidRPr="00883D76">
        <w:t xml:space="preserve"> </w:t>
      </w:r>
      <w:proofErr w:type="spellStart"/>
      <w:r w:rsidRPr="00883D76">
        <w:t>of</w:t>
      </w:r>
      <w:proofErr w:type="spellEnd"/>
      <w:r w:rsidRPr="00883D76">
        <w:t xml:space="preserve"> aerosol </w:t>
      </w:r>
      <w:proofErr w:type="spellStart"/>
      <w:r w:rsidRPr="00883D76">
        <w:t>droplets</w:t>
      </w:r>
      <w:proofErr w:type="spellEnd"/>
      <w:r w:rsidRPr="00883D76">
        <w:t xml:space="preserve"> </w:t>
      </w:r>
      <w:proofErr w:type="spellStart"/>
      <w:r w:rsidRPr="00883D76">
        <w:t>with</w:t>
      </w:r>
      <w:proofErr w:type="spellEnd"/>
      <w:r w:rsidRPr="00883D76">
        <w:t xml:space="preserve"> a novel </w:t>
      </w:r>
      <w:proofErr w:type="spellStart"/>
      <w:r w:rsidRPr="00883D76">
        <w:t>technology</w:t>
      </w:r>
      <w:proofErr w:type="spellEnd"/>
      <w:r w:rsidRPr="00883D76">
        <w:t xml:space="preserve">. </w:t>
      </w:r>
      <w:r w:rsidRPr="00883D76">
        <w:rPr>
          <w:i/>
        </w:rPr>
        <w:t xml:space="preserve">J R </w:t>
      </w:r>
      <w:proofErr w:type="spellStart"/>
      <w:r w:rsidRPr="00883D76">
        <w:rPr>
          <w:i/>
        </w:rPr>
        <w:t>Soc</w:t>
      </w:r>
      <w:proofErr w:type="spellEnd"/>
      <w:r w:rsidRPr="00883D76">
        <w:rPr>
          <w:i/>
        </w:rPr>
        <w:t xml:space="preserve"> Interface</w:t>
      </w:r>
      <w:r w:rsidRPr="00883D76">
        <w:t xml:space="preserve"> </w:t>
      </w:r>
      <w:r w:rsidRPr="00883D76">
        <w:rPr>
          <w:b/>
        </w:rPr>
        <w:t>16</w:t>
      </w:r>
      <w:r w:rsidRPr="00883D76">
        <w:t>,  (2019).</w:t>
      </w:r>
    </w:p>
    <w:p w14:paraId="3E05E185" w14:textId="77777777" w:rsidR="00987BBD" w:rsidRPr="00883D76" w:rsidRDefault="00987BBD" w:rsidP="00987BBD">
      <w:pPr>
        <w:pStyle w:val="EndNoteBibliography"/>
        <w:ind w:left="720" w:hanging="720"/>
      </w:pPr>
      <w:r w:rsidRPr="00883D76">
        <w:t>2.</w:t>
      </w:r>
      <w:r w:rsidRPr="00883D76">
        <w:tab/>
        <w:t xml:space="preserve">M. O. </w:t>
      </w:r>
      <w:proofErr w:type="spellStart"/>
      <w:r w:rsidRPr="00883D76">
        <w:t>Fernandez</w:t>
      </w:r>
      <w:proofErr w:type="spellEnd"/>
      <w:r w:rsidRPr="00883D76">
        <w:t xml:space="preserve">, R. J. Thomas, H. </w:t>
      </w:r>
      <w:proofErr w:type="spellStart"/>
      <w:r w:rsidRPr="00883D76">
        <w:t>Oswin</w:t>
      </w:r>
      <w:proofErr w:type="spellEnd"/>
      <w:r w:rsidRPr="00883D76">
        <w:t xml:space="preserve">, A. E. Haddrell, J. P. Reid, Transformative </w:t>
      </w:r>
      <w:proofErr w:type="spellStart"/>
      <w:r w:rsidRPr="00883D76">
        <w:t>Approach</w:t>
      </w:r>
      <w:proofErr w:type="spellEnd"/>
      <w:r w:rsidRPr="00883D76">
        <w:t xml:space="preserve"> </w:t>
      </w:r>
      <w:proofErr w:type="spellStart"/>
      <w:r w:rsidRPr="00883D76">
        <w:t>To</w:t>
      </w:r>
      <w:proofErr w:type="spellEnd"/>
      <w:r w:rsidRPr="00883D76">
        <w:t xml:space="preserve"> </w:t>
      </w:r>
      <w:proofErr w:type="spellStart"/>
      <w:r w:rsidRPr="00883D76">
        <w:t>Investigate</w:t>
      </w:r>
      <w:proofErr w:type="spellEnd"/>
      <w:r w:rsidRPr="00883D76">
        <w:t xml:space="preserve"> </w:t>
      </w:r>
      <w:proofErr w:type="spellStart"/>
      <w:r w:rsidRPr="00883D76">
        <w:t>the</w:t>
      </w:r>
      <w:proofErr w:type="spellEnd"/>
      <w:r w:rsidRPr="00883D76">
        <w:t xml:space="preserve"> </w:t>
      </w:r>
      <w:proofErr w:type="spellStart"/>
      <w:r w:rsidRPr="00883D76">
        <w:t>Microphysical</w:t>
      </w:r>
      <w:proofErr w:type="spellEnd"/>
      <w:r w:rsidRPr="00883D76">
        <w:t xml:space="preserve"> </w:t>
      </w:r>
      <w:proofErr w:type="spellStart"/>
      <w:r w:rsidRPr="00883D76">
        <w:t>Factors</w:t>
      </w:r>
      <w:proofErr w:type="spellEnd"/>
      <w:r w:rsidRPr="00883D76">
        <w:t xml:space="preserve"> </w:t>
      </w:r>
      <w:proofErr w:type="spellStart"/>
      <w:r w:rsidRPr="00883D76">
        <w:t>Influencing</w:t>
      </w:r>
      <w:proofErr w:type="spellEnd"/>
      <w:r w:rsidRPr="00883D76">
        <w:t xml:space="preserve"> </w:t>
      </w:r>
      <w:proofErr w:type="spellStart"/>
      <w:r w:rsidRPr="00883D76">
        <w:t>Airborne</w:t>
      </w:r>
      <w:proofErr w:type="spellEnd"/>
      <w:r w:rsidRPr="00883D76">
        <w:t xml:space="preserve"> </w:t>
      </w:r>
      <w:proofErr w:type="spellStart"/>
      <w:r w:rsidRPr="00883D76">
        <w:t>Transmission</w:t>
      </w:r>
      <w:proofErr w:type="spellEnd"/>
      <w:r w:rsidRPr="00883D76">
        <w:t xml:space="preserve"> </w:t>
      </w:r>
      <w:proofErr w:type="spellStart"/>
      <w:r w:rsidRPr="00883D76">
        <w:t>of</w:t>
      </w:r>
      <w:proofErr w:type="spellEnd"/>
      <w:r w:rsidRPr="00883D76">
        <w:t xml:space="preserve"> </w:t>
      </w:r>
      <w:proofErr w:type="spellStart"/>
      <w:r w:rsidRPr="00883D76">
        <w:t>Pathogens</w:t>
      </w:r>
      <w:proofErr w:type="spellEnd"/>
      <w:r w:rsidRPr="00883D76">
        <w:t xml:space="preserve">. </w:t>
      </w:r>
      <w:proofErr w:type="spellStart"/>
      <w:r w:rsidRPr="00883D76">
        <w:rPr>
          <w:i/>
        </w:rPr>
        <w:t>Appl</w:t>
      </w:r>
      <w:proofErr w:type="spellEnd"/>
      <w:r w:rsidRPr="00883D76">
        <w:rPr>
          <w:i/>
        </w:rPr>
        <w:t xml:space="preserve"> </w:t>
      </w:r>
      <w:proofErr w:type="spellStart"/>
      <w:r w:rsidRPr="00883D76">
        <w:rPr>
          <w:i/>
        </w:rPr>
        <w:t>Environ</w:t>
      </w:r>
      <w:proofErr w:type="spellEnd"/>
      <w:r w:rsidRPr="00883D76">
        <w:rPr>
          <w:i/>
        </w:rPr>
        <w:t xml:space="preserve"> </w:t>
      </w:r>
      <w:proofErr w:type="spellStart"/>
      <w:r w:rsidRPr="00883D76">
        <w:rPr>
          <w:i/>
        </w:rPr>
        <w:t>Microb</w:t>
      </w:r>
      <w:proofErr w:type="spellEnd"/>
      <w:r w:rsidRPr="00883D76">
        <w:t xml:space="preserve"> </w:t>
      </w:r>
      <w:r w:rsidRPr="00883D76">
        <w:rPr>
          <w:b/>
        </w:rPr>
        <w:t>86</w:t>
      </w:r>
      <w:r w:rsidRPr="00883D76">
        <w:t>,  (2020).</w:t>
      </w:r>
    </w:p>
    <w:p w14:paraId="02A98443" w14:textId="77777777" w:rsidR="00987BBD" w:rsidRPr="00883D76" w:rsidRDefault="00987BBD" w:rsidP="00987BBD">
      <w:pPr>
        <w:pStyle w:val="EndNoteBibliography"/>
        <w:ind w:left="720" w:hanging="720"/>
      </w:pPr>
      <w:r w:rsidRPr="00883D76">
        <w:t>3.</w:t>
      </w:r>
      <w:r w:rsidRPr="00883D76">
        <w:tab/>
        <w:t xml:space="preserve">H. P. </w:t>
      </w:r>
      <w:proofErr w:type="spellStart"/>
      <w:r w:rsidRPr="00883D76">
        <w:t>Oswin</w:t>
      </w:r>
      <w:proofErr w:type="spellEnd"/>
      <w:r w:rsidRPr="00883D76">
        <w:rPr>
          <w:i/>
        </w:rPr>
        <w:t xml:space="preserve"> et al.</w:t>
      </w:r>
      <w:r w:rsidRPr="00883D76">
        <w:t xml:space="preserve">, </w:t>
      </w:r>
      <w:proofErr w:type="spellStart"/>
      <w:r w:rsidRPr="00883D76">
        <w:t>Measuring</w:t>
      </w:r>
      <w:proofErr w:type="spellEnd"/>
      <w:r w:rsidRPr="00883D76">
        <w:t xml:space="preserve"> </w:t>
      </w:r>
      <w:proofErr w:type="spellStart"/>
      <w:r w:rsidRPr="00883D76">
        <w:t>stability</w:t>
      </w:r>
      <w:proofErr w:type="spellEnd"/>
      <w:r w:rsidRPr="00883D76">
        <w:t xml:space="preserve"> </w:t>
      </w:r>
      <w:proofErr w:type="spellStart"/>
      <w:r w:rsidRPr="00883D76">
        <w:t>of</w:t>
      </w:r>
      <w:proofErr w:type="spellEnd"/>
      <w:r w:rsidRPr="00883D76">
        <w:t xml:space="preserve"> virus in </w:t>
      </w:r>
      <w:proofErr w:type="spellStart"/>
      <w:r w:rsidRPr="00883D76">
        <w:t>aerosols</w:t>
      </w:r>
      <w:proofErr w:type="spellEnd"/>
      <w:r w:rsidRPr="00883D76">
        <w:t xml:space="preserve"> </w:t>
      </w:r>
      <w:proofErr w:type="spellStart"/>
      <w:r w:rsidRPr="00883D76">
        <w:t>under</w:t>
      </w:r>
      <w:proofErr w:type="spellEnd"/>
      <w:r w:rsidRPr="00883D76">
        <w:t xml:space="preserve"> </w:t>
      </w:r>
      <w:proofErr w:type="spellStart"/>
      <w:r w:rsidRPr="00883D76">
        <w:t>varying</w:t>
      </w:r>
      <w:proofErr w:type="spellEnd"/>
      <w:r w:rsidRPr="00883D76">
        <w:t xml:space="preserve"> </w:t>
      </w:r>
      <w:proofErr w:type="spellStart"/>
      <w:r w:rsidRPr="00883D76">
        <w:t>environmental</w:t>
      </w:r>
      <w:proofErr w:type="spellEnd"/>
      <w:r w:rsidRPr="00883D76">
        <w:t xml:space="preserve"> </w:t>
      </w:r>
      <w:proofErr w:type="spellStart"/>
      <w:r w:rsidRPr="00883D76">
        <w:t>conditions</w:t>
      </w:r>
      <w:proofErr w:type="spellEnd"/>
      <w:r w:rsidRPr="00883D76">
        <w:t xml:space="preserve">. </w:t>
      </w:r>
      <w:r w:rsidRPr="00883D76">
        <w:rPr>
          <w:i/>
        </w:rPr>
        <w:t xml:space="preserve">Aerosol </w:t>
      </w:r>
      <w:proofErr w:type="spellStart"/>
      <w:r w:rsidRPr="00883D76">
        <w:rPr>
          <w:i/>
        </w:rPr>
        <w:t>Sci</w:t>
      </w:r>
      <w:proofErr w:type="spellEnd"/>
      <w:r w:rsidRPr="00883D76">
        <w:rPr>
          <w:i/>
        </w:rPr>
        <w:t xml:space="preserve"> </w:t>
      </w:r>
      <w:proofErr w:type="spellStart"/>
      <w:r w:rsidRPr="00883D76">
        <w:rPr>
          <w:i/>
        </w:rPr>
        <w:t>Tech</w:t>
      </w:r>
      <w:proofErr w:type="spellEnd"/>
      <w:r w:rsidRPr="00883D76">
        <w:t xml:space="preserve"> </w:t>
      </w:r>
      <w:r w:rsidRPr="00883D76">
        <w:rPr>
          <w:b/>
        </w:rPr>
        <w:t>55</w:t>
      </w:r>
      <w:r w:rsidRPr="00883D76">
        <w:t>, 1315-1320 (2021).</w:t>
      </w:r>
    </w:p>
    <w:p w14:paraId="3C43A2C1" w14:textId="77777777" w:rsidR="00987BBD" w:rsidRPr="00883D76" w:rsidRDefault="00987BBD" w:rsidP="00987BBD">
      <w:pPr>
        <w:pStyle w:val="EndNoteBibliography"/>
        <w:ind w:left="720" w:hanging="720"/>
      </w:pPr>
      <w:r w:rsidRPr="00883D76">
        <w:t>4.</w:t>
      </w:r>
      <w:r w:rsidRPr="00883D76">
        <w:tab/>
        <w:t xml:space="preserve">H. P. </w:t>
      </w:r>
      <w:proofErr w:type="spellStart"/>
      <w:r w:rsidRPr="00883D76">
        <w:t>Oswin</w:t>
      </w:r>
      <w:proofErr w:type="spellEnd"/>
      <w:r w:rsidRPr="00883D76">
        <w:rPr>
          <w:i/>
        </w:rPr>
        <w:t xml:space="preserve"> et al.</w:t>
      </w:r>
      <w:r w:rsidRPr="00883D76">
        <w:t xml:space="preserve">, </w:t>
      </w:r>
      <w:proofErr w:type="spellStart"/>
      <w:r w:rsidRPr="00883D76">
        <w:t>The</w:t>
      </w:r>
      <w:proofErr w:type="spellEnd"/>
      <w:r w:rsidRPr="00883D76">
        <w:t xml:space="preserve"> </w:t>
      </w:r>
      <w:proofErr w:type="spellStart"/>
      <w:r w:rsidRPr="00883D76">
        <w:t>dynamics</w:t>
      </w:r>
      <w:proofErr w:type="spellEnd"/>
      <w:r w:rsidRPr="00883D76">
        <w:t xml:space="preserve"> </w:t>
      </w:r>
      <w:proofErr w:type="spellStart"/>
      <w:r w:rsidRPr="00883D76">
        <w:t>of</w:t>
      </w:r>
      <w:proofErr w:type="spellEnd"/>
      <w:r w:rsidRPr="00883D76">
        <w:t xml:space="preserve"> SARS-CoV-2 </w:t>
      </w:r>
      <w:proofErr w:type="spellStart"/>
      <w:r w:rsidRPr="00883D76">
        <w:t>infectivity</w:t>
      </w:r>
      <w:proofErr w:type="spellEnd"/>
      <w:r w:rsidRPr="00883D76">
        <w:t xml:space="preserve"> </w:t>
      </w:r>
      <w:proofErr w:type="spellStart"/>
      <w:r w:rsidRPr="00883D76">
        <w:t>with</w:t>
      </w:r>
      <w:proofErr w:type="spellEnd"/>
      <w:r w:rsidRPr="00883D76">
        <w:t xml:space="preserve"> </w:t>
      </w:r>
      <w:proofErr w:type="spellStart"/>
      <w:r w:rsidRPr="00883D76">
        <w:t>changes</w:t>
      </w:r>
      <w:proofErr w:type="spellEnd"/>
      <w:r w:rsidRPr="00883D76">
        <w:t xml:space="preserve"> in aerosol </w:t>
      </w:r>
      <w:proofErr w:type="spellStart"/>
      <w:r w:rsidRPr="00883D76">
        <w:t>microenvironment</w:t>
      </w:r>
      <w:proofErr w:type="spellEnd"/>
      <w:r w:rsidRPr="00883D76">
        <w:t xml:space="preserve">. </w:t>
      </w:r>
      <w:proofErr w:type="spellStart"/>
      <w:r w:rsidRPr="00883D76">
        <w:rPr>
          <w:i/>
        </w:rPr>
        <w:t>Proc</w:t>
      </w:r>
      <w:proofErr w:type="spellEnd"/>
      <w:r w:rsidRPr="00883D76">
        <w:rPr>
          <w:i/>
        </w:rPr>
        <w:t xml:space="preserve"> </w:t>
      </w:r>
      <w:proofErr w:type="spellStart"/>
      <w:r w:rsidRPr="00883D76">
        <w:rPr>
          <w:i/>
        </w:rPr>
        <w:t>Natl</w:t>
      </w:r>
      <w:proofErr w:type="spellEnd"/>
      <w:r w:rsidRPr="00883D76">
        <w:rPr>
          <w:i/>
        </w:rPr>
        <w:t xml:space="preserve"> Acad </w:t>
      </w:r>
      <w:proofErr w:type="spellStart"/>
      <w:r w:rsidRPr="00883D76">
        <w:rPr>
          <w:i/>
        </w:rPr>
        <w:t>Sci</w:t>
      </w:r>
      <w:proofErr w:type="spellEnd"/>
      <w:r w:rsidRPr="00883D76">
        <w:rPr>
          <w:i/>
        </w:rPr>
        <w:t xml:space="preserve"> U S A</w:t>
      </w:r>
      <w:r w:rsidRPr="00883D76">
        <w:t xml:space="preserve"> </w:t>
      </w:r>
      <w:r w:rsidRPr="00883D76">
        <w:rPr>
          <w:b/>
        </w:rPr>
        <w:t>119</w:t>
      </w:r>
      <w:r w:rsidRPr="00883D76">
        <w:t>, e2200109119 (2022).</w:t>
      </w:r>
    </w:p>
    <w:p w14:paraId="09C7AA99" w14:textId="77777777" w:rsidR="00987BBD" w:rsidRPr="00883D76" w:rsidRDefault="00987BBD" w:rsidP="00987BBD">
      <w:pPr>
        <w:pStyle w:val="EndNoteBibliography"/>
        <w:ind w:left="720" w:hanging="720"/>
      </w:pPr>
      <w:r w:rsidRPr="00883D76">
        <w:t>5.</w:t>
      </w:r>
      <w:r w:rsidRPr="00883D76">
        <w:tab/>
        <w:t>R. W. Alexander</w:t>
      </w:r>
      <w:r w:rsidRPr="00883D76">
        <w:rPr>
          <w:i/>
        </w:rPr>
        <w:t xml:space="preserve"> et al.</w:t>
      </w:r>
      <w:r w:rsidRPr="00883D76">
        <w:t xml:space="preserve">, </w:t>
      </w:r>
      <w:proofErr w:type="spellStart"/>
      <w:r w:rsidRPr="00883D76">
        <w:t>Mucin</w:t>
      </w:r>
      <w:proofErr w:type="spellEnd"/>
      <w:r w:rsidRPr="00883D76">
        <w:t xml:space="preserve"> </w:t>
      </w:r>
      <w:proofErr w:type="spellStart"/>
      <w:r w:rsidRPr="00883D76">
        <w:t>Transiently</w:t>
      </w:r>
      <w:proofErr w:type="spellEnd"/>
      <w:r w:rsidRPr="00883D76">
        <w:t xml:space="preserve"> </w:t>
      </w:r>
      <w:proofErr w:type="spellStart"/>
      <w:r w:rsidRPr="00883D76">
        <w:t>Sustains</w:t>
      </w:r>
      <w:proofErr w:type="spellEnd"/>
      <w:r w:rsidRPr="00883D76">
        <w:t xml:space="preserve"> Coronavirus </w:t>
      </w:r>
      <w:proofErr w:type="spellStart"/>
      <w:r w:rsidRPr="00883D76">
        <w:t>Infectivity</w:t>
      </w:r>
      <w:proofErr w:type="spellEnd"/>
      <w:r w:rsidRPr="00883D76">
        <w:t xml:space="preserve"> </w:t>
      </w:r>
      <w:proofErr w:type="spellStart"/>
      <w:r w:rsidRPr="00883D76">
        <w:t>through</w:t>
      </w:r>
      <w:proofErr w:type="spellEnd"/>
      <w:r w:rsidRPr="00883D76">
        <w:t xml:space="preserve"> </w:t>
      </w:r>
      <w:proofErr w:type="spellStart"/>
      <w:r w:rsidRPr="00883D76">
        <w:t>Heterogenous</w:t>
      </w:r>
      <w:proofErr w:type="spellEnd"/>
      <w:r w:rsidRPr="00883D76">
        <w:t xml:space="preserve"> </w:t>
      </w:r>
      <w:proofErr w:type="spellStart"/>
      <w:r w:rsidRPr="00883D76">
        <w:t>Changes</w:t>
      </w:r>
      <w:proofErr w:type="spellEnd"/>
      <w:r w:rsidRPr="00883D76">
        <w:t xml:space="preserve"> in </w:t>
      </w:r>
      <w:proofErr w:type="spellStart"/>
      <w:r w:rsidRPr="00883D76">
        <w:t>Phase</w:t>
      </w:r>
      <w:proofErr w:type="spellEnd"/>
      <w:r w:rsidRPr="00883D76">
        <w:t xml:space="preserve"> </w:t>
      </w:r>
      <w:proofErr w:type="spellStart"/>
      <w:r w:rsidRPr="00883D76">
        <w:t>Morphology</w:t>
      </w:r>
      <w:proofErr w:type="spellEnd"/>
      <w:r w:rsidRPr="00883D76">
        <w:t xml:space="preserve"> </w:t>
      </w:r>
      <w:proofErr w:type="spellStart"/>
      <w:r w:rsidRPr="00883D76">
        <w:t>of</w:t>
      </w:r>
      <w:proofErr w:type="spellEnd"/>
      <w:r w:rsidRPr="00883D76">
        <w:t xml:space="preserve"> </w:t>
      </w:r>
      <w:proofErr w:type="spellStart"/>
      <w:r w:rsidRPr="00883D76">
        <w:t>Evaporating</w:t>
      </w:r>
      <w:proofErr w:type="spellEnd"/>
      <w:r w:rsidRPr="00883D76">
        <w:t xml:space="preserve"> Aerosol. </w:t>
      </w:r>
      <w:proofErr w:type="spellStart"/>
      <w:r w:rsidRPr="00883D76">
        <w:rPr>
          <w:i/>
        </w:rPr>
        <w:t>Viruses</w:t>
      </w:r>
      <w:proofErr w:type="spellEnd"/>
      <w:r w:rsidRPr="00883D76">
        <w:t xml:space="preserve"> </w:t>
      </w:r>
      <w:r w:rsidRPr="00883D76">
        <w:rPr>
          <w:b/>
        </w:rPr>
        <w:t>14</w:t>
      </w:r>
      <w:r w:rsidRPr="00883D76">
        <w:t>, 1856 (2022).</w:t>
      </w:r>
    </w:p>
    <w:p w14:paraId="4BE869F3" w14:textId="77777777" w:rsidR="00987BBD" w:rsidRPr="00883D76" w:rsidRDefault="00987BBD" w:rsidP="00987BBD">
      <w:pPr>
        <w:pStyle w:val="EndNoteBibliography"/>
        <w:ind w:left="720" w:hanging="720"/>
      </w:pPr>
      <w:r w:rsidRPr="00883D76">
        <w:t>6.</w:t>
      </w:r>
      <w:r w:rsidRPr="00883D76">
        <w:tab/>
        <w:t>A. Haddrell</w:t>
      </w:r>
      <w:r w:rsidRPr="00883D76">
        <w:rPr>
          <w:i/>
        </w:rPr>
        <w:t xml:space="preserve"> et al.</w:t>
      </w:r>
      <w:r w:rsidRPr="00883D76">
        <w:t xml:space="preserve">, </w:t>
      </w:r>
      <w:proofErr w:type="spellStart"/>
      <w:r w:rsidRPr="00883D76">
        <w:t>Differences</w:t>
      </w:r>
      <w:proofErr w:type="spellEnd"/>
      <w:r w:rsidRPr="00883D76">
        <w:t xml:space="preserve"> in </w:t>
      </w:r>
      <w:proofErr w:type="spellStart"/>
      <w:r w:rsidRPr="00883D76">
        <w:t>airborne</w:t>
      </w:r>
      <w:proofErr w:type="spellEnd"/>
      <w:r w:rsidRPr="00883D76">
        <w:t xml:space="preserve"> </w:t>
      </w:r>
      <w:proofErr w:type="spellStart"/>
      <w:r w:rsidRPr="00883D76">
        <w:t>stability</w:t>
      </w:r>
      <w:proofErr w:type="spellEnd"/>
      <w:r w:rsidRPr="00883D76">
        <w:t xml:space="preserve"> </w:t>
      </w:r>
      <w:proofErr w:type="spellStart"/>
      <w:r w:rsidRPr="00883D76">
        <w:t>of</w:t>
      </w:r>
      <w:proofErr w:type="spellEnd"/>
      <w:r w:rsidRPr="00883D76">
        <w:t xml:space="preserve"> SARS-CoV-2 </w:t>
      </w:r>
      <w:proofErr w:type="spellStart"/>
      <w:r w:rsidRPr="00883D76">
        <w:t>variants</w:t>
      </w:r>
      <w:proofErr w:type="spellEnd"/>
      <w:r w:rsidRPr="00883D76">
        <w:t xml:space="preserve"> </w:t>
      </w:r>
      <w:proofErr w:type="spellStart"/>
      <w:r w:rsidRPr="00883D76">
        <w:t>of</w:t>
      </w:r>
      <w:proofErr w:type="spellEnd"/>
      <w:r w:rsidRPr="00883D76">
        <w:t xml:space="preserve"> </w:t>
      </w:r>
      <w:proofErr w:type="spellStart"/>
      <w:r w:rsidRPr="00883D76">
        <w:t>concern</w:t>
      </w:r>
      <w:proofErr w:type="spellEnd"/>
      <w:r w:rsidRPr="00883D76">
        <w:t xml:space="preserve"> </w:t>
      </w:r>
      <w:proofErr w:type="spellStart"/>
      <w:r w:rsidRPr="00883D76">
        <w:t>is</w:t>
      </w:r>
      <w:proofErr w:type="spellEnd"/>
      <w:r w:rsidRPr="00883D76">
        <w:t xml:space="preserve"> </w:t>
      </w:r>
      <w:proofErr w:type="spellStart"/>
      <w:r w:rsidRPr="00883D76">
        <w:t>impacted</w:t>
      </w:r>
      <w:proofErr w:type="spellEnd"/>
      <w:r w:rsidRPr="00883D76">
        <w:t xml:space="preserve"> </w:t>
      </w:r>
      <w:proofErr w:type="spellStart"/>
      <w:r w:rsidRPr="00883D76">
        <w:t>by</w:t>
      </w:r>
      <w:proofErr w:type="spellEnd"/>
      <w:r w:rsidRPr="00883D76">
        <w:t xml:space="preserve"> </w:t>
      </w:r>
      <w:proofErr w:type="spellStart"/>
      <w:r w:rsidRPr="00883D76">
        <w:t>alkalinity</w:t>
      </w:r>
      <w:proofErr w:type="spellEnd"/>
      <w:r w:rsidRPr="00883D76">
        <w:t xml:space="preserve"> </w:t>
      </w:r>
      <w:proofErr w:type="spellStart"/>
      <w:r w:rsidRPr="00883D76">
        <w:t>of</w:t>
      </w:r>
      <w:proofErr w:type="spellEnd"/>
      <w:r w:rsidRPr="00883D76">
        <w:t xml:space="preserve"> </w:t>
      </w:r>
      <w:proofErr w:type="spellStart"/>
      <w:r w:rsidRPr="00883D76">
        <w:t>surrogates</w:t>
      </w:r>
      <w:proofErr w:type="spellEnd"/>
      <w:r w:rsidRPr="00883D76">
        <w:t xml:space="preserve"> </w:t>
      </w:r>
      <w:proofErr w:type="spellStart"/>
      <w:r w:rsidRPr="00883D76">
        <w:t>of</w:t>
      </w:r>
      <w:proofErr w:type="spellEnd"/>
      <w:r w:rsidRPr="00883D76">
        <w:t xml:space="preserve"> </w:t>
      </w:r>
      <w:proofErr w:type="spellStart"/>
      <w:r w:rsidRPr="00883D76">
        <w:t>respiratory</w:t>
      </w:r>
      <w:proofErr w:type="spellEnd"/>
      <w:r w:rsidRPr="00883D76">
        <w:t xml:space="preserve"> aerosol. </w:t>
      </w:r>
      <w:r w:rsidRPr="00883D76">
        <w:rPr>
          <w:i/>
        </w:rPr>
        <w:t xml:space="preserve">J R </w:t>
      </w:r>
      <w:proofErr w:type="spellStart"/>
      <w:r w:rsidRPr="00883D76">
        <w:rPr>
          <w:i/>
        </w:rPr>
        <w:t>Soc</w:t>
      </w:r>
      <w:proofErr w:type="spellEnd"/>
      <w:r w:rsidRPr="00883D76">
        <w:rPr>
          <w:i/>
        </w:rPr>
        <w:t xml:space="preserve"> Interface</w:t>
      </w:r>
      <w:r w:rsidRPr="00883D76">
        <w:t xml:space="preserve"> </w:t>
      </w:r>
      <w:r w:rsidRPr="00883D76">
        <w:rPr>
          <w:b/>
        </w:rPr>
        <w:t>20</w:t>
      </w:r>
      <w:r w:rsidRPr="00883D76">
        <w:t>, 20230062 (2023).</w:t>
      </w:r>
    </w:p>
    <w:p w14:paraId="2E357C39" w14:textId="77777777" w:rsidR="00987BBD" w:rsidRPr="00883D76" w:rsidRDefault="00987BBD" w:rsidP="00987BBD">
      <w:pPr>
        <w:pStyle w:val="EndNoteBibliography"/>
        <w:ind w:left="720" w:hanging="720"/>
      </w:pPr>
      <w:r w:rsidRPr="00883D76">
        <w:t>7.</w:t>
      </w:r>
      <w:r w:rsidRPr="00883D76">
        <w:tab/>
        <w:t xml:space="preserve">A. Haddrell, G. </w:t>
      </w:r>
      <w:proofErr w:type="spellStart"/>
      <w:r w:rsidRPr="00883D76">
        <w:t>Rovelli</w:t>
      </w:r>
      <w:proofErr w:type="spellEnd"/>
      <w:r w:rsidRPr="00883D76">
        <w:t xml:space="preserve">, D. Lewis, T. </w:t>
      </w:r>
      <w:proofErr w:type="spellStart"/>
      <w:r w:rsidRPr="00883D76">
        <w:t>Church</w:t>
      </w:r>
      <w:proofErr w:type="spellEnd"/>
      <w:r w:rsidRPr="00883D76">
        <w:t xml:space="preserve">, J. Reid, </w:t>
      </w:r>
      <w:proofErr w:type="spellStart"/>
      <w:r w:rsidRPr="00883D76">
        <w:t>Identifying</w:t>
      </w:r>
      <w:proofErr w:type="spellEnd"/>
      <w:r w:rsidRPr="00883D76">
        <w:t xml:space="preserve"> time-</w:t>
      </w:r>
      <w:proofErr w:type="spellStart"/>
      <w:r w:rsidRPr="00883D76">
        <w:t>dependent</w:t>
      </w:r>
      <w:proofErr w:type="spellEnd"/>
      <w:r w:rsidRPr="00883D76">
        <w:t xml:space="preserve"> </w:t>
      </w:r>
      <w:proofErr w:type="spellStart"/>
      <w:r w:rsidRPr="00883D76">
        <w:t>changes</w:t>
      </w:r>
      <w:proofErr w:type="spellEnd"/>
      <w:r w:rsidRPr="00883D76">
        <w:t xml:space="preserve"> in </w:t>
      </w:r>
      <w:proofErr w:type="spellStart"/>
      <w:r w:rsidRPr="00883D76">
        <w:t>the</w:t>
      </w:r>
      <w:proofErr w:type="spellEnd"/>
      <w:r w:rsidRPr="00883D76">
        <w:t xml:space="preserve"> </w:t>
      </w:r>
      <w:proofErr w:type="spellStart"/>
      <w:r w:rsidRPr="00883D76">
        <w:t>morphology</w:t>
      </w:r>
      <w:proofErr w:type="spellEnd"/>
      <w:r w:rsidRPr="00883D76">
        <w:t xml:space="preserve"> </w:t>
      </w:r>
      <w:proofErr w:type="spellStart"/>
      <w:r w:rsidRPr="00883D76">
        <w:t>of</w:t>
      </w:r>
      <w:proofErr w:type="spellEnd"/>
      <w:r w:rsidRPr="00883D76">
        <w:t xml:space="preserve"> </w:t>
      </w:r>
      <w:proofErr w:type="spellStart"/>
      <w:r w:rsidRPr="00883D76">
        <w:t>an</w:t>
      </w:r>
      <w:proofErr w:type="spellEnd"/>
      <w:r w:rsidRPr="00883D76">
        <w:t xml:space="preserve"> individual aerosol </w:t>
      </w:r>
      <w:proofErr w:type="spellStart"/>
      <w:r w:rsidRPr="00883D76">
        <w:t>particle</w:t>
      </w:r>
      <w:proofErr w:type="spellEnd"/>
      <w:r w:rsidRPr="00883D76">
        <w:t xml:space="preserve"> </w:t>
      </w:r>
      <w:proofErr w:type="spellStart"/>
      <w:r w:rsidRPr="00883D76">
        <w:t>from</w:t>
      </w:r>
      <w:proofErr w:type="spellEnd"/>
      <w:r w:rsidRPr="00883D76">
        <w:t xml:space="preserve"> </w:t>
      </w:r>
      <w:proofErr w:type="spellStart"/>
      <w:r w:rsidRPr="00883D76">
        <w:t>its</w:t>
      </w:r>
      <w:proofErr w:type="spellEnd"/>
      <w:r w:rsidRPr="00883D76">
        <w:t xml:space="preserve"> light </w:t>
      </w:r>
      <w:proofErr w:type="spellStart"/>
      <w:r w:rsidRPr="00883D76">
        <w:t>scattering</w:t>
      </w:r>
      <w:proofErr w:type="spellEnd"/>
      <w:r w:rsidRPr="00883D76">
        <w:t xml:space="preserve"> </w:t>
      </w:r>
      <w:proofErr w:type="spellStart"/>
      <w:r w:rsidRPr="00883D76">
        <w:t>pattern</w:t>
      </w:r>
      <w:proofErr w:type="spellEnd"/>
      <w:r w:rsidRPr="00883D76">
        <w:t xml:space="preserve">. </w:t>
      </w:r>
      <w:r w:rsidRPr="00883D76">
        <w:rPr>
          <w:i/>
        </w:rPr>
        <w:t xml:space="preserve">Aerosol </w:t>
      </w:r>
      <w:proofErr w:type="spellStart"/>
      <w:r w:rsidRPr="00883D76">
        <w:rPr>
          <w:i/>
        </w:rPr>
        <w:t>Sci</w:t>
      </w:r>
      <w:proofErr w:type="spellEnd"/>
      <w:r w:rsidRPr="00883D76">
        <w:rPr>
          <w:i/>
        </w:rPr>
        <w:t xml:space="preserve"> </w:t>
      </w:r>
      <w:proofErr w:type="spellStart"/>
      <w:r w:rsidRPr="00883D76">
        <w:rPr>
          <w:i/>
        </w:rPr>
        <w:t>Tech</w:t>
      </w:r>
      <w:proofErr w:type="spellEnd"/>
      <w:r w:rsidRPr="00883D76">
        <w:t xml:space="preserve"> </w:t>
      </w:r>
      <w:r w:rsidRPr="00883D76">
        <w:rPr>
          <w:b/>
        </w:rPr>
        <w:t>53</w:t>
      </w:r>
      <w:r w:rsidRPr="00883D76">
        <w:t>, 1334-1351 (2019).</w:t>
      </w:r>
    </w:p>
    <w:p w14:paraId="54EB7497" w14:textId="77777777" w:rsidR="00987BBD" w:rsidRDefault="00987BBD" w:rsidP="00987BBD">
      <w:r>
        <w:fldChar w:fldCharType="end"/>
      </w:r>
    </w:p>
    <w:p w14:paraId="67E4B58C" w14:textId="77777777" w:rsidR="00987BBD" w:rsidRPr="00957297" w:rsidRDefault="00987BBD" w:rsidP="00987BBD">
      <w:pPr>
        <w:spacing w:after="160" w:line="259" w:lineRule="auto"/>
        <w:rPr>
          <w:sz w:val="22"/>
          <w:szCs w:val="22"/>
          <w:lang w:val="en-GB"/>
        </w:rPr>
      </w:pPr>
    </w:p>
    <w:p w14:paraId="61572E1B" w14:textId="77777777" w:rsidR="00005535" w:rsidRDefault="00005535"/>
    <w:sectPr w:rsidR="00005535">
      <w:headerReference w:type="default" r:id="rId9"/>
      <w:footerReference w:type="default" r:id="rId10"/>
      <w:headerReference w:type="first" r:id="rId11"/>
      <w:footerReference w:type="first" r:id="rId12"/>
      <w:pgSz w:w="11906" w:h="16838"/>
      <w:pgMar w:top="1440" w:right="1440" w:bottom="1440" w:left="1440" w:header="708" w:footer="708"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7D0C4" w14:textId="77777777" w:rsidR="00FF52B5" w:rsidRDefault="00987BBD">
    <w:pPr>
      <w:pStyle w:val="Footer"/>
    </w:pPr>
    <w:r>
      <w:fldChar w:fldCharType="begin"/>
    </w:r>
    <w:r>
      <w:instrText xml:space="preserve"> PAGE </w:instrText>
    </w:r>
    <w:r>
      <w:fldChar w:fldCharType="separate"/>
    </w:r>
    <w:r>
      <w:t>35</w:t>
    </w:r>
    <w:r>
      <w:fldChar w:fldCharType="end"/>
    </w:r>
  </w:p>
  <w:p w14:paraId="7CF09B68" w14:textId="77777777" w:rsidR="00FF52B5" w:rsidRDefault="00987B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1EFD9" w14:textId="77777777" w:rsidR="00FF52B5" w:rsidRDefault="00987BBD"/>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E07E9" w14:textId="77777777" w:rsidR="00FF52B5" w:rsidRDefault="00987BBD">
    <w:pPr>
      <w:pStyle w:val="Header"/>
      <w:rPr>
        <w:sz w:val="22"/>
      </w:rPr>
    </w:pPr>
  </w:p>
  <w:p w14:paraId="7D127625" w14:textId="77777777" w:rsidR="00FF52B5" w:rsidRDefault="00987BBD">
    <w:pPr>
      <w:pStyle w:val="Header"/>
      <w:rPr>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29E2D" w14:textId="77777777" w:rsidR="00FF52B5" w:rsidRDefault="00987BB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BBD"/>
    <w:rsid w:val="00005535"/>
    <w:rsid w:val="005F4913"/>
    <w:rsid w:val="007A1B37"/>
    <w:rsid w:val="00966CD6"/>
    <w:rsid w:val="00987B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ABD9E"/>
  <w15:chartTrackingRefBased/>
  <w15:docId w15:val="{93E9BA05-FE5A-432A-AF8D-3C15C7D91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BBD"/>
    <w:pPr>
      <w:suppressAutoHyphens/>
      <w:spacing w:after="0" w:line="240" w:lineRule="auto"/>
    </w:pPr>
    <w:rPr>
      <w:rFonts w:ascii="Times New Roman" w:eastAsia="Times New Roman" w:hAnsi="Times New Roman" w:cs="Times New Roman"/>
      <w:kern w:val="0"/>
      <w:sz w:val="20"/>
      <w:szCs w:val="20"/>
      <w:lang w:val="en-US" w:eastAsia="es-E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qFormat/>
    <w:rsid w:val="00987BBD"/>
    <w:rPr>
      <w:rFonts w:ascii="Times New Roman" w:eastAsia="Times New Roman" w:hAnsi="Times New Roman" w:cs="Times New Roman"/>
      <w:szCs w:val="20"/>
      <w:lang w:val="en-US" w:eastAsia="es-ES"/>
    </w:rPr>
  </w:style>
  <w:style w:type="character" w:customStyle="1" w:styleId="HeaderChar">
    <w:name w:val="Header Char"/>
    <w:basedOn w:val="DefaultParagraphFont"/>
    <w:link w:val="Header"/>
    <w:qFormat/>
    <w:rsid w:val="00987BBD"/>
    <w:rPr>
      <w:rFonts w:ascii="Times New Roman" w:eastAsia="Times New Roman" w:hAnsi="Times New Roman" w:cs="Times New Roman"/>
      <w:sz w:val="20"/>
      <w:szCs w:val="20"/>
      <w:lang w:val="en-US" w:eastAsia="es-ES"/>
    </w:rPr>
  </w:style>
  <w:style w:type="character" w:customStyle="1" w:styleId="FooterChar">
    <w:name w:val="Footer Char"/>
    <w:basedOn w:val="DefaultParagraphFont"/>
    <w:link w:val="Footer"/>
    <w:uiPriority w:val="99"/>
    <w:qFormat/>
    <w:rsid w:val="00987BBD"/>
    <w:rPr>
      <w:rFonts w:ascii="Times New Roman" w:eastAsia="Times New Roman" w:hAnsi="Times New Roman" w:cs="Times New Roman"/>
      <w:sz w:val="20"/>
      <w:szCs w:val="20"/>
      <w:lang w:val="en-US" w:eastAsia="es-ES"/>
    </w:rPr>
  </w:style>
  <w:style w:type="character" w:customStyle="1" w:styleId="EndNoteBibliographyChar">
    <w:name w:val="EndNote Bibliography Char"/>
    <w:basedOn w:val="BodyTextChar"/>
    <w:link w:val="EndNoteBibliography"/>
    <w:qFormat/>
    <w:rsid w:val="00987BBD"/>
    <w:rPr>
      <w:rFonts w:ascii="Times New Roman" w:eastAsia="Times New Roman" w:hAnsi="Times New Roman" w:cs="Times New Roman"/>
      <w:sz w:val="20"/>
      <w:szCs w:val="20"/>
      <w:lang w:val="es-ES" w:eastAsia="es-ES"/>
    </w:rPr>
  </w:style>
  <w:style w:type="paragraph" w:styleId="BodyText">
    <w:name w:val="Body Text"/>
    <w:basedOn w:val="Normal"/>
    <w:link w:val="BodyTextChar"/>
    <w:rsid w:val="00987BBD"/>
    <w:rPr>
      <w:kern w:val="2"/>
      <w:sz w:val="22"/>
      <w14:ligatures w14:val="standardContextual"/>
    </w:rPr>
  </w:style>
  <w:style w:type="character" w:customStyle="1" w:styleId="BodyTextChar1">
    <w:name w:val="Body Text Char1"/>
    <w:basedOn w:val="DefaultParagraphFont"/>
    <w:uiPriority w:val="99"/>
    <w:semiHidden/>
    <w:rsid w:val="00987BBD"/>
    <w:rPr>
      <w:rFonts w:ascii="Times New Roman" w:eastAsia="Times New Roman" w:hAnsi="Times New Roman" w:cs="Times New Roman"/>
      <w:kern w:val="0"/>
      <w:sz w:val="20"/>
      <w:szCs w:val="20"/>
      <w:lang w:val="en-US" w:eastAsia="es-ES"/>
      <w14:ligatures w14:val="none"/>
    </w:rPr>
  </w:style>
  <w:style w:type="paragraph" w:styleId="Header">
    <w:name w:val="header"/>
    <w:basedOn w:val="Normal"/>
    <w:link w:val="HeaderChar"/>
    <w:rsid w:val="00987BBD"/>
    <w:pPr>
      <w:tabs>
        <w:tab w:val="center" w:pos="4320"/>
        <w:tab w:val="right" w:pos="8640"/>
      </w:tabs>
    </w:pPr>
    <w:rPr>
      <w:kern w:val="2"/>
      <w14:ligatures w14:val="standardContextual"/>
    </w:rPr>
  </w:style>
  <w:style w:type="character" w:customStyle="1" w:styleId="HeaderChar1">
    <w:name w:val="Header Char1"/>
    <w:basedOn w:val="DefaultParagraphFont"/>
    <w:uiPriority w:val="99"/>
    <w:semiHidden/>
    <w:rsid w:val="00987BBD"/>
    <w:rPr>
      <w:rFonts w:ascii="Times New Roman" w:eastAsia="Times New Roman" w:hAnsi="Times New Roman" w:cs="Times New Roman"/>
      <w:kern w:val="0"/>
      <w:sz w:val="20"/>
      <w:szCs w:val="20"/>
      <w:lang w:val="en-US" w:eastAsia="es-ES"/>
      <w14:ligatures w14:val="none"/>
    </w:rPr>
  </w:style>
  <w:style w:type="paragraph" w:styleId="Footer">
    <w:name w:val="footer"/>
    <w:basedOn w:val="Normal"/>
    <w:link w:val="FooterChar"/>
    <w:uiPriority w:val="99"/>
    <w:rsid w:val="00987BBD"/>
    <w:pPr>
      <w:tabs>
        <w:tab w:val="center" w:pos="4320"/>
        <w:tab w:val="right" w:pos="8640"/>
      </w:tabs>
    </w:pPr>
    <w:rPr>
      <w:kern w:val="2"/>
      <w14:ligatures w14:val="standardContextual"/>
    </w:rPr>
  </w:style>
  <w:style w:type="character" w:customStyle="1" w:styleId="FooterChar1">
    <w:name w:val="Footer Char1"/>
    <w:basedOn w:val="DefaultParagraphFont"/>
    <w:uiPriority w:val="99"/>
    <w:semiHidden/>
    <w:rsid w:val="00987BBD"/>
    <w:rPr>
      <w:rFonts w:ascii="Times New Roman" w:eastAsia="Times New Roman" w:hAnsi="Times New Roman" w:cs="Times New Roman"/>
      <w:kern w:val="0"/>
      <w:sz w:val="20"/>
      <w:szCs w:val="20"/>
      <w:lang w:val="en-US" w:eastAsia="es-ES"/>
      <w14:ligatures w14:val="none"/>
    </w:rPr>
  </w:style>
  <w:style w:type="paragraph" w:customStyle="1" w:styleId="EndNoteBibliography">
    <w:name w:val="EndNote Bibliography"/>
    <w:basedOn w:val="Normal"/>
    <w:link w:val="EndNoteBibliographyChar"/>
    <w:qFormat/>
    <w:rsid w:val="00987BBD"/>
    <w:rPr>
      <w:kern w:val="2"/>
      <w:lang w:val="es-E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eader" Target="header2.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2486</Words>
  <Characters>14174</Characters>
  <Application>Microsoft Office Word</Application>
  <DocSecurity>0</DocSecurity>
  <Lines>118</Lines>
  <Paragraphs>33</Paragraphs>
  <ScaleCrop>false</ScaleCrop>
  <Company/>
  <LinksUpToDate>false</LinksUpToDate>
  <CharactersWithSpaces>16627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Haddrell</dc:creator>
  <cp:keywords/>
  <dc:description/>
  <cp:lastModifiedBy>Allen Haddrell</cp:lastModifiedBy>
  <cp:revision>1</cp:revision>
  <dcterms:created xsi:type="dcterms:W3CDTF">2023-08-02T17:52:00Z</dcterms:created>
  <dcterms:modified xsi:type="dcterms:W3CDTF">2023-08-02T17:52:00Z</dcterms:modified>
</cp:coreProperties>
</file>