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F095C" w14:textId="454590F4" w:rsidR="00856572" w:rsidRPr="00856572" w:rsidRDefault="00856572" w:rsidP="00856572">
      <w:pPr>
        <w:pStyle w:val="Caption"/>
        <w:keepNext/>
        <w:rPr>
          <w:rFonts w:ascii="Times New Roman" w:hAnsi="Times New Roman" w:cs="Times New Roman"/>
          <w:i w:val="0"/>
          <w:iCs w:val="0"/>
          <w:color w:val="000000" w:themeColor="text1"/>
          <w:sz w:val="22"/>
          <w:szCs w:val="22"/>
        </w:rPr>
      </w:pPr>
      <w:r w:rsidRPr="00856572">
        <w:rPr>
          <w:rFonts w:ascii="Times New Roman" w:hAnsi="Times New Roman" w:cs="Times New Roman"/>
          <w:b/>
          <w:bCs/>
          <w:i w:val="0"/>
          <w:iCs w:val="0"/>
          <w:color w:val="000000" w:themeColor="text1"/>
          <w:sz w:val="22"/>
          <w:szCs w:val="22"/>
        </w:rPr>
        <w:t>Table S3.</w:t>
      </w:r>
      <w:r w:rsidRPr="00856572">
        <w:rPr>
          <w:rFonts w:ascii="Times New Roman" w:hAnsi="Times New Roman" w:cs="Times New Roman"/>
          <w:i w:val="0"/>
          <w:iCs w:val="0"/>
          <w:color w:val="000000" w:themeColor="text1"/>
          <w:sz w:val="22"/>
          <w:szCs w:val="22"/>
        </w:rPr>
        <w:t xml:space="preserve"> Basic definitions and examples for adjustment factors and multipliers used in bank credit generation (top). </w:t>
      </w:r>
      <w:r w:rsidRPr="00856572">
        <w:rPr>
          <w:rFonts w:ascii="Times New Roman" w:hAnsi="Times New Roman" w:cs="Times New Roman"/>
          <w:i w:val="0"/>
          <w:iCs w:val="0"/>
          <w:color w:val="000000" w:themeColor="text1"/>
          <w:sz w:val="22"/>
          <w:szCs w:val="22"/>
        </w:rPr>
        <w:t xml:space="preserve"> Commonly considered aspects for debit and credit adjustment factors</w:t>
      </w:r>
      <w:r w:rsidRPr="00856572">
        <w:rPr>
          <w:rFonts w:ascii="Times New Roman" w:hAnsi="Times New Roman" w:cs="Times New Roman"/>
          <w:i w:val="0"/>
          <w:iCs w:val="0"/>
          <w:color w:val="000000" w:themeColor="text1"/>
          <w:sz w:val="22"/>
          <w:szCs w:val="22"/>
        </w:rPr>
        <w:t xml:space="preserve"> (bottom)</w:t>
      </w:r>
      <w:r w:rsidRPr="00856572">
        <w:rPr>
          <w:rFonts w:ascii="Times New Roman" w:hAnsi="Times New Roman" w:cs="Times New Roman"/>
          <w:i w:val="0"/>
          <w:iCs w:val="0"/>
          <w:color w:val="000000" w:themeColor="text1"/>
          <w:sz w:val="22"/>
          <w:szCs w:val="22"/>
        </w:rPr>
        <w:t>.</w:t>
      </w:r>
    </w:p>
    <w:tbl>
      <w:tblPr>
        <w:tblStyle w:val="TableGrid"/>
        <w:tblW w:w="0" w:type="auto"/>
        <w:tblLook w:val="04A0" w:firstRow="1" w:lastRow="0" w:firstColumn="1" w:lastColumn="0" w:noHBand="0" w:noVBand="1"/>
      </w:tblPr>
      <w:tblGrid>
        <w:gridCol w:w="4675"/>
        <w:gridCol w:w="4675"/>
      </w:tblGrid>
      <w:tr w:rsidR="00856572" w14:paraId="09A31B33" w14:textId="77777777" w:rsidTr="00856572">
        <w:tc>
          <w:tcPr>
            <w:tcW w:w="9350" w:type="dxa"/>
            <w:gridSpan w:val="2"/>
          </w:tcPr>
          <w:p w14:paraId="0A7D72A0" w14:textId="5F092B3D" w:rsidR="00856572" w:rsidRPr="00856572" w:rsidRDefault="00856572" w:rsidP="00856572">
            <w:pPr>
              <w:keepNext/>
              <w:keepLines/>
              <w:spacing w:before="120" w:after="240" w:line="276" w:lineRule="auto"/>
              <w:outlineLvl w:val="1"/>
              <w:rPr>
                <w:rFonts w:ascii="Times New Roman" w:eastAsiaTheme="majorEastAsia" w:hAnsi="Times New Roman" w:cs="Times New Roman"/>
                <w:b/>
                <w:iCs/>
                <w:caps/>
                <w:lang w:val="en-US"/>
              </w:rPr>
            </w:pPr>
            <w:bookmarkStart w:id="0" w:name="_Toc99286231"/>
            <w:bookmarkStart w:id="1" w:name="_Toc99367654"/>
            <w:r w:rsidRPr="00856572">
              <w:rPr>
                <w:rFonts w:ascii="Times New Roman" w:eastAsiaTheme="majorEastAsia" w:hAnsi="Times New Roman" w:cs="Times New Roman"/>
                <w:b/>
                <w:iCs/>
                <w:lang w:val="en-US"/>
              </w:rPr>
              <w:t>Adjustment factors – discount factors and multipliers</w:t>
            </w:r>
            <w:bookmarkEnd w:id="0"/>
            <w:bookmarkEnd w:id="1"/>
          </w:p>
        </w:tc>
      </w:tr>
      <w:tr w:rsidR="00856572" w14:paraId="1A68A18B" w14:textId="77777777" w:rsidTr="00856572">
        <w:tc>
          <w:tcPr>
            <w:tcW w:w="9350" w:type="dxa"/>
            <w:gridSpan w:val="2"/>
          </w:tcPr>
          <w:p w14:paraId="51573A69" w14:textId="1111BF76" w:rsidR="00856572" w:rsidRPr="00856572" w:rsidRDefault="00856572" w:rsidP="00856572">
            <w:pPr>
              <w:spacing w:before="120" w:line="276" w:lineRule="auto"/>
              <w:rPr>
                <w:rFonts w:ascii="Times New Roman" w:hAnsi="Times New Roman" w:cs="Times New Roman"/>
              </w:rPr>
            </w:pPr>
            <w:r w:rsidRPr="00856572">
              <w:rPr>
                <w:rFonts w:ascii="Times New Roman" w:hAnsi="Times New Roman" w:cs="Times New Roman"/>
              </w:rPr>
              <w:t xml:space="preserve">Adjustment factors are used by many banks and during the crediting (quantified or expected gains) and debiting (predicted negative impact and losses) process to account for uncertainty and support specific management or policy goals. An example would be a specific compensation method that has little to no scientific support or has been proven to be unreliable or less likely to lead to successful outcomes compare to other methods. Consequently, said method would receive a </w:t>
            </w:r>
            <w:r w:rsidRPr="00856572">
              <w:rPr>
                <w:rFonts w:ascii="Times New Roman" w:hAnsi="Times New Roman" w:cs="Times New Roman"/>
                <w:b/>
                <w:bCs/>
              </w:rPr>
              <w:t>discount factor</w:t>
            </w:r>
            <w:r w:rsidRPr="00856572">
              <w:rPr>
                <w:rFonts w:ascii="Times New Roman" w:hAnsi="Times New Roman" w:cs="Times New Roman"/>
              </w:rPr>
              <w:t xml:space="preserve"> leading to less credits generated. Characteristics for good compensatory methods are generally accepted to include, but are not exclusive, to: Science-based; Provide a reasonably precise measure for function/condition; Developed in collaboration with stakeholders and policy makers; Repeatable and transparent design and metrics; Easy to implement; Roughly proportional relationship between</w:t>
            </w:r>
            <w:r w:rsidRPr="00856572">
              <w:rPr>
                <w:rFonts w:ascii="Times New Roman" w:hAnsi="Times New Roman" w:cs="Times New Roman"/>
              </w:rPr>
              <w:t xml:space="preserve"> </w:t>
            </w:r>
            <w:r w:rsidRPr="00856572">
              <w:rPr>
                <w:rFonts w:ascii="Times New Roman" w:hAnsi="Times New Roman" w:cs="Times New Roman"/>
              </w:rPr>
              <w:t xml:space="preserve">impacts and offsets; Include consideration for landscape context and connectivity. </w:t>
            </w:r>
          </w:p>
        </w:tc>
      </w:tr>
      <w:tr w:rsidR="00856572" w14:paraId="0B61EB24" w14:textId="77777777" w:rsidTr="00856572">
        <w:tc>
          <w:tcPr>
            <w:tcW w:w="9350" w:type="dxa"/>
            <w:gridSpan w:val="2"/>
          </w:tcPr>
          <w:p w14:paraId="3B0A0B57" w14:textId="4153F69F" w:rsidR="00856572" w:rsidRPr="00856572" w:rsidRDefault="00856572" w:rsidP="00856572">
            <w:pPr>
              <w:spacing w:line="276" w:lineRule="auto"/>
              <w:rPr>
                <w:rFonts w:ascii="Times New Roman" w:hAnsi="Times New Roman" w:cs="Times New Roman"/>
              </w:rPr>
            </w:pPr>
            <w:r w:rsidRPr="00856572">
              <w:rPr>
                <w:rFonts w:ascii="Times New Roman" w:hAnsi="Times New Roman" w:cs="Times New Roman"/>
              </w:rPr>
              <w:t xml:space="preserve">A </w:t>
            </w:r>
            <w:r w:rsidRPr="00856572">
              <w:rPr>
                <w:rFonts w:ascii="Times New Roman" w:hAnsi="Times New Roman" w:cs="Times New Roman"/>
                <w:b/>
                <w:bCs/>
              </w:rPr>
              <w:t>multiplier</w:t>
            </w:r>
            <w:r w:rsidRPr="00856572">
              <w:rPr>
                <w:rFonts w:ascii="Times New Roman" w:hAnsi="Times New Roman" w:cs="Times New Roman"/>
              </w:rPr>
              <w:t xml:space="preserve"> can be assigned to essential or crucial habitat, increasing the amount of compensation necessary to disincentive projects in the area. These factors do not relate to the chosen methods described previously but are applied independently from whether Functional, Conditions or Ratio methods are chosen. Overall province or region-specific guidance documents can be a useful base for project managers and stakeholders. Assessment, approval, and implementation processes usually benefit greatly from interagency review teams (IRTs). </w:t>
            </w:r>
          </w:p>
        </w:tc>
      </w:tr>
      <w:tr w:rsidR="00856572" w14:paraId="5A6D561B" w14:textId="77777777" w:rsidTr="00856572">
        <w:tc>
          <w:tcPr>
            <w:tcW w:w="9350" w:type="dxa"/>
            <w:gridSpan w:val="2"/>
          </w:tcPr>
          <w:p w14:paraId="3BFC559E" w14:textId="66A9BD24" w:rsidR="00856572" w:rsidRPr="00856572" w:rsidRDefault="00856572" w:rsidP="00856572">
            <w:pPr>
              <w:spacing w:before="120" w:line="480" w:lineRule="auto"/>
              <w:rPr>
                <w:rFonts w:ascii="Times New Roman" w:hAnsi="Times New Roman" w:cs="Times New Roman"/>
              </w:rPr>
            </w:pPr>
            <w:r w:rsidRPr="00856572">
              <w:rPr>
                <w:rFonts w:ascii="Times New Roman" w:hAnsi="Times New Roman" w:cs="Times New Roman"/>
              </w:rPr>
              <w:t>Adjustment factors can be split into the debit and credit side of the offsetting process</w:t>
            </w:r>
            <w:r w:rsidRPr="00856572">
              <w:rPr>
                <w:rFonts w:ascii="Times New Roman" w:hAnsi="Times New Roman" w:cs="Times New Roman"/>
              </w:rPr>
              <w:t>:</w:t>
            </w:r>
          </w:p>
        </w:tc>
      </w:tr>
      <w:tr w:rsidR="00856572" w:rsidRPr="00856572" w14:paraId="728C8C08" w14:textId="77777777" w:rsidTr="00FB6C59">
        <w:tc>
          <w:tcPr>
            <w:tcW w:w="4675" w:type="dxa"/>
            <w:shd w:val="clear" w:color="auto" w:fill="D9D9D9" w:themeFill="background1" w:themeFillShade="D9"/>
          </w:tcPr>
          <w:p w14:paraId="3FF7425D" w14:textId="77777777" w:rsidR="00856572" w:rsidRPr="00856572" w:rsidRDefault="00856572" w:rsidP="00856572">
            <w:pPr>
              <w:spacing w:line="360" w:lineRule="auto"/>
              <w:rPr>
                <w:rFonts w:ascii="Times New Roman" w:hAnsi="Times New Roman" w:cs="Times New Roman"/>
                <w:b/>
                <w:bCs/>
              </w:rPr>
            </w:pPr>
            <w:r w:rsidRPr="00856572">
              <w:rPr>
                <w:rFonts w:ascii="Times New Roman" w:hAnsi="Times New Roman" w:cs="Times New Roman"/>
                <w:b/>
                <w:bCs/>
              </w:rPr>
              <w:t>Debit side adjustment factor</w:t>
            </w:r>
          </w:p>
        </w:tc>
        <w:tc>
          <w:tcPr>
            <w:tcW w:w="4675" w:type="dxa"/>
            <w:shd w:val="clear" w:color="auto" w:fill="D9D9D9" w:themeFill="background1" w:themeFillShade="D9"/>
          </w:tcPr>
          <w:p w14:paraId="0BB9D0D1" w14:textId="77777777" w:rsidR="00856572" w:rsidRPr="00856572" w:rsidRDefault="00856572" w:rsidP="00856572">
            <w:pPr>
              <w:spacing w:line="360" w:lineRule="auto"/>
              <w:rPr>
                <w:rFonts w:ascii="Times New Roman" w:hAnsi="Times New Roman" w:cs="Times New Roman"/>
                <w:b/>
                <w:bCs/>
              </w:rPr>
            </w:pPr>
            <w:r w:rsidRPr="00856572">
              <w:rPr>
                <w:rFonts w:ascii="Times New Roman" w:hAnsi="Times New Roman" w:cs="Times New Roman"/>
                <w:b/>
                <w:bCs/>
              </w:rPr>
              <w:t>Credit side adjustment factor</w:t>
            </w:r>
          </w:p>
        </w:tc>
      </w:tr>
      <w:tr w:rsidR="00856572" w:rsidRPr="00856572" w14:paraId="43495523" w14:textId="77777777" w:rsidTr="00FB6C59">
        <w:tc>
          <w:tcPr>
            <w:tcW w:w="4675" w:type="dxa"/>
          </w:tcPr>
          <w:p w14:paraId="14E51242" w14:textId="77777777" w:rsidR="00856572" w:rsidRPr="00856572" w:rsidRDefault="00856572" w:rsidP="00856572">
            <w:pPr>
              <w:spacing w:line="360" w:lineRule="auto"/>
              <w:rPr>
                <w:rFonts w:ascii="Times New Roman" w:hAnsi="Times New Roman" w:cs="Times New Roman"/>
              </w:rPr>
            </w:pPr>
            <w:r w:rsidRPr="00856572">
              <w:rPr>
                <w:rFonts w:ascii="Times New Roman" w:hAnsi="Times New Roman" w:cs="Times New Roman"/>
              </w:rPr>
              <w:t>Duration of impact</w:t>
            </w:r>
          </w:p>
        </w:tc>
        <w:tc>
          <w:tcPr>
            <w:tcW w:w="4675" w:type="dxa"/>
          </w:tcPr>
          <w:p w14:paraId="32FA317D" w14:textId="77777777" w:rsidR="00856572" w:rsidRPr="00856572" w:rsidRDefault="00856572" w:rsidP="00856572">
            <w:pPr>
              <w:spacing w:line="360" w:lineRule="auto"/>
              <w:rPr>
                <w:rFonts w:ascii="Times New Roman" w:hAnsi="Times New Roman" w:cs="Times New Roman"/>
              </w:rPr>
            </w:pPr>
            <w:r w:rsidRPr="00856572">
              <w:rPr>
                <w:rFonts w:ascii="Times New Roman" w:hAnsi="Times New Roman" w:cs="Times New Roman"/>
              </w:rPr>
              <w:t>Duration of gains and benefits</w:t>
            </w:r>
          </w:p>
        </w:tc>
      </w:tr>
      <w:tr w:rsidR="00856572" w:rsidRPr="00856572" w14:paraId="34F35384" w14:textId="77777777" w:rsidTr="00FB6C59">
        <w:tc>
          <w:tcPr>
            <w:tcW w:w="4675" w:type="dxa"/>
          </w:tcPr>
          <w:p w14:paraId="6F53F98D" w14:textId="77777777" w:rsidR="00856572" w:rsidRPr="00856572" w:rsidRDefault="00856572" w:rsidP="00856572">
            <w:pPr>
              <w:spacing w:line="360" w:lineRule="auto"/>
              <w:rPr>
                <w:rFonts w:ascii="Times New Roman" w:hAnsi="Times New Roman" w:cs="Times New Roman"/>
              </w:rPr>
            </w:pPr>
            <w:r w:rsidRPr="00856572">
              <w:rPr>
                <w:rFonts w:ascii="Times New Roman" w:hAnsi="Times New Roman" w:cs="Times New Roman"/>
              </w:rPr>
              <w:t>Timing of impact (e.g., spawning season or migration)</w:t>
            </w:r>
          </w:p>
        </w:tc>
        <w:tc>
          <w:tcPr>
            <w:tcW w:w="4675" w:type="dxa"/>
          </w:tcPr>
          <w:p w14:paraId="03998E43" w14:textId="77777777" w:rsidR="00856572" w:rsidRPr="00856572" w:rsidRDefault="00856572" w:rsidP="00856572">
            <w:pPr>
              <w:spacing w:line="360" w:lineRule="auto"/>
              <w:rPr>
                <w:rFonts w:ascii="Times New Roman" w:hAnsi="Times New Roman" w:cs="Times New Roman"/>
              </w:rPr>
            </w:pPr>
            <w:r w:rsidRPr="00856572">
              <w:rPr>
                <w:rFonts w:ascii="Times New Roman" w:hAnsi="Times New Roman" w:cs="Times New Roman"/>
              </w:rPr>
              <w:t>Compensation method (e.g., enhancement)</w:t>
            </w:r>
          </w:p>
        </w:tc>
      </w:tr>
      <w:tr w:rsidR="00856572" w:rsidRPr="00856572" w14:paraId="4C7AE5F2" w14:textId="77777777" w:rsidTr="00FB6C59">
        <w:tc>
          <w:tcPr>
            <w:tcW w:w="4675" w:type="dxa"/>
          </w:tcPr>
          <w:p w14:paraId="75D7CB1D" w14:textId="77777777" w:rsidR="00856572" w:rsidRPr="00856572" w:rsidRDefault="00856572" w:rsidP="00856572">
            <w:pPr>
              <w:spacing w:line="360" w:lineRule="auto"/>
              <w:rPr>
                <w:rFonts w:ascii="Times New Roman" w:hAnsi="Times New Roman" w:cs="Times New Roman"/>
              </w:rPr>
            </w:pPr>
            <w:r w:rsidRPr="00856572">
              <w:rPr>
                <w:rFonts w:ascii="Times New Roman" w:hAnsi="Times New Roman" w:cs="Times New Roman"/>
              </w:rPr>
              <w:t>Temporal/ time lag (time between impact and offset)</w:t>
            </w:r>
          </w:p>
        </w:tc>
        <w:tc>
          <w:tcPr>
            <w:tcW w:w="4675" w:type="dxa"/>
          </w:tcPr>
          <w:p w14:paraId="72980168" w14:textId="77777777" w:rsidR="00856572" w:rsidRPr="00856572" w:rsidRDefault="00856572" w:rsidP="00856572">
            <w:pPr>
              <w:spacing w:line="360" w:lineRule="auto"/>
              <w:rPr>
                <w:rFonts w:ascii="Times New Roman" w:hAnsi="Times New Roman" w:cs="Times New Roman"/>
              </w:rPr>
            </w:pPr>
            <w:r w:rsidRPr="00856572">
              <w:rPr>
                <w:rFonts w:ascii="Times New Roman" w:hAnsi="Times New Roman" w:cs="Times New Roman"/>
              </w:rPr>
              <w:t>Likelihood of success based on knowledge and establishment of method</w:t>
            </w:r>
          </w:p>
        </w:tc>
      </w:tr>
      <w:tr w:rsidR="00856572" w:rsidRPr="00856572" w14:paraId="2884C122" w14:textId="77777777" w:rsidTr="00FB6C59">
        <w:tc>
          <w:tcPr>
            <w:tcW w:w="4675" w:type="dxa"/>
          </w:tcPr>
          <w:p w14:paraId="21D455CC" w14:textId="77777777" w:rsidR="00856572" w:rsidRPr="00856572" w:rsidRDefault="00856572" w:rsidP="00856572">
            <w:pPr>
              <w:spacing w:line="360" w:lineRule="auto"/>
              <w:rPr>
                <w:rFonts w:ascii="Times New Roman" w:hAnsi="Times New Roman" w:cs="Times New Roman"/>
              </w:rPr>
            </w:pPr>
            <w:r w:rsidRPr="00856572">
              <w:rPr>
                <w:rFonts w:ascii="Times New Roman" w:hAnsi="Times New Roman" w:cs="Times New Roman"/>
              </w:rPr>
              <w:t>Time to full benefit</w:t>
            </w:r>
          </w:p>
        </w:tc>
        <w:tc>
          <w:tcPr>
            <w:tcW w:w="4675" w:type="dxa"/>
            <w:vMerge w:val="restart"/>
          </w:tcPr>
          <w:p w14:paraId="69EC47A0" w14:textId="77777777" w:rsidR="00856572" w:rsidRPr="00856572" w:rsidRDefault="00856572" w:rsidP="00856572">
            <w:pPr>
              <w:spacing w:line="360" w:lineRule="auto"/>
              <w:rPr>
                <w:rFonts w:ascii="Times New Roman" w:hAnsi="Times New Roman" w:cs="Times New Roman"/>
              </w:rPr>
            </w:pPr>
            <w:r w:rsidRPr="00856572">
              <w:rPr>
                <w:rFonts w:ascii="Times New Roman" w:hAnsi="Times New Roman" w:cs="Times New Roman"/>
              </w:rPr>
              <w:t>Interplay between site and other landscape features (e.g., connectivity)</w:t>
            </w:r>
          </w:p>
        </w:tc>
      </w:tr>
      <w:tr w:rsidR="00856572" w:rsidRPr="00856572" w14:paraId="36792AE3" w14:textId="77777777" w:rsidTr="00FB6C59">
        <w:tc>
          <w:tcPr>
            <w:tcW w:w="4675" w:type="dxa"/>
          </w:tcPr>
          <w:p w14:paraId="07F2006F" w14:textId="77777777" w:rsidR="00856572" w:rsidRPr="00856572" w:rsidRDefault="00856572" w:rsidP="00856572">
            <w:pPr>
              <w:spacing w:line="360" w:lineRule="auto"/>
              <w:rPr>
                <w:rFonts w:ascii="Times New Roman" w:hAnsi="Times New Roman" w:cs="Times New Roman"/>
              </w:rPr>
            </w:pPr>
            <w:r w:rsidRPr="00856572">
              <w:rPr>
                <w:rFonts w:ascii="Times New Roman" w:hAnsi="Times New Roman" w:cs="Times New Roman"/>
              </w:rPr>
              <w:t>Proximity between impact and offset</w:t>
            </w:r>
          </w:p>
        </w:tc>
        <w:tc>
          <w:tcPr>
            <w:tcW w:w="4675" w:type="dxa"/>
            <w:vMerge/>
          </w:tcPr>
          <w:p w14:paraId="6A0755F3" w14:textId="77777777" w:rsidR="00856572" w:rsidRPr="00856572" w:rsidRDefault="00856572" w:rsidP="00856572">
            <w:pPr>
              <w:spacing w:line="360" w:lineRule="auto"/>
              <w:rPr>
                <w:rFonts w:ascii="Times New Roman" w:hAnsi="Times New Roman" w:cs="Times New Roman"/>
              </w:rPr>
            </w:pPr>
          </w:p>
        </w:tc>
      </w:tr>
      <w:tr w:rsidR="00856572" w:rsidRPr="00856572" w14:paraId="093884CE" w14:textId="77777777" w:rsidTr="00FB6C59">
        <w:tc>
          <w:tcPr>
            <w:tcW w:w="4675" w:type="dxa"/>
          </w:tcPr>
          <w:p w14:paraId="616F179C" w14:textId="77777777" w:rsidR="00856572" w:rsidRPr="00856572" w:rsidRDefault="00856572" w:rsidP="00856572">
            <w:pPr>
              <w:spacing w:line="360" w:lineRule="auto"/>
              <w:rPr>
                <w:rFonts w:ascii="Times New Roman" w:hAnsi="Times New Roman" w:cs="Times New Roman"/>
              </w:rPr>
            </w:pPr>
            <w:r w:rsidRPr="00856572">
              <w:rPr>
                <w:rFonts w:ascii="Times New Roman" w:hAnsi="Times New Roman" w:cs="Times New Roman"/>
              </w:rPr>
              <w:t>Scarcity of habitat or species</w:t>
            </w:r>
          </w:p>
        </w:tc>
        <w:tc>
          <w:tcPr>
            <w:tcW w:w="4675" w:type="dxa"/>
            <w:vMerge/>
          </w:tcPr>
          <w:p w14:paraId="7DE9B102" w14:textId="77777777" w:rsidR="00856572" w:rsidRPr="00856572" w:rsidRDefault="00856572" w:rsidP="00856572">
            <w:pPr>
              <w:spacing w:line="360" w:lineRule="auto"/>
              <w:rPr>
                <w:rFonts w:ascii="Times New Roman" w:hAnsi="Times New Roman" w:cs="Times New Roman"/>
              </w:rPr>
            </w:pPr>
          </w:p>
        </w:tc>
      </w:tr>
      <w:tr w:rsidR="00856572" w:rsidRPr="00856572" w14:paraId="0FEA3DF6" w14:textId="77777777" w:rsidTr="00FB6C59">
        <w:tc>
          <w:tcPr>
            <w:tcW w:w="4675" w:type="dxa"/>
          </w:tcPr>
          <w:p w14:paraId="584B75AD" w14:textId="77777777" w:rsidR="00856572" w:rsidRPr="00856572" w:rsidRDefault="00856572" w:rsidP="00856572">
            <w:pPr>
              <w:spacing w:line="360" w:lineRule="auto"/>
              <w:rPr>
                <w:rFonts w:ascii="Times New Roman" w:hAnsi="Times New Roman" w:cs="Times New Roman"/>
              </w:rPr>
            </w:pPr>
            <w:r w:rsidRPr="00856572">
              <w:rPr>
                <w:rFonts w:ascii="Times New Roman" w:hAnsi="Times New Roman" w:cs="Times New Roman"/>
              </w:rPr>
              <w:t>Interplay between site and other landscape features (e.g., connectivity)</w:t>
            </w:r>
          </w:p>
        </w:tc>
        <w:tc>
          <w:tcPr>
            <w:tcW w:w="4675" w:type="dxa"/>
            <w:vMerge/>
          </w:tcPr>
          <w:p w14:paraId="61EE5971" w14:textId="77777777" w:rsidR="00856572" w:rsidRPr="00856572" w:rsidRDefault="00856572" w:rsidP="00856572">
            <w:pPr>
              <w:spacing w:line="360" w:lineRule="auto"/>
              <w:rPr>
                <w:rFonts w:ascii="Times New Roman" w:hAnsi="Times New Roman" w:cs="Times New Roman"/>
              </w:rPr>
            </w:pPr>
          </w:p>
        </w:tc>
      </w:tr>
    </w:tbl>
    <w:p w14:paraId="2857CE26" w14:textId="77777777" w:rsidR="00856572" w:rsidRPr="00856572" w:rsidRDefault="00856572" w:rsidP="00856572">
      <w:pPr>
        <w:rPr>
          <w:rFonts w:ascii="Times New Roman" w:hAnsi="Times New Roman" w:cs="Times New Roman"/>
          <w:kern w:val="0"/>
          <w14:ligatures w14:val="none"/>
        </w:rPr>
      </w:pPr>
    </w:p>
    <w:p w14:paraId="6EA0033E" w14:textId="77777777" w:rsidR="00856572" w:rsidRDefault="00856572"/>
    <w:sectPr w:rsidR="0085657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6572"/>
    <w:rsid w:val="0085657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F63F41"/>
  <w15:chartTrackingRefBased/>
  <w15:docId w15:val="{02329B6C-27BD-4183-A84E-0065B8A37D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56572"/>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856572"/>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362</Words>
  <Characters>2064</Characters>
  <Application>Microsoft Office Word</Application>
  <DocSecurity>0</DocSecurity>
  <Lines>17</Lines>
  <Paragraphs>4</Paragraphs>
  <ScaleCrop>false</ScaleCrop>
  <Company/>
  <LinksUpToDate>false</LinksUpToDate>
  <CharactersWithSpaces>2422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Sebastian</dc:creator>
  <cp:keywords/>
  <dc:description/>
  <cp:lastModifiedBy>Sebastian</cp:lastModifiedBy>
  <cp:revision>1</cp:revision>
  <dcterms:created xsi:type="dcterms:W3CDTF">2023-08-01T16:48:00Z</dcterms:created>
  <dcterms:modified xsi:type="dcterms:W3CDTF">2023-08-01T16:53:00Z</dcterms:modified>
</cp:coreProperties>
</file>