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06CE" w14:textId="77777777" w:rsidR="003741F3" w:rsidRPr="00A04ADE" w:rsidRDefault="003741F3" w:rsidP="003741F3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A04ADE">
        <w:rPr>
          <w:rFonts w:asciiTheme="majorBidi" w:hAnsiTheme="majorBidi" w:cstheme="majorBidi"/>
          <w:b/>
          <w:bCs/>
          <w:sz w:val="24"/>
          <w:szCs w:val="24"/>
        </w:rPr>
        <w:t xml:space="preserve">Table S1. Status of immunosuppression in study population </w:t>
      </w:r>
    </w:p>
    <w:tbl>
      <w:tblPr>
        <w:tblStyle w:val="TableGrid"/>
        <w:bidiVisual/>
        <w:tblW w:w="9884" w:type="dxa"/>
        <w:tblInd w:w="-868" w:type="dxa"/>
        <w:tblLook w:val="04A0" w:firstRow="1" w:lastRow="0" w:firstColumn="1" w:lastColumn="0" w:noHBand="0" w:noVBand="1"/>
      </w:tblPr>
      <w:tblGrid>
        <w:gridCol w:w="2088"/>
        <w:gridCol w:w="2127"/>
        <w:gridCol w:w="2280"/>
        <w:gridCol w:w="3389"/>
      </w:tblGrid>
      <w:tr w:rsidR="003741F3" w14:paraId="6CD78FF1" w14:textId="77777777" w:rsidTr="00597F68">
        <w:tc>
          <w:tcPr>
            <w:tcW w:w="2088" w:type="dxa"/>
          </w:tcPr>
          <w:p w14:paraId="4522F7C2" w14:textId="77777777" w:rsidR="003741F3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Overall</w:t>
            </w:r>
          </w:p>
          <w:p w14:paraId="6987AF1B" w14:textId="77777777" w:rsidR="003741F3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(n=112)</w:t>
            </w:r>
          </w:p>
        </w:tc>
        <w:tc>
          <w:tcPr>
            <w:tcW w:w="2127" w:type="dxa"/>
          </w:tcPr>
          <w:p w14:paraId="155592A7" w14:textId="77777777" w:rsidR="003741F3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SOC+bat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/toc (n=48)</w:t>
            </w:r>
          </w:p>
          <w:p w14:paraId="0EE7BD1B" w14:textId="77777777" w:rsidR="003741F3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0" w:type="dxa"/>
          </w:tcPr>
          <w:p w14:paraId="6B4E5D44" w14:textId="77777777" w:rsidR="003741F3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</w:t>
            </w:r>
          </w:p>
          <w:p w14:paraId="385CFD34" w14:textId="77777777" w:rsidR="003741F3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(n=64)</w:t>
            </w:r>
          </w:p>
          <w:p w14:paraId="626A8556" w14:textId="77777777" w:rsidR="003741F3" w:rsidRPr="007839E0" w:rsidRDefault="003741F3" w:rsidP="00597F6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89" w:type="dxa"/>
          </w:tcPr>
          <w:p w14:paraId="2B8A1F17" w14:textId="77777777" w:rsidR="003741F3" w:rsidRPr="007839E0" w:rsidRDefault="003741F3" w:rsidP="00597F6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741F3" w14:paraId="480EDB5C" w14:textId="77777777" w:rsidTr="00597F68">
        <w:tc>
          <w:tcPr>
            <w:tcW w:w="2088" w:type="dxa"/>
            <w:shd w:val="clear" w:color="auto" w:fill="D9D9D9" w:themeFill="background1" w:themeFillShade="D9"/>
          </w:tcPr>
          <w:p w14:paraId="24BA018B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A7FA5">
              <w:rPr>
                <w:rFonts w:asciiTheme="majorBidi" w:hAnsiTheme="majorBidi" w:cstheme="majorBidi"/>
                <w:sz w:val="24"/>
                <w:szCs w:val="24"/>
              </w:rPr>
              <w:t>60 (53.5%)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EDA080B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A7FA5">
              <w:rPr>
                <w:rFonts w:asciiTheme="majorBidi" w:hAnsiTheme="majorBidi" w:cstheme="majorBidi"/>
                <w:sz w:val="24"/>
                <w:szCs w:val="24"/>
              </w:rPr>
              <w:t>34 (70.8%)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14:paraId="5D73399A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7FA5">
              <w:rPr>
                <w:rFonts w:asciiTheme="majorBidi" w:hAnsiTheme="majorBidi" w:cstheme="majorBidi"/>
                <w:sz w:val="24"/>
                <w:szCs w:val="24"/>
              </w:rPr>
              <w:t>26 (40.6%)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2875BE36" w14:textId="77777777" w:rsidR="003741F3" w:rsidRPr="003A7FA5" w:rsidRDefault="003741F3" w:rsidP="00597F68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3A7FA5">
              <w:rPr>
                <w:rFonts w:asciiTheme="majorBidi" w:hAnsiTheme="majorBidi" w:cstheme="majorBidi"/>
                <w:sz w:val="26"/>
                <w:szCs w:val="26"/>
              </w:rPr>
              <w:t>Hematological malignancies (n, %)</w:t>
            </w:r>
          </w:p>
        </w:tc>
      </w:tr>
      <w:tr w:rsidR="003741F3" w14:paraId="65546927" w14:textId="77777777" w:rsidTr="00597F68">
        <w:trPr>
          <w:trHeight w:val="160"/>
        </w:trPr>
        <w:tc>
          <w:tcPr>
            <w:tcW w:w="2088" w:type="dxa"/>
          </w:tcPr>
          <w:p w14:paraId="7D0225AB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26 (16)</w:t>
            </w:r>
          </w:p>
          <w:p w14:paraId="566C1BBD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 xml:space="preserve"> (23.2%)</w:t>
            </w:r>
          </w:p>
        </w:tc>
        <w:tc>
          <w:tcPr>
            <w:tcW w:w="2127" w:type="dxa"/>
          </w:tcPr>
          <w:p w14:paraId="0C70FD00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16 (10) (33.3%)</w:t>
            </w:r>
          </w:p>
        </w:tc>
        <w:tc>
          <w:tcPr>
            <w:tcW w:w="2280" w:type="dxa"/>
          </w:tcPr>
          <w:p w14:paraId="65A6AC95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10 (6) (15.6%)</w:t>
            </w:r>
            <w:r w:rsidRPr="003A7FA5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89" w:type="dxa"/>
          </w:tcPr>
          <w:p w14:paraId="4637CA30" w14:textId="77777777" w:rsidR="003741F3" w:rsidRPr="003A7FA5" w:rsidRDefault="003741F3" w:rsidP="00597F68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Active lymphoma (of them with additional anti CD-20 treatment)</w:t>
            </w:r>
          </w:p>
        </w:tc>
      </w:tr>
      <w:tr w:rsidR="003741F3" w14:paraId="489E979C" w14:textId="77777777" w:rsidTr="00597F68">
        <w:tc>
          <w:tcPr>
            <w:tcW w:w="2088" w:type="dxa"/>
          </w:tcPr>
          <w:p w14:paraId="7252F593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17 (15.1%)</w:t>
            </w:r>
          </w:p>
        </w:tc>
        <w:tc>
          <w:tcPr>
            <w:tcW w:w="2127" w:type="dxa"/>
          </w:tcPr>
          <w:p w14:paraId="73A404A1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12 (25%)</w:t>
            </w:r>
          </w:p>
        </w:tc>
        <w:tc>
          <w:tcPr>
            <w:tcW w:w="2280" w:type="dxa"/>
          </w:tcPr>
          <w:p w14:paraId="76529AFB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5 (7.8%)</w:t>
            </w:r>
          </w:p>
        </w:tc>
        <w:tc>
          <w:tcPr>
            <w:tcW w:w="3389" w:type="dxa"/>
          </w:tcPr>
          <w:p w14:paraId="5A10912F" w14:textId="77777777" w:rsidR="003741F3" w:rsidRPr="003A7FA5" w:rsidRDefault="003741F3" w:rsidP="00597F68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 xml:space="preserve">Chronic lymphocytic leukemia </w:t>
            </w:r>
          </w:p>
        </w:tc>
      </w:tr>
      <w:tr w:rsidR="003741F3" w14:paraId="20B8BF87" w14:textId="77777777" w:rsidTr="00597F68">
        <w:trPr>
          <w:trHeight w:val="160"/>
        </w:trPr>
        <w:tc>
          <w:tcPr>
            <w:tcW w:w="2088" w:type="dxa"/>
          </w:tcPr>
          <w:p w14:paraId="072B05DB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14 (12.5%)</w:t>
            </w:r>
          </w:p>
        </w:tc>
        <w:tc>
          <w:tcPr>
            <w:tcW w:w="2127" w:type="dxa"/>
          </w:tcPr>
          <w:p w14:paraId="188C4F4B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5 (10.4%)</w:t>
            </w:r>
          </w:p>
        </w:tc>
        <w:tc>
          <w:tcPr>
            <w:tcW w:w="2280" w:type="dxa"/>
          </w:tcPr>
          <w:p w14:paraId="59CAB494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9 (14%)</w:t>
            </w:r>
          </w:p>
        </w:tc>
        <w:tc>
          <w:tcPr>
            <w:tcW w:w="3389" w:type="dxa"/>
          </w:tcPr>
          <w:p w14:paraId="507E84C8" w14:textId="77777777" w:rsidR="003741F3" w:rsidRPr="003A7FA5" w:rsidRDefault="003741F3" w:rsidP="00597F68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 xml:space="preserve">Multiple myeloma </w:t>
            </w:r>
          </w:p>
        </w:tc>
      </w:tr>
      <w:tr w:rsidR="003741F3" w14:paraId="365F8E27" w14:textId="77777777" w:rsidTr="00597F68">
        <w:trPr>
          <w:trHeight w:val="160"/>
        </w:trPr>
        <w:tc>
          <w:tcPr>
            <w:tcW w:w="2088" w:type="dxa"/>
          </w:tcPr>
          <w:p w14:paraId="6A9873D5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 (0.9%)</w:t>
            </w:r>
          </w:p>
        </w:tc>
        <w:tc>
          <w:tcPr>
            <w:tcW w:w="2127" w:type="dxa"/>
          </w:tcPr>
          <w:p w14:paraId="75A0B1C1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0 (0%)</w:t>
            </w:r>
          </w:p>
        </w:tc>
        <w:tc>
          <w:tcPr>
            <w:tcW w:w="2280" w:type="dxa"/>
          </w:tcPr>
          <w:p w14:paraId="30D03139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 (1.5%)</w:t>
            </w:r>
          </w:p>
        </w:tc>
        <w:tc>
          <w:tcPr>
            <w:tcW w:w="3389" w:type="dxa"/>
          </w:tcPr>
          <w:p w14:paraId="3DFD3824" w14:textId="77777777" w:rsidR="003741F3" w:rsidRPr="003A7FA5" w:rsidRDefault="003741F3" w:rsidP="00597F68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 xml:space="preserve">Acute lymphoblastic leukemia </w:t>
            </w:r>
          </w:p>
        </w:tc>
      </w:tr>
      <w:tr w:rsidR="003741F3" w14:paraId="0EACACAA" w14:textId="77777777" w:rsidTr="00597F68">
        <w:tc>
          <w:tcPr>
            <w:tcW w:w="2088" w:type="dxa"/>
          </w:tcPr>
          <w:p w14:paraId="0ADD362D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2 (1.7%)</w:t>
            </w:r>
          </w:p>
        </w:tc>
        <w:tc>
          <w:tcPr>
            <w:tcW w:w="2127" w:type="dxa"/>
          </w:tcPr>
          <w:p w14:paraId="6374252D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 (2%)</w:t>
            </w:r>
          </w:p>
        </w:tc>
        <w:tc>
          <w:tcPr>
            <w:tcW w:w="2280" w:type="dxa"/>
          </w:tcPr>
          <w:p w14:paraId="79C31E77" w14:textId="77777777" w:rsidR="003741F3" w:rsidRPr="003A7FA5" w:rsidRDefault="003741F3" w:rsidP="00597F6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>1 (1.5%)</w:t>
            </w:r>
          </w:p>
        </w:tc>
        <w:tc>
          <w:tcPr>
            <w:tcW w:w="3389" w:type="dxa"/>
          </w:tcPr>
          <w:p w14:paraId="4D74A361" w14:textId="77777777" w:rsidR="003741F3" w:rsidRPr="003A7FA5" w:rsidRDefault="003741F3" w:rsidP="00597F68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A7FA5">
              <w:rPr>
                <w:rFonts w:asciiTheme="majorBidi" w:hAnsiTheme="majorBidi" w:cstheme="majorBidi"/>
                <w:sz w:val="20"/>
                <w:szCs w:val="20"/>
              </w:rPr>
              <w:t xml:space="preserve">Prior hematopoietic stem cell transplant </w:t>
            </w:r>
          </w:p>
        </w:tc>
      </w:tr>
      <w:tr w:rsidR="003741F3" w14:paraId="24F61A52" w14:textId="77777777" w:rsidTr="00597F68">
        <w:trPr>
          <w:trHeight w:val="432"/>
        </w:trPr>
        <w:tc>
          <w:tcPr>
            <w:tcW w:w="2088" w:type="dxa"/>
            <w:shd w:val="clear" w:color="auto" w:fill="D9D9D9" w:themeFill="background1" w:themeFillShade="D9"/>
          </w:tcPr>
          <w:p w14:paraId="1168A2DE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35 (31.2%)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63CDF75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6 (12.5%)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14:paraId="18559048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29 (45.3%)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258CC88A" w14:textId="77777777" w:rsidR="003741F3" w:rsidRPr="00F40758" w:rsidRDefault="003741F3" w:rsidP="00597F68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Prior solid organ transplant (n, %)</w:t>
            </w:r>
          </w:p>
        </w:tc>
      </w:tr>
      <w:tr w:rsidR="003741F3" w14:paraId="794DB28F" w14:textId="77777777" w:rsidTr="00597F68">
        <w:tc>
          <w:tcPr>
            <w:tcW w:w="2088" w:type="dxa"/>
            <w:shd w:val="clear" w:color="auto" w:fill="D9D9D9" w:themeFill="background1" w:themeFillShade="D9"/>
          </w:tcPr>
          <w:p w14:paraId="105C7A82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14 (12.5%)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6D481FA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(12.5%)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14:paraId="618B28DD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(12.5%)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32AB8658" w14:textId="77777777" w:rsidR="003741F3" w:rsidRPr="00F40758" w:rsidRDefault="003741F3" w:rsidP="00597F68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Chronic steroid use</w:t>
            </w:r>
          </w:p>
        </w:tc>
      </w:tr>
      <w:tr w:rsidR="003741F3" w14:paraId="6F0C97EE" w14:textId="77777777" w:rsidTr="00597F68">
        <w:tc>
          <w:tcPr>
            <w:tcW w:w="2088" w:type="dxa"/>
            <w:shd w:val="clear" w:color="auto" w:fill="D9D9D9" w:themeFill="background1" w:themeFillShade="D9"/>
          </w:tcPr>
          <w:p w14:paraId="34C81AED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(2.6%)</w:t>
            </w:r>
            <w:r w:rsidRPr="00F40758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3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BBDBD0D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(4.1%)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14:paraId="390A9C73" w14:textId="77777777" w:rsidR="003741F3" w:rsidRPr="00F40758" w:rsidRDefault="003741F3" w:rsidP="00597F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(1.5%)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6720C403" w14:textId="77777777" w:rsidR="003741F3" w:rsidRPr="00F40758" w:rsidRDefault="003741F3" w:rsidP="00597F68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40758">
              <w:rPr>
                <w:rFonts w:asciiTheme="majorBidi" w:hAnsiTheme="majorBidi" w:cstheme="majorBidi"/>
                <w:sz w:val="24"/>
                <w:szCs w:val="24"/>
              </w:rPr>
              <w:t xml:space="preserve">Hypogammaglobulinemia </w:t>
            </w:r>
          </w:p>
        </w:tc>
      </w:tr>
    </w:tbl>
    <w:p w14:paraId="512D746E" w14:textId="77777777" w:rsidR="003741F3" w:rsidRPr="009F2746" w:rsidRDefault="003741F3" w:rsidP="003741F3">
      <w:pPr>
        <w:jc w:val="right"/>
        <w:rPr>
          <w:rFonts w:asciiTheme="majorBidi" w:hAnsiTheme="majorBidi" w:cstheme="majorBidi"/>
          <w:sz w:val="4"/>
          <w:szCs w:val="4"/>
        </w:rPr>
      </w:pPr>
    </w:p>
    <w:p w14:paraId="57D87A40" w14:textId="77777777" w:rsidR="003741F3" w:rsidRDefault="003741F3" w:rsidP="003741F3">
      <w:pPr>
        <w:jc w:val="right"/>
        <w:rPr>
          <w:rFonts w:asciiTheme="majorBidi" w:hAnsiTheme="majorBidi" w:cstheme="majorBidi"/>
          <w:sz w:val="20"/>
          <w:szCs w:val="20"/>
        </w:rPr>
      </w:pPr>
      <w:r w:rsidRPr="00650261">
        <w:rPr>
          <w:rFonts w:asciiTheme="majorBidi" w:hAnsiTheme="majorBidi" w:cstheme="majorBidi"/>
          <w:sz w:val="20"/>
          <w:szCs w:val="20"/>
        </w:rPr>
        <w:t>(</w:t>
      </w:r>
      <w:r w:rsidRPr="00650261">
        <w:rPr>
          <w:rFonts w:asciiTheme="majorBidi" w:hAnsiTheme="majorBidi" w:cstheme="majorBidi"/>
          <w:b/>
          <w:bCs/>
          <w:sz w:val="20"/>
          <w:szCs w:val="20"/>
        </w:rPr>
        <w:t xml:space="preserve">bar/toc- </w:t>
      </w:r>
      <w:r w:rsidRPr="00650261">
        <w:rPr>
          <w:rFonts w:asciiTheme="majorBidi" w:hAnsiTheme="majorBidi" w:cstheme="majorBidi"/>
          <w:sz w:val="20"/>
          <w:szCs w:val="20"/>
        </w:rPr>
        <w:t>baricitinib/tocilizumab</w:t>
      </w:r>
      <w:r>
        <w:rPr>
          <w:rFonts w:asciiTheme="majorBidi" w:hAnsiTheme="majorBidi" w:cstheme="majorBidi"/>
          <w:sz w:val="20"/>
          <w:szCs w:val="20"/>
        </w:rPr>
        <w:t xml:space="preserve">, </w:t>
      </w:r>
      <w:r>
        <w:rPr>
          <w:rFonts w:asciiTheme="majorBidi" w:hAnsiTheme="majorBidi" w:cstheme="majorBidi"/>
          <w:b/>
          <w:bCs/>
          <w:sz w:val="20"/>
          <w:szCs w:val="20"/>
        </w:rPr>
        <w:t>SOC</w:t>
      </w:r>
      <w:r w:rsidRPr="009F2746">
        <w:rPr>
          <w:rFonts w:asciiTheme="majorBidi" w:hAnsiTheme="majorBidi" w:cstheme="majorBidi"/>
          <w:sz w:val="20"/>
          <w:szCs w:val="20"/>
        </w:rPr>
        <w:t>- standard of ca</w:t>
      </w:r>
      <w:r>
        <w:rPr>
          <w:rFonts w:asciiTheme="majorBidi" w:hAnsiTheme="majorBidi" w:cstheme="majorBidi"/>
          <w:sz w:val="20"/>
          <w:szCs w:val="20"/>
        </w:rPr>
        <w:t>re)</w:t>
      </w:r>
    </w:p>
    <w:p w14:paraId="26D6BE5F" w14:textId="77777777" w:rsidR="003741F3" w:rsidRPr="009F2746" w:rsidRDefault="003741F3" w:rsidP="003741F3">
      <w:pPr>
        <w:jc w:val="right"/>
        <w:rPr>
          <w:rFonts w:asciiTheme="majorBidi" w:hAnsiTheme="majorBidi" w:cstheme="majorBidi"/>
          <w:sz w:val="20"/>
          <w:szCs w:val="20"/>
        </w:rPr>
      </w:pPr>
    </w:p>
    <w:p w14:paraId="1752032D" w14:textId="77777777" w:rsidR="003741F3" w:rsidRPr="007839E0" w:rsidRDefault="003741F3" w:rsidP="003741F3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050A5D2" w14:textId="77777777" w:rsidR="003741F3" w:rsidRPr="00E63887" w:rsidRDefault="003741F3" w:rsidP="003741F3">
      <w:pPr>
        <w:bidi w:val="0"/>
        <w:rPr>
          <w:rFonts w:asciiTheme="majorBidi" w:hAnsiTheme="majorBidi" w:cstheme="majorBidi"/>
        </w:rPr>
      </w:pPr>
    </w:p>
    <w:p w14:paraId="70F64646" w14:textId="77777777" w:rsidR="003741F3" w:rsidRDefault="003741F3" w:rsidP="003741F3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32F2D53B" w14:textId="77777777" w:rsidR="003741F3" w:rsidRPr="001C0ADD" w:rsidRDefault="003741F3" w:rsidP="003741F3">
      <w:pPr>
        <w:bidi w:val="0"/>
        <w:rPr>
          <w:rFonts w:asciiTheme="majorBidi" w:hAnsiTheme="majorBidi" w:cstheme="majorBidi"/>
          <w:rtl/>
        </w:rPr>
      </w:pPr>
    </w:p>
    <w:p w14:paraId="592AC48A" w14:textId="77777777" w:rsidR="00411C5C" w:rsidRDefault="00411C5C"/>
    <w:sectPr w:rsidR="00411C5C" w:rsidSect="00FD7617">
      <w:footerReference w:type="even" r:id="rId4"/>
      <w:footerReference w:type="default" r:id="rId5"/>
      <w:pgSz w:w="11906" w:h="16838"/>
      <w:pgMar w:top="1440" w:right="1474" w:bottom="1440" w:left="147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tl/>
      </w:rPr>
      <w:id w:val="-154918043"/>
      <w:docPartObj>
        <w:docPartGallery w:val="Page Numbers (Bottom of Page)"/>
        <w:docPartUnique/>
      </w:docPartObj>
    </w:sdtPr>
    <w:sdtContent>
      <w:p w14:paraId="28EAFE32" w14:textId="77777777" w:rsidR="00611153" w:rsidRDefault="00000000" w:rsidP="005F5351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11</w:t>
        </w:r>
        <w:r>
          <w:rPr>
            <w:rStyle w:val="PageNumber"/>
            <w:rtl/>
          </w:rPr>
          <w:fldChar w:fldCharType="end"/>
        </w:r>
      </w:p>
    </w:sdtContent>
  </w:sdt>
  <w:p w14:paraId="5A267BC2" w14:textId="77777777" w:rsidR="00611153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tl/>
      </w:rPr>
      <w:id w:val="919996192"/>
      <w:docPartObj>
        <w:docPartGallery w:val="Page Numbers (Bottom of Page)"/>
        <w:docPartUnique/>
      </w:docPartObj>
    </w:sdtPr>
    <w:sdtContent>
      <w:p w14:paraId="2CD950A1" w14:textId="77777777" w:rsidR="00611153" w:rsidRDefault="00000000" w:rsidP="005F5351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noProof/>
            <w:rtl/>
          </w:rPr>
          <w:t>9</w:t>
        </w:r>
        <w:r>
          <w:rPr>
            <w:rStyle w:val="PageNumber"/>
            <w:rtl/>
          </w:rPr>
          <w:fldChar w:fldCharType="end"/>
        </w:r>
      </w:p>
    </w:sdtContent>
  </w:sdt>
  <w:p w14:paraId="27F6ECF5" w14:textId="77777777" w:rsidR="00611153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3"/>
    <w:rsid w:val="003741F3"/>
    <w:rsid w:val="0041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A34B"/>
  <w15:chartTrackingRefBased/>
  <w15:docId w15:val="{D45B9FD8-C085-4B7E-BBA1-041DAE20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F3"/>
    <w:pPr>
      <w:bidi/>
      <w:spacing w:line="276" w:lineRule="auto"/>
    </w:pPr>
    <w:rPr>
      <w:rFonts w:eastAsiaTheme="minorEastAsia"/>
      <w:kern w:val="0"/>
      <w:sz w:val="21"/>
      <w:szCs w:val="21"/>
      <w:lang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1F3"/>
    <w:pPr>
      <w:bidi/>
      <w:spacing w:after="0" w:line="240" w:lineRule="auto"/>
    </w:pPr>
    <w:rPr>
      <w:rFonts w:eastAsiaTheme="minorEastAsia"/>
      <w:kern w:val="0"/>
      <w:sz w:val="21"/>
      <w:szCs w:val="21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74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1F3"/>
    <w:rPr>
      <w:rFonts w:eastAsiaTheme="minorEastAsia"/>
      <w:kern w:val="0"/>
      <w:sz w:val="21"/>
      <w:szCs w:val="21"/>
      <w:lang w:bidi="he-IL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74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>SpringerNature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2023-08-21T02:56:00Z</dcterms:created>
  <dcterms:modified xsi:type="dcterms:W3CDTF">2023-08-21T02:56:00Z</dcterms:modified>
</cp:coreProperties>
</file>