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A0BF9" w14:textId="50AC8150" w:rsidR="00B20384" w:rsidRPr="00B20384" w:rsidRDefault="00B20384" w:rsidP="00A26ECE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en-AU"/>
          <w14:ligatures w14:val="none"/>
        </w:rPr>
      </w:pPr>
      <w:r w:rsidRPr="00B2038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AU" w:eastAsia="en-AU"/>
          <w14:ligatures w14:val="none"/>
        </w:rPr>
        <w:t>Supplementary Figures</w:t>
      </w:r>
    </w:p>
    <w:p w14:paraId="33FDCC68" w14:textId="11E60146" w:rsidR="00B20384" w:rsidRDefault="00F958D6" w:rsidP="00A26ECE">
      <w:pPr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B2EF3C" wp14:editId="0CCEBC4B">
            <wp:simplePos x="0" y="0"/>
            <wp:positionH relativeFrom="margin">
              <wp:posOffset>551180</wp:posOffset>
            </wp:positionH>
            <wp:positionV relativeFrom="paragraph">
              <wp:posOffset>260350</wp:posOffset>
            </wp:positionV>
            <wp:extent cx="7724775" cy="4477385"/>
            <wp:effectExtent l="0" t="0" r="0" b="0"/>
            <wp:wrapTopAndBottom/>
            <wp:docPr id="208207006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070066" name="Graphic 208207006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l="7634" t="12437" r="11560" b="21310"/>
                    <a:stretch/>
                  </pic:blipFill>
                  <pic:spPr bwMode="auto">
                    <a:xfrm>
                      <a:off x="0" y="0"/>
                      <a:ext cx="7724775" cy="4477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98AEF9" w14:textId="09656E3E" w:rsidR="00F958D6" w:rsidRDefault="005301DB"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Figure S1. Proportions of microbiome enriched-metagenomic reads removed and retained (‘Passed QC’) from </w:t>
      </w:r>
      <w:r w:rsidRPr="005301DB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AU" w:eastAsia="en-AU"/>
          <w14:ligatures w14:val="none"/>
        </w:rPr>
        <w:t>A. kenti</w:t>
      </w:r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 metagenomes during the rigorous quality control workflow. </w:t>
      </w:r>
    </w:p>
    <w:p w14:paraId="08FF480A" w14:textId="77777777" w:rsidR="00751AF2" w:rsidRDefault="00751AF2"/>
    <w:p w14:paraId="2BFBDB03" w14:textId="42A829D5" w:rsidR="00F958D6" w:rsidRPr="00F958D6" w:rsidRDefault="00F958D6" w:rsidP="00F958D6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1292043" wp14:editId="1FA47D1D">
            <wp:simplePos x="0" y="0"/>
            <wp:positionH relativeFrom="margin">
              <wp:posOffset>-13335</wp:posOffset>
            </wp:positionH>
            <wp:positionV relativeFrom="paragraph">
              <wp:posOffset>188595</wp:posOffset>
            </wp:positionV>
            <wp:extent cx="9003030" cy="3815080"/>
            <wp:effectExtent l="0" t="0" r="7620" b="0"/>
            <wp:wrapTopAndBottom/>
            <wp:docPr id="1485328424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28424" name="Graphic 148532842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303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DD6FAD" w14:textId="4ABF67BF" w:rsidR="005301DB" w:rsidRPr="005301DB" w:rsidRDefault="005301DB" w:rsidP="005301DB">
      <w:pPr>
        <w:keepNext/>
        <w:keepLines/>
        <w:spacing w:before="120" w:after="240" w:line="240" w:lineRule="auto"/>
        <w:outlineLvl w:val="3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</w:pPr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Figure S2. Distribution of significantly enriched functional genes between the </w:t>
      </w:r>
      <w:r w:rsidRPr="005301DB">
        <w:rPr>
          <w:rFonts w:ascii="Times New Roman" w:eastAsia="Times New Roman" w:hAnsi="Times New Roman" w:cs="Times New Roman"/>
          <w:i/>
          <w:kern w:val="0"/>
          <w:sz w:val="24"/>
          <w:szCs w:val="24"/>
          <w:lang w:val="en-AU" w:eastAsia="en-AU"/>
          <w14:ligatures w14:val="none"/>
        </w:rPr>
        <w:t>A. kenti</w:t>
      </w:r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-specific and seawater-specific MAGs (n = 82 and n = 119, respectively) annotated with A) </w:t>
      </w:r>
      <w:proofErr w:type="spellStart"/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>CAZy</w:t>
      </w:r>
      <w:proofErr w:type="spellEnd"/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, B) KO, and C) </w:t>
      </w:r>
      <w:proofErr w:type="spellStart"/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>Pfam</w:t>
      </w:r>
      <w:proofErr w:type="spellEnd"/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 xml:space="preserve"> databases. Points are shown as the proportion of total MAGs encoding that functional gene within each category. For clarity, only key genes enriched in </w:t>
      </w:r>
      <w:r w:rsidRPr="005301DB">
        <w:rPr>
          <w:rFonts w:ascii="Times New Roman" w:eastAsia="Times New Roman" w:hAnsi="Times New Roman" w:cs="Times New Roman"/>
          <w:i/>
          <w:kern w:val="0"/>
          <w:sz w:val="24"/>
          <w:szCs w:val="24"/>
          <w:lang w:val="en-AU" w:eastAsia="en-AU"/>
          <w14:ligatures w14:val="none"/>
        </w:rPr>
        <w:t>A. kenti</w:t>
      </w:r>
      <w:r w:rsidRPr="005301DB">
        <w:rPr>
          <w:rFonts w:ascii="Times New Roman" w:eastAsia="Times New Roman" w:hAnsi="Times New Roman" w:cs="Times New Roman"/>
          <w:kern w:val="0"/>
          <w:sz w:val="24"/>
          <w:szCs w:val="24"/>
          <w:lang w:val="en-AU" w:eastAsia="en-AU"/>
          <w14:ligatures w14:val="none"/>
        </w:rPr>
        <w:t>-specific MAGs discussed in the main text are labelled. Full details are provided in Table S2.</w:t>
      </w:r>
    </w:p>
    <w:p w14:paraId="6EB8C138" w14:textId="58B292E7" w:rsidR="005301DB" w:rsidRDefault="005301DB"/>
    <w:sectPr w:rsidR="005301DB" w:rsidSect="00F958D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1DB"/>
    <w:rsid w:val="005301DB"/>
    <w:rsid w:val="00751AF2"/>
    <w:rsid w:val="007E1671"/>
    <w:rsid w:val="00911513"/>
    <w:rsid w:val="00A26ECE"/>
    <w:rsid w:val="00B20384"/>
    <w:rsid w:val="00F9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EBDD0"/>
  <w15:chartTrackingRefBased/>
  <w15:docId w15:val="{69DA2F51-DF2E-4529-BEB6-358B2505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8d09f7-cc79-4ccb-9149-a4238dd17422}" enabled="0" method="" siteId="{4e8d09f7-cc79-4ccb-9149-a4238dd1742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98</Words>
  <Characters>559</Characters>
  <Application>Microsoft Office Word</Application>
  <DocSecurity>0</DocSecurity>
  <Lines>4</Lines>
  <Paragraphs>1</Paragraphs>
  <ScaleCrop>false</ScaleCrop>
  <Company>University of Stirling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Messer</dc:creator>
  <cp:keywords/>
  <dc:description/>
  <cp:lastModifiedBy>Lauren Messer</cp:lastModifiedBy>
  <cp:revision>5</cp:revision>
  <dcterms:created xsi:type="dcterms:W3CDTF">2023-08-15T14:17:00Z</dcterms:created>
  <dcterms:modified xsi:type="dcterms:W3CDTF">2023-08-15T14:39:00Z</dcterms:modified>
</cp:coreProperties>
</file>