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15541" w14:textId="77777777" w:rsidR="008F190E" w:rsidRPr="00031CEF" w:rsidRDefault="008F190E" w:rsidP="008F190E">
      <w:pPr>
        <w:spacing w:before="240" w:line="480" w:lineRule="auto"/>
        <w:jc w:val="both"/>
        <w:rPr>
          <w:rFonts w:ascii="Arial" w:eastAsia="Arial" w:hAnsi="Arial" w:cs="Arial"/>
          <w:b/>
          <w:bCs/>
          <w:sz w:val="24"/>
          <w:szCs w:val="24"/>
        </w:rPr>
      </w:pPr>
      <w:r w:rsidRPr="00031CEF">
        <w:rPr>
          <w:rFonts w:ascii="Arial" w:eastAsia="Arial" w:hAnsi="Arial" w:cs="Arial"/>
          <w:b/>
          <w:bCs/>
          <w:sz w:val="24"/>
          <w:szCs w:val="24"/>
        </w:rPr>
        <w:t>SUPPLEMENTARY FIGURE LEGENDS</w:t>
      </w:r>
    </w:p>
    <w:p w14:paraId="78004E7D" w14:textId="77777777" w:rsidR="008F190E" w:rsidRPr="00031CEF" w:rsidRDefault="008F190E" w:rsidP="008F190E">
      <w:pPr>
        <w:spacing w:line="480" w:lineRule="auto"/>
        <w:jc w:val="both"/>
        <w:rPr>
          <w:rFonts w:ascii="Arial" w:eastAsia="Arial" w:hAnsi="Arial" w:cs="Arial"/>
        </w:rPr>
      </w:pPr>
      <w:r w:rsidRPr="00031CEF">
        <w:rPr>
          <w:rFonts w:ascii="Arial" w:eastAsia="Arial" w:hAnsi="Arial" w:cs="Arial"/>
          <w:b/>
          <w:bCs/>
        </w:rPr>
        <w:t>Supplementary Figure 1</w:t>
      </w:r>
      <w:r w:rsidRPr="421FC3C0">
        <w:rPr>
          <w:rFonts w:ascii="Arial" w:eastAsia="Arial" w:hAnsi="Arial" w:cs="Arial"/>
          <w:b/>
          <w:bCs/>
        </w:rPr>
        <w:t>.</w:t>
      </w:r>
      <w:r w:rsidRPr="00031CEF">
        <w:rPr>
          <w:rFonts w:ascii="Arial" w:eastAsia="Arial" w:hAnsi="Arial" w:cs="Arial"/>
          <w:b/>
          <w:bCs/>
        </w:rPr>
        <w:t xml:space="preserve"> </w:t>
      </w:r>
      <w:r w:rsidRPr="00031CEF">
        <w:rPr>
          <w:rFonts w:ascii="Arial" w:eastAsia="Arial" w:hAnsi="Arial" w:cs="Arial"/>
        </w:rPr>
        <w:t xml:space="preserve">UMAP visualization of the six main cell types annotated for the Mathys </w:t>
      </w:r>
      <w:r w:rsidRPr="00031CEF">
        <w:rPr>
          <w:rFonts w:ascii="Arial" w:eastAsia="Arial" w:hAnsi="Arial" w:cs="Arial"/>
          <w:b/>
          <w:bCs/>
        </w:rPr>
        <w:t>(A)</w:t>
      </w:r>
      <w:r w:rsidRPr="00031CEF">
        <w:rPr>
          <w:rFonts w:ascii="Arial" w:eastAsia="Arial" w:hAnsi="Arial" w:cs="Arial"/>
        </w:rPr>
        <w:t xml:space="preserve">, Grubman </w:t>
      </w:r>
      <w:r w:rsidRPr="00031CEF">
        <w:rPr>
          <w:rFonts w:ascii="Arial" w:eastAsia="Arial" w:hAnsi="Arial" w:cs="Arial"/>
          <w:b/>
          <w:bCs/>
        </w:rPr>
        <w:t>(B)</w:t>
      </w:r>
      <w:r w:rsidRPr="00031CEF">
        <w:rPr>
          <w:rFonts w:ascii="Arial" w:eastAsia="Arial" w:hAnsi="Arial" w:cs="Arial"/>
        </w:rPr>
        <w:t xml:space="preserve">, Leng </w:t>
      </w:r>
      <w:r w:rsidRPr="00031CEF">
        <w:rPr>
          <w:rFonts w:ascii="Arial" w:eastAsia="Arial" w:hAnsi="Arial" w:cs="Arial"/>
          <w:b/>
          <w:bCs/>
        </w:rPr>
        <w:t>(C)</w:t>
      </w:r>
      <w:r w:rsidRPr="00031CEF">
        <w:rPr>
          <w:rFonts w:ascii="Arial" w:eastAsia="Arial" w:hAnsi="Arial" w:cs="Arial"/>
        </w:rPr>
        <w:t xml:space="preserve">, Morabito </w:t>
      </w:r>
      <w:r w:rsidRPr="00031CEF">
        <w:rPr>
          <w:rFonts w:ascii="Arial" w:eastAsia="Arial" w:hAnsi="Arial" w:cs="Arial"/>
          <w:b/>
          <w:bCs/>
        </w:rPr>
        <w:t>(D)</w:t>
      </w:r>
      <w:r w:rsidRPr="00031CEF">
        <w:rPr>
          <w:rFonts w:ascii="Arial" w:eastAsia="Arial" w:hAnsi="Arial" w:cs="Arial"/>
        </w:rPr>
        <w:t xml:space="preserve">, Lau </w:t>
      </w:r>
      <w:r w:rsidRPr="00031CEF">
        <w:rPr>
          <w:rFonts w:ascii="Arial" w:eastAsia="Arial" w:hAnsi="Arial" w:cs="Arial"/>
          <w:b/>
          <w:bCs/>
        </w:rPr>
        <w:t>(E)</w:t>
      </w:r>
      <w:r w:rsidRPr="00031CEF">
        <w:rPr>
          <w:rFonts w:ascii="Arial" w:eastAsia="Arial" w:hAnsi="Arial" w:cs="Arial"/>
        </w:rPr>
        <w:t xml:space="preserve">, Zhou </w:t>
      </w:r>
      <w:r w:rsidRPr="00031CEF">
        <w:rPr>
          <w:rFonts w:ascii="Arial" w:eastAsia="Arial" w:hAnsi="Arial" w:cs="Arial"/>
          <w:b/>
          <w:bCs/>
        </w:rPr>
        <w:t>(F)</w:t>
      </w:r>
      <w:r w:rsidRPr="00031CEF">
        <w:rPr>
          <w:rFonts w:ascii="Arial" w:eastAsia="Arial" w:hAnsi="Arial" w:cs="Arial"/>
        </w:rPr>
        <w:t xml:space="preserve">, Pappalardo </w:t>
      </w:r>
      <w:r w:rsidRPr="00031CEF">
        <w:rPr>
          <w:rFonts w:ascii="Arial" w:eastAsia="Arial" w:hAnsi="Arial" w:cs="Arial"/>
          <w:b/>
          <w:bCs/>
        </w:rPr>
        <w:t>(G)</w:t>
      </w:r>
      <w:r w:rsidRPr="00031CEF">
        <w:rPr>
          <w:rFonts w:ascii="Arial" w:eastAsia="Arial" w:hAnsi="Arial" w:cs="Arial"/>
        </w:rPr>
        <w:t xml:space="preserve">, Thrupp </w:t>
      </w:r>
      <w:r w:rsidRPr="00031CEF">
        <w:rPr>
          <w:rFonts w:ascii="Arial" w:eastAsia="Arial" w:hAnsi="Arial" w:cs="Arial"/>
          <w:b/>
          <w:bCs/>
        </w:rPr>
        <w:t>(H)</w:t>
      </w:r>
      <w:r w:rsidRPr="00031CEF">
        <w:rPr>
          <w:rFonts w:ascii="Arial" w:eastAsia="Arial" w:hAnsi="Arial" w:cs="Arial"/>
        </w:rPr>
        <w:t xml:space="preserve">, Jakel </w:t>
      </w:r>
      <w:r w:rsidRPr="00031CEF">
        <w:rPr>
          <w:rFonts w:ascii="Arial" w:eastAsia="Arial" w:hAnsi="Arial" w:cs="Arial"/>
          <w:b/>
          <w:bCs/>
        </w:rPr>
        <w:t>(I)</w:t>
      </w:r>
      <w:r w:rsidRPr="00031CEF">
        <w:rPr>
          <w:rFonts w:ascii="Arial" w:eastAsia="Arial" w:hAnsi="Arial" w:cs="Arial"/>
        </w:rPr>
        <w:t xml:space="preserve">, Schirmer </w:t>
      </w:r>
      <w:r w:rsidRPr="00031CEF">
        <w:rPr>
          <w:rFonts w:ascii="Arial" w:eastAsia="Arial" w:hAnsi="Arial" w:cs="Arial"/>
          <w:b/>
          <w:bCs/>
        </w:rPr>
        <w:t>(J)</w:t>
      </w:r>
      <w:r w:rsidRPr="00031CEF">
        <w:rPr>
          <w:rFonts w:ascii="Arial" w:eastAsia="Arial" w:hAnsi="Arial" w:cs="Arial"/>
        </w:rPr>
        <w:t xml:space="preserve">, Velmeshev </w:t>
      </w:r>
      <w:r w:rsidRPr="00031CEF">
        <w:rPr>
          <w:rFonts w:ascii="Arial" w:eastAsia="Arial" w:hAnsi="Arial" w:cs="Arial"/>
          <w:b/>
          <w:bCs/>
        </w:rPr>
        <w:t>(K)</w:t>
      </w:r>
      <w:r w:rsidRPr="00031CEF">
        <w:rPr>
          <w:rFonts w:ascii="Arial" w:eastAsia="Arial" w:hAnsi="Arial" w:cs="Arial"/>
        </w:rPr>
        <w:t xml:space="preserve">, Feleke </w:t>
      </w:r>
      <w:r w:rsidRPr="00031CEF">
        <w:rPr>
          <w:rFonts w:ascii="Arial" w:eastAsia="Arial" w:hAnsi="Arial" w:cs="Arial"/>
          <w:b/>
          <w:bCs/>
        </w:rPr>
        <w:t>(L)</w:t>
      </w:r>
      <w:r w:rsidRPr="00031CEF">
        <w:rPr>
          <w:rFonts w:ascii="Arial" w:eastAsia="Arial" w:hAnsi="Arial" w:cs="Arial"/>
        </w:rPr>
        <w:t xml:space="preserve">, Tran </w:t>
      </w:r>
      <w:r w:rsidRPr="00031CEF">
        <w:rPr>
          <w:rFonts w:ascii="Arial" w:eastAsia="Arial" w:hAnsi="Arial" w:cs="Arial"/>
          <w:b/>
          <w:bCs/>
        </w:rPr>
        <w:t>(M)</w:t>
      </w:r>
      <w:r w:rsidRPr="00031CEF">
        <w:rPr>
          <w:rFonts w:ascii="Arial" w:eastAsia="Arial" w:hAnsi="Arial" w:cs="Arial"/>
        </w:rPr>
        <w:t xml:space="preserve">, Franjic </w:t>
      </w:r>
      <w:r w:rsidRPr="00031CEF">
        <w:rPr>
          <w:rFonts w:ascii="Arial" w:eastAsia="Arial" w:hAnsi="Arial" w:cs="Arial"/>
          <w:b/>
          <w:bCs/>
        </w:rPr>
        <w:t>(N)</w:t>
      </w:r>
      <w:r w:rsidRPr="00031CEF">
        <w:rPr>
          <w:rFonts w:ascii="Arial" w:eastAsia="Arial" w:hAnsi="Arial" w:cs="Arial"/>
        </w:rPr>
        <w:t xml:space="preserve">, Yang </w:t>
      </w:r>
      <w:r w:rsidRPr="00031CEF">
        <w:rPr>
          <w:rFonts w:ascii="Arial" w:eastAsia="Arial" w:hAnsi="Arial" w:cs="Arial"/>
          <w:b/>
          <w:bCs/>
        </w:rPr>
        <w:t>(O)</w:t>
      </w:r>
      <w:r w:rsidRPr="00031CEF">
        <w:rPr>
          <w:rFonts w:ascii="Arial" w:eastAsia="Arial" w:hAnsi="Arial" w:cs="Arial"/>
        </w:rPr>
        <w:t xml:space="preserve"> and Fullard </w:t>
      </w:r>
      <w:r w:rsidRPr="00031CEF">
        <w:rPr>
          <w:rFonts w:ascii="Arial" w:eastAsia="Arial" w:hAnsi="Arial" w:cs="Arial"/>
          <w:b/>
          <w:bCs/>
        </w:rPr>
        <w:t>(P)</w:t>
      </w:r>
      <w:r w:rsidRPr="00031CEF">
        <w:rPr>
          <w:rFonts w:ascii="Arial" w:eastAsia="Arial" w:hAnsi="Arial" w:cs="Arial"/>
        </w:rPr>
        <w:t xml:space="preserve"> datasets. </w:t>
      </w:r>
    </w:p>
    <w:p w14:paraId="3ED0143C" w14:textId="77777777" w:rsidR="008F190E" w:rsidRPr="00031CEF" w:rsidRDefault="008F190E" w:rsidP="008F190E">
      <w:pPr>
        <w:spacing w:after="0" w:line="480" w:lineRule="auto"/>
        <w:jc w:val="both"/>
        <w:rPr>
          <w:rFonts w:ascii="Arial" w:eastAsia="Arial" w:hAnsi="Arial" w:cs="Arial"/>
        </w:rPr>
      </w:pPr>
    </w:p>
    <w:p w14:paraId="4FA52154" w14:textId="77777777" w:rsidR="008F190E" w:rsidRPr="00031CEF" w:rsidRDefault="008F190E" w:rsidP="008F190E">
      <w:pPr>
        <w:spacing w:after="0" w:line="480" w:lineRule="auto"/>
        <w:jc w:val="both"/>
        <w:rPr>
          <w:rFonts w:ascii="Arial" w:eastAsia="Arial" w:hAnsi="Arial" w:cs="Arial"/>
        </w:rPr>
      </w:pPr>
      <w:r w:rsidRPr="00031CEF">
        <w:rPr>
          <w:rFonts w:ascii="Arial" w:eastAsia="Arial" w:hAnsi="Arial" w:cs="Arial"/>
          <w:b/>
          <w:bCs/>
        </w:rPr>
        <w:t>Supplementary Figure 2</w:t>
      </w:r>
      <w:r w:rsidRPr="421FC3C0">
        <w:rPr>
          <w:rFonts w:ascii="Arial" w:eastAsia="Arial" w:hAnsi="Arial" w:cs="Arial"/>
          <w:b/>
          <w:bCs/>
        </w:rPr>
        <w:t>.</w:t>
      </w:r>
      <w:r w:rsidRPr="00031CEF">
        <w:rPr>
          <w:rFonts w:ascii="Arial" w:eastAsia="Arial" w:hAnsi="Arial" w:cs="Arial"/>
          <w:b/>
          <w:bCs/>
        </w:rPr>
        <w:t xml:space="preserve"> (A) </w:t>
      </w:r>
      <w:r w:rsidRPr="005D7E96">
        <w:rPr>
          <w:rFonts w:ascii="Arial" w:eastAsia="Arial" w:hAnsi="Arial" w:cs="Arial"/>
        </w:rPr>
        <w:t>E</w:t>
      </w:r>
      <w:r w:rsidRPr="00031CEF">
        <w:rPr>
          <w:rFonts w:ascii="Arial" w:eastAsia="Arial" w:hAnsi="Arial" w:cs="Arial"/>
        </w:rPr>
        <w:t>xpression of canonical cell type markers in the subset of immune cells extracted from each dataset (</w:t>
      </w:r>
      <w:r w:rsidRPr="00031CEF">
        <w:rPr>
          <w:rFonts w:ascii="Arial" w:eastAsia="Arial" w:hAnsi="Arial" w:cs="Arial"/>
          <w:i/>
          <w:iCs/>
        </w:rPr>
        <w:t>PLP1</w:t>
      </w:r>
      <w:r w:rsidRPr="00031CEF">
        <w:rPr>
          <w:rFonts w:ascii="Arial" w:eastAsia="Arial" w:hAnsi="Arial" w:cs="Arial"/>
        </w:rPr>
        <w:t xml:space="preserve">, oligodendrocytes; </w:t>
      </w:r>
      <w:r w:rsidRPr="00031CEF">
        <w:rPr>
          <w:rFonts w:ascii="Arial" w:eastAsia="Arial" w:hAnsi="Arial" w:cs="Arial"/>
          <w:i/>
          <w:iCs/>
        </w:rPr>
        <w:t>SNAP25</w:t>
      </w:r>
      <w:r w:rsidRPr="00031CEF">
        <w:rPr>
          <w:rFonts w:ascii="Arial" w:eastAsia="Arial" w:hAnsi="Arial" w:cs="Arial"/>
        </w:rPr>
        <w:t xml:space="preserve">, neurons; </w:t>
      </w:r>
      <w:r w:rsidRPr="00031CEF">
        <w:rPr>
          <w:rFonts w:ascii="Arial" w:eastAsia="Arial" w:hAnsi="Arial" w:cs="Arial"/>
          <w:i/>
          <w:iCs/>
        </w:rPr>
        <w:t>DOCK8</w:t>
      </w:r>
      <w:r w:rsidRPr="00031CEF">
        <w:rPr>
          <w:rFonts w:ascii="Arial" w:eastAsia="Arial" w:hAnsi="Arial" w:cs="Arial"/>
        </w:rPr>
        <w:t xml:space="preserve">, </w:t>
      </w:r>
      <w:r w:rsidRPr="006F2E6C">
        <w:rPr>
          <w:rFonts w:ascii="Arial" w:eastAsia="Arial" w:hAnsi="Arial" w:cs="Arial"/>
        </w:rPr>
        <w:t>immune</w:t>
      </w:r>
      <w:r w:rsidRPr="00031CEF">
        <w:rPr>
          <w:rFonts w:ascii="Arial" w:eastAsia="Arial" w:hAnsi="Arial" w:cs="Arial"/>
        </w:rPr>
        <w:t xml:space="preserve"> cells; </w:t>
      </w:r>
      <w:r w:rsidRPr="00031CEF">
        <w:rPr>
          <w:rFonts w:ascii="Arial" w:eastAsia="Arial" w:hAnsi="Arial" w:cs="Arial"/>
          <w:i/>
          <w:iCs/>
        </w:rPr>
        <w:t>VCAN</w:t>
      </w:r>
      <w:r w:rsidRPr="00031CEF">
        <w:rPr>
          <w:rFonts w:ascii="Arial" w:eastAsia="Arial" w:hAnsi="Arial" w:cs="Arial"/>
        </w:rPr>
        <w:t xml:space="preserve">, OPCs; </w:t>
      </w:r>
      <w:r w:rsidRPr="00031CEF">
        <w:rPr>
          <w:rFonts w:ascii="Arial" w:eastAsia="Arial" w:hAnsi="Arial" w:cs="Arial"/>
          <w:i/>
          <w:iCs/>
        </w:rPr>
        <w:t>SLC1A2</w:t>
      </w:r>
      <w:r w:rsidRPr="00031CEF">
        <w:rPr>
          <w:rFonts w:ascii="Arial" w:eastAsia="Arial" w:hAnsi="Arial" w:cs="Arial"/>
        </w:rPr>
        <w:t xml:space="preserve">, astrocytes; </w:t>
      </w:r>
      <w:r w:rsidRPr="00031CEF">
        <w:rPr>
          <w:rFonts w:ascii="Arial" w:eastAsia="Arial" w:hAnsi="Arial" w:cs="Arial"/>
          <w:i/>
          <w:iCs/>
        </w:rPr>
        <w:t>FLT1</w:t>
      </w:r>
      <w:r w:rsidRPr="00031CEF">
        <w:rPr>
          <w:rFonts w:ascii="Arial" w:eastAsia="Arial" w:hAnsi="Arial" w:cs="Arial"/>
        </w:rPr>
        <w:t xml:space="preserve">, endothelial cells). </w:t>
      </w:r>
      <w:r w:rsidRPr="00031CEF">
        <w:rPr>
          <w:rFonts w:ascii="Arial" w:eastAsia="Arial" w:hAnsi="Arial" w:cs="Arial"/>
          <w:b/>
          <w:bCs/>
        </w:rPr>
        <w:t xml:space="preserve">(B) </w:t>
      </w:r>
      <w:r w:rsidRPr="00031CEF">
        <w:rPr>
          <w:rFonts w:ascii="Arial" w:eastAsia="Arial" w:hAnsi="Arial" w:cs="Arial"/>
        </w:rPr>
        <w:t>UMAPs showing the module score (MSc) expression of several immune cell/microglia markers (</w:t>
      </w:r>
      <w:r w:rsidRPr="00031CEF">
        <w:rPr>
          <w:rFonts w:ascii="Arial" w:eastAsia="Arial" w:hAnsi="Arial" w:cs="Arial"/>
          <w:i/>
          <w:iCs/>
        </w:rPr>
        <w:t>P2RY12, DOCK8, CD74, CX3CR1, C1QB, C3, AIF1, HLA-DRA</w:t>
      </w:r>
      <w:r w:rsidRPr="00031CEF">
        <w:rPr>
          <w:rFonts w:ascii="Arial" w:eastAsia="Arial" w:hAnsi="Arial" w:cs="Arial"/>
        </w:rPr>
        <w:t xml:space="preserve">) in each dataset. Expression is prevalent in the clusters annotated as immune cells. </w:t>
      </w:r>
    </w:p>
    <w:p w14:paraId="0CFC8410" w14:textId="77777777" w:rsidR="008F190E" w:rsidRPr="00031CEF" w:rsidRDefault="008F190E" w:rsidP="008F190E">
      <w:pPr>
        <w:spacing w:after="0" w:line="480" w:lineRule="auto"/>
        <w:jc w:val="both"/>
        <w:rPr>
          <w:rFonts w:ascii="Arial" w:eastAsia="Arial" w:hAnsi="Arial" w:cs="Arial"/>
        </w:rPr>
      </w:pPr>
    </w:p>
    <w:p w14:paraId="4E63068B" w14:textId="77777777" w:rsidR="008F190E" w:rsidRPr="00031CEF" w:rsidRDefault="008F190E" w:rsidP="008F190E">
      <w:pPr>
        <w:spacing w:after="0" w:line="480" w:lineRule="auto"/>
        <w:jc w:val="both"/>
        <w:rPr>
          <w:rFonts w:ascii="Arial" w:eastAsia="Arial" w:hAnsi="Arial" w:cs="Arial"/>
        </w:rPr>
      </w:pPr>
      <w:r w:rsidRPr="00031CEF">
        <w:rPr>
          <w:rFonts w:ascii="Arial" w:eastAsia="Arial" w:hAnsi="Arial" w:cs="Arial"/>
          <w:b/>
          <w:bCs/>
        </w:rPr>
        <w:t>Supplementary Figure 3</w:t>
      </w:r>
      <w:r w:rsidRPr="421FC3C0">
        <w:rPr>
          <w:rFonts w:ascii="Arial" w:eastAsia="Arial" w:hAnsi="Arial" w:cs="Arial"/>
          <w:b/>
          <w:bCs/>
        </w:rPr>
        <w:t>.</w:t>
      </w:r>
      <w:r w:rsidRPr="00031CEF">
        <w:rPr>
          <w:rFonts w:ascii="Arial" w:eastAsia="Arial" w:hAnsi="Arial" w:cs="Arial"/>
          <w:b/>
          <w:bCs/>
        </w:rPr>
        <w:t xml:space="preserve"> </w:t>
      </w:r>
      <w:r w:rsidRPr="00031CEF">
        <w:rPr>
          <w:rFonts w:ascii="Arial" w:eastAsia="Arial" w:hAnsi="Arial" w:cs="Arial"/>
        </w:rPr>
        <w:t xml:space="preserve">Evaluation of covariate confounding effects. Nuclei were annotated in the UMAP plots in relation to </w:t>
      </w:r>
      <w:r w:rsidRPr="00031CEF">
        <w:rPr>
          <w:rFonts w:ascii="Arial" w:eastAsia="Arial" w:hAnsi="Arial" w:cs="Arial"/>
          <w:i/>
          <w:iCs/>
        </w:rPr>
        <w:t>Study</w:t>
      </w:r>
      <w:r w:rsidRPr="00031CEF">
        <w:rPr>
          <w:rFonts w:ascii="Arial" w:eastAsia="Arial" w:hAnsi="Arial" w:cs="Arial"/>
        </w:rPr>
        <w:t xml:space="preserve"> </w:t>
      </w:r>
      <w:r w:rsidRPr="00031CEF">
        <w:rPr>
          <w:rFonts w:ascii="Arial" w:eastAsia="Arial" w:hAnsi="Arial" w:cs="Arial"/>
          <w:b/>
          <w:bCs/>
        </w:rPr>
        <w:t>(A)</w:t>
      </w:r>
      <w:r w:rsidRPr="00031CEF">
        <w:rPr>
          <w:rFonts w:ascii="Arial" w:eastAsia="Arial" w:hAnsi="Arial" w:cs="Arial"/>
        </w:rPr>
        <w:t xml:space="preserve">, </w:t>
      </w:r>
      <w:r>
        <w:rPr>
          <w:rFonts w:ascii="Arial" w:eastAsia="Arial" w:hAnsi="Arial" w:cs="Arial"/>
          <w:i/>
          <w:iCs/>
        </w:rPr>
        <w:t>Tissue region</w:t>
      </w:r>
      <w:r w:rsidRPr="00031CEF">
        <w:rPr>
          <w:rFonts w:ascii="Arial" w:eastAsia="Arial" w:hAnsi="Arial" w:cs="Arial"/>
        </w:rPr>
        <w:t xml:space="preserve"> </w:t>
      </w:r>
      <w:r w:rsidRPr="00031CEF">
        <w:rPr>
          <w:rFonts w:ascii="Arial" w:eastAsia="Arial" w:hAnsi="Arial" w:cs="Arial"/>
          <w:b/>
          <w:bCs/>
        </w:rPr>
        <w:t>(B)</w:t>
      </w:r>
      <w:r w:rsidRPr="00031CEF">
        <w:rPr>
          <w:rFonts w:ascii="Arial" w:eastAsia="Arial" w:hAnsi="Arial" w:cs="Arial"/>
        </w:rPr>
        <w:t xml:space="preserve">, </w:t>
      </w:r>
      <w:r>
        <w:rPr>
          <w:rFonts w:ascii="Arial" w:eastAsia="Arial" w:hAnsi="Arial" w:cs="Arial"/>
          <w:i/>
          <w:iCs/>
        </w:rPr>
        <w:t>Age</w:t>
      </w:r>
      <w:r w:rsidRPr="00031CEF">
        <w:rPr>
          <w:rFonts w:ascii="Arial" w:eastAsia="Arial" w:hAnsi="Arial" w:cs="Arial"/>
          <w:b/>
          <w:bCs/>
        </w:rPr>
        <w:t xml:space="preserve"> (C)</w:t>
      </w:r>
      <w:r w:rsidRPr="00031CEF">
        <w:rPr>
          <w:rFonts w:ascii="Arial" w:eastAsia="Arial" w:hAnsi="Arial" w:cs="Arial"/>
        </w:rPr>
        <w:t xml:space="preserve">, </w:t>
      </w:r>
      <w:r>
        <w:rPr>
          <w:rFonts w:ascii="Arial" w:eastAsia="Arial" w:hAnsi="Arial" w:cs="Arial"/>
          <w:i/>
          <w:iCs/>
        </w:rPr>
        <w:t>Group</w:t>
      </w:r>
      <w:r w:rsidRPr="00031CEF">
        <w:rPr>
          <w:rFonts w:ascii="Arial" w:eastAsia="Arial" w:hAnsi="Arial" w:cs="Arial"/>
        </w:rPr>
        <w:t xml:space="preserve"> </w:t>
      </w:r>
      <w:r w:rsidRPr="00031CEF">
        <w:rPr>
          <w:rFonts w:ascii="Arial" w:eastAsia="Arial" w:hAnsi="Arial" w:cs="Arial"/>
          <w:b/>
          <w:bCs/>
        </w:rPr>
        <w:t>(D)</w:t>
      </w:r>
      <w:r w:rsidRPr="00031CEF">
        <w:rPr>
          <w:rFonts w:ascii="Arial" w:eastAsia="Arial" w:hAnsi="Arial" w:cs="Arial"/>
        </w:rPr>
        <w:t xml:space="preserve">, </w:t>
      </w:r>
      <w:r w:rsidRPr="00031CEF">
        <w:rPr>
          <w:rFonts w:ascii="Arial" w:eastAsia="Arial" w:hAnsi="Arial" w:cs="Arial"/>
          <w:i/>
          <w:iCs/>
        </w:rPr>
        <w:t>Gender</w:t>
      </w:r>
      <w:r w:rsidRPr="00031CEF">
        <w:rPr>
          <w:rFonts w:ascii="Arial" w:eastAsia="Arial" w:hAnsi="Arial" w:cs="Arial"/>
        </w:rPr>
        <w:t xml:space="preserve"> </w:t>
      </w:r>
      <w:r w:rsidRPr="00031CEF">
        <w:rPr>
          <w:rFonts w:ascii="Arial" w:eastAsia="Arial" w:hAnsi="Arial" w:cs="Arial"/>
          <w:b/>
          <w:bCs/>
        </w:rPr>
        <w:t>(E)</w:t>
      </w:r>
      <w:r w:rsidRPr="00031CEF">
        <w:rPr>
          <w:rFonts w:ascii="Arial" w:eastAsia="Arial" w:hAnsi="Arial" w:cs="Arial"/>
        </w:rPr>
        <w:t xml:space="preserve"> and </w:t>
      </w:r>
      <w:r>
        <w:rPr>
          <w:rFonts w:ascii="Arial" w:eastAsia="Arial" w:hAnsi="Arial" w:cs="Arial"/>
          <w:i/>
          <w:iCs/>
        </w:rPr>
        <w:t>Tissue state</w:t>
      </w:r>
      <w:r w:rsidRPr="00031CEF">
        <w:rPr>
          <w:rFonts w:ascii="Arial" w:eastAsia="Arial" w:hAnsi="Arial" w:cs="Arial"/>
        </w:rPr>
        <w:t xml:space="preserve"> </w:t>
      </w:r>
      <w:r w:rsidRPr="00031CEF">
        <w:rPr>
          <w:rFonts w:ascii="Arial" w:eastAsia="Arial" w:hAnsi="Arial" w:cs="Arial"/>
          <w:b/>
          <w:bCs/>
        </w:rPr>
        <w:t>(F)</w:t>
      </w:r>
      <w:r w:rsidRPr="00031CEF">
        <w:rPr>
          <w:rFonts w:ascii="Arial" w:eastAsia="Arial" w:hAnsi="Arial" w:cs="Arial"/>
        </w:rPr>
        <w:t xml:space="preserve">. For each </w:t>
      </w:r>
      <w:r w:rsidRPr="006F2E6C">
        <w:rPr>
          <w:rFonts w:ascii="Arial" w:eastAsia="Arial" w:hAnsi="Arial" w:cs="Arial"/>
        </w:rPr>
        <w:t>category</w:t>
      </w:r>
      <w:r w:rsidRPr="00031CEF">
        <w:rPr>
          <w:rFonts w:ascii="Arial" w:eastAsia="Arial" w:hAnsi="Arial" w:cs="Arial"/>
        </w:rPr>
        <w:t>, the number of nuclei and the mean genes detected per nuclei are presented in a barplot</w:t>
      </w:r>
      <w:r w:rsidRPr="006F2E6C">
        <w:rPr>
          <w:rFonts w:ascii="Arial" w:eastAsia="Arial" w:hAnsi="Arial" w:cs="Arial"/>
        </w:rPr>
        <w:t>.</w:t>
      </w:r>
      <w:r w:rsidRPr="00031CEF">
        <w:rPr>
          <w:rFonts w:ascii="Arial" w:eastAsia="Arial" w:hAnsi="Arial" w:cs="Arial"/>
        </w:rPr>
        <w:t xml:space="preserve"> </w:t>
      </w:r>
      <w:r w:rsidRPr="00031CEF">
        <w:rPr>
          <w:rFonts w:ascii="Arial" w:eastAsia="Arial" w:hAnsi="Arial" w:cs="Arial"/>
          <w:b/>
          <w:bCs/>
        </w:rPr>
        <w:t>(G)</w:t>
      </w:r>
      <w:r w:rsidRPr="00031CEF">
        <w:rPr>
          <w:rFonts w:ascii="Arial" w:eastAsia="Arial" w:hAnsi="Arial" w:cs="Arial"/>
        </w:rPr>
        <w:t xml:space="preserve"> Density plot representation of the percentage of variance explained by each of the covariates.</w:t>
      </w:r>
    </w:p>
    <w:p w14:paraId="47FEED32" w14:textId="77777777" w:rsidR="008F190E" w:rsidRPr="00031CEF" w:rsidRDefault="008F190E" w:rsidP="008F190E">
      <w:pPr>
        <w:spacing w:after="0" w:line="480" w:lineRule="auto"/>
        <w:jc w:val="both"/>
        <w:rPr>
          <w:rFonts w:ascii="Arial" w:eastAsia="Arial" w:hAnsi="Arial" w:cs="Arial"/>
        </w:rPr>
      </w:pPr>
    </w:p>
    <w:p w14:paraId="19DE63D2" w14:textId="77777777" w:rsidR="008F190E" w:rsidRPr="00031CEF" w:rsidRDefault="008F190E" w:rsidP="008F190E">
      <w:pPr>
        <w:spacing w:after="0" w:line="480" w:lineRule="auto"/>
        <w:jc w:val="both"/>
        <w:rPr>
          <w:rFonts w:ascii="Arial" w:eastAsia="Arial" w:hAnsi="Arial" w:cs="Arial"/>
          <w:b/>
          <w:bCs/>
        </w:rPr>
      </w:pPr>
      <w:r w:rsidRPr="00031CEF">
        <w:rPr>
          <w:rFonts w:ascii="Arial" w:eastAsia="Arial" w:hAnsi="Arial" w:cs="Arial"/>
          <w:b/>
          <w:bCs/>
        </w:rPr>
        <w:t>Supplementary Figure 4</w:t>
      </w:r>
      <w:r w:rsidRPr="421FC3C0">
        <w:rPr>
          <w:rFonts w:ascii="Arial" w:eastAsia="Arial" w:hAnsi="Arial" w:cs="Arial"/>
          <w:b/>
          <w:bCs/>
        </w:rPr>
        <w:t>.</w:t>
      </w:r>
      <w:r w:rsidRPr="00031CEF">
        <w:rPr>
          <w:rFonts w:ascii="Arial" w:eastAsia="Arial" w:hAnsi="Arial" w:cs="Arial"/>
          <w:b/>
          <w:bCs/>
        </w:rPr>
        <w:t xml:space="preserve"> </w:t>
      </w:r>
      <w:r w:rsidRPr="00031CEF">
        <w:rPr>
          <w:rFonts w:ascii="Arial" w:eastAsia="Arial" w:hAnsi="Arial" w:cs="Arial"/>
        </w:rPr>
        <w:t xml:space="preserve">Proportion distribution of all clusters in the </w:t>
      </w:r>
      <w:r w:rsidRPr="00031CEF">
        <w:rPr>
          <w:rFonts w:ascii="Arial" w:eastAsia="Arial" w:hAnsi="Arial" w:cs="Arial"/>
          <w:i/>
          <w:iCs/>
        </w:rPr>
        <w:t>HuMicA</w:t>
      </w:r>
      <w:r w:rsidRPr="00031CEF">
        <w:rPr>
          <w:rFonts w:ascii="Arial" w:eastAsia="Arial" w:hAnsi="Arial" w:cs="Arial"/>
        </w:rPr>
        <w:t xml:space="preserve"> across pathological conditions as a whole </w:t>
      </w:r>
      <w:r w:rsidRPr="00031CEF">
        <w:rPr>
          <w:rFonts w:ascii="Arial" w:eastAsia="Arial" w:hAnsi="Arial" w:cs="Arial"/>
          <w:b/>
          <w:bCs/>
        </w:rPr>
        <w:t xml:space="preserve">(A) </w:t>
      </w:r>
      <w:r w:rsidRPr="00031CEF">
        <w:rPr>
          <w:rFonts w:ascii="Arial" w:eastAsia="Arial" w:hAnsi="Arial" w:cs="Arial"/>
        </w:rPr>
        <w:t xml:space="preserve">and individualized by subject </w:t>
      </w:r>
      <w:r w:rsidRPr="00031CEF">
        <w:rPr>
          <w:rFonts w:ascii="Arial" w:eastAsia="Arial" w:hAnsi="Arial" w:cs="Arial"/>
          <w:b/>
          <w:bCs/>
        </w:rPr>
        <w:t>(B).</w:t>
      </w:r>
    </w:p>
    <w:p w14:paraId="03A81BCD" w14:textId="77777777" w:rsidR="008F190E" w:rsidRPr="00031CEF" w:rsidRDefault="008F190E" w:rsidP="008F190E">
      <w:pPr>
        <w:spacing w:after="0" w:line="480" w:lineRule="auto"/>
        <w:jc w:val="both"/>
        <w:rPr>
          <w:rFonts w:ascii="Arial" w:eastAsia="Arial" w:hAnsi="Arial" w:cs="Arial"/>
        </w:rPr>
      </w:pPr>
    </w:p>
    <w:p w14:paraId="633F36E7" w14:textId="77777777" w:rsidR="008F190E" w:rsidRPr="00031CEF" w:rsidRDefault="008F190E" w:rsidP="008F190E">
      <w:pPr>
        <w:spacing w:after="0" w:line="480" w:lineRule="auto"/>
        <w:jc w:val="both"/>
        <w:rPr>
          <w:rFonts w:ascii="Arial" w:eastAsia="Arial" w:hAnsi="Arial" w:cs="Arial"/>
        </w:rPr>
      </w:pPr>
      <w:r w:rsidRPr="158E3463">
        <w:rPr>
          <w:rFonts w:ascii="Arial" w:eastAsia="Arial" w:hAnsi="Arial" w:cs="Arial"/>
          <w:b/>
          <w:bCs/>
        </w:rPr>
        <w:t xml:space="preserve">Supplementary Figure 5. (A) </w:t>
      </w:r>
      <w:r w:rsidRPr="158E3463">
        <w:rPr>
          <w:rFonts w:ascii="Arial" w:eastAsia="Arial" w:hAnsi="Arial" w:cs="Arial"/>
        </w:rPr>
        <w:t xml:space="preserve">UMAP representation of the </w:t>
      </w:r>
      <w:r w:rsidRPr="158E3463">
        <w:rPr>
          <w:rFonts w:ascii="Arial" w:eastAsia="Arial" w:hAnsi="Arial" w:cs="Arial"/>
          <w:i/>
          <w:iCs/>
        </w:rPr>
        <w:t xml:space="preserve">HuMicA </w:t>
      </w:r>
      <w:r w:rsidRPr="158E3463">
        <w:rPr>
          <w:rFonts w:ascii="Arial" w:eastAsia="Arial" w:hAnsi="Arial" w:cs="Arial"/>
        </w:rPr>
        <w:t xml:space="preserve">clusters 3, 6 and 7. </w:t>
      </w:r>
      <w:r w:rsidRPr="158E3463">
        <w:rPr>
          <w:rFonts w:ascii="Arial" w:eastAsia="Arial" w:hAnsi="Arial" w:cs="Arial"/>
          <w:b/>
          <w:bCs/>
        </w:rPr>
        <w:t>(B)</w:t>
      </w:r>
      <w:r w:rsidRPr="158E3463">
        <w:rPr>
          <w:rFonts w:ascii="Arial" w:eastAsia="Arial" w:hAnsi="Arial" w:cs="Arial"/>
        </w:rPr>
        <w:t xml:space="preserve"> Dot plot representation of the expression of markers of neurons (</w:t>
      </w:r>
      <w:r w:rsidRPr="158E3463">
        <w:rPr>
          <w:rFonts w:ascii="Arial" w:eastAsia="Arial" w:hAnsi="Arial" w:cs="Arial"/>
          <w:i/>
          <w:iCs/>
        </w:rPr>
        <w:t>SYT1, SNAP25</w:t>
      </w:r>
      <w:r w:rsidRPr="158E3463">
        <w:rPr>
          <w:rFonts w:ascii="Arial" w:eastAsia="Arial" w:hAnsi="Arial" w:cs="Arial"/>
        </w:rPr>
        <w:t>) and oligodendrocytes (</w:t>
      </w:r>
      <w:r w:rsidRPr="158E3463">
        <w:rPr>
          <w:rFonts w:ascii="Arial" w:eastAsia="Arial" w:hAnsi="Arial" w:cs="Arial"/>
          <w:i/>
          <w:iCs/>
        </w:rPr>
        <w:t xml:space="preserve">PLP1 </w:t>
      </w:r>
      <w:r w:rsidRPr="158E3463">
        <w:rPr>
          <w:rFonts w:ascii="Arial" w:eastAsia="Arial" w:hAnsi="Arial" w:cs="Arial"/>
        </w:rPr>
        <w:t xml:space="preserve">and </w:t>
      </w:r>
      <w:r w:rsidRPr="158E3463">
        <w:rPr>
          <w:rFonts w:ascii="Arial" w:eastAsia="Arial" w:hAnsi="Arial" w:cs="Arial"/>
          <w:i/>
          <w:iCs/>
        </w:rPr>
        <w:t>ST18</w:t>
      </w:r>
      <w:r w:rsidRPr="158E3463">
        <w:rPr>
          <w:rFonts w:ascii="Arial" w:eastAsia="Arial" w:hAnsi="Arial" w:cs="Arial"/>
        </w:rPr>
        <w:t>)</w:t>
      </w:r>
      <w:r w:rsidRPr="158E3463">
        <w:rPr>
          <w:rFonts w:ascii="Arial" w:eastAsia="Arial" w:hAnsi="Arial" w:cs="Arial"/>
          <w:i/>
          <w:iCs/>
        </w:rPr>
        <w:t xml:space="preserve">, </w:t>
      </w:r>
      <w:r w:rsidRPr="158E3463">
        <w:rPr>
          <w:rFonts w:ascii="Arial" w:eastAsia="Arial" w:hAnsi="Arial" w:cs="Arial"/>
        </w:rPr>
        <w:t>and</w:t>
      </w:r>
      <w:r w:rsidRPr="158E3463">
        <w:rPr>
          <w:rFonts w:ascii="Arial" w:eastAsia="Arial" w:hAnsi="Arial" w:cs="Arial"/>
          <w:i/>
          <w:iCs/>
        </w:rPr>
        <w:t xml:space="preserve"> </w:t>
      </w:r>
      <w:r w:rsidRPr="158E3463">
        <w:rPr>
          <w:rFonts w:ascii="Arial" w:eastAsia="Arial" w:hAnsi="Arial" w:cs="Arial"/>
        </w:rPr>
        <w:t xml:space="preserve">module score (MSc) expression of the lists of genes upregulated in clusters 3, 6 and 7 vs all other microglia. </w:t>
      </w:r>
      <w:r w:rsidRPr="158E3463">
        <w:rPr>
          <w:rFonts w:ascii="Arial" w:eastAsia="Arial" w:hAnsi="Arial" w:cs="Arial"/>
          <w:b/>
          <w:bCs/>
        </w:rPr>
        <w:t xml:space="preserve">(C) </w:t>
      </w:r>
      <w:r w:rsidRPr="158E3463">
        <w:rPr>
          <w:rFonts w:ascii="Arial" w:eastAsia="Arial" w:hAnsi="Arial" w:cs="Arial"/>
        </w:rPr>
        <w:t xml:space="preserve">Differential distributions of clusters 3, 6 and 7 in each pathology in relation to the healthy group. Population expansion or depletion is represented by the credible interval of the </w:t>
      </w:r>
      <w:r w:rsidRPr="158E3463">
        <w:rPr>
          <w:rFonts w:ascii="Arial" w:eastAsia="Arial" w:hAnsi="Arial" w:cs="Arial"/>
        </w:rPr>
        <w:lastRenderedPageBreak/>
        <w:t xml:space="preserve">slop. Statistical significance is considered for an adjusted p value (FDR) &lt; 0.05 and is highlighted in red. </w:t>
      </w:r>
      <w:r w:rsidRPr="158E3463">
        <w:rPr>
          <w:rFonts w:ascii="Arial" w:eastAsia="Arial" w:hAnsi="Arial" w:cs="Arial"/>
          <w:b/>
          <w:bCs/>
        </w:rPr>
        <w:t xml:space="preserve">(D) </w:t>
      </w:r>
      <w:r w:rsidRPr="158E3463">
        <w:rPr>
          <w:rFonts w:ascii="Arial" w:eastAsia="Arial" w:hAnsi="Arial" w:cs="Arial"/>
        </w:rPr>
        <w:t>Overlap plots of the enriched gene ontology (GO) terms calculated for the upregulated DEGs between all microglia clusters. Highlighted by the dashed red boxes are the overlapping GO terms between cluster 10 (</w:t>
      </w:r>
      <w:r w:rsidRPr="158E3463">
        <w:rPr>
          <w:rFonts w:ascii="Arial" w:eastAsia="Arial" w:hAnsi="Arial" w:cs="Arial"/>
          <w:i/>
          <w:iCs/>
        </w:rPr>
        <w:t>Homeos3</w:t>
      </w:r>
      <w:r w:rsidRPr="158E3463">
        <w:rPr>
          <w:rFonts w:ascii="Arial" w:eastAsia="Arial" w:hAnsi="Arial" w:cs="Arial"/>
        </w:rPr>
        <w:t>) and the other homeostatic clusters.</w:t>
      </w:r>
    </w:p>
    <w:p w14:paraId="7EEDF5C4" w14:textId="48A13D28" w:rsidR="158E3463" w:rsidRDefault="158E3463" w:rsidP="158E3463">
      <w:pPr>
        <w:spacing w:after="0" w:line="480" w:lineRule="auto"/>
        <w:jc w:val="both"/>
        <w:rPr>
          <w:rFonts w:ascii="Arial" w:eastAsia="Arial" w:hAnsi="Arial" w:cs="Arial"/>
        </w:rPr>
      </w:pPr>
    </w:p>
    <w:p w14:paraId="0B2A14F0" w14:textId="77777777" w:rsidR="008F190E" w:rsidRPr="00031CEF" w:rsidRDefault="008F190E" w:rsidP="008F190E">
      <w:pPr>
        <w:spacing w:after="0" w:line="480" w:lineRule="auto"/>
        <w:jc w:val="both"/>
        <w:rPr>
          <w:rFonts w:ascii="Arial" w:eastAsia="Arial" w:hAnsi="Arial" w:cs="Arial"/>
        </w:rPr>
      </w:pPr>
      <w:r w:rsidRPr="00031CEF">
        <w:rPr>
          <w:rFonts w:ascii="Arial" w:eastAsia="Arial" w:hAnsi="Arial" w:cs="Arial"/>
          <w:b/>
          <w:bCs/>
        </w:rPr>
        <w:t>Supplementary Figure 6</w:t>
      </w:r>
      <w:r w:rsidRPr="421FC3C0">
        <w:rPr>
          <w:rFonts w:ascii="Arial" w:eastAsia="Arial" w:hAnsi="Arial" w:cs="Arial"/>
          <w:b/>
          <w:bCs/>
        </w:rPr>
        <w:t>.</w:t>
      </w:r>
      <w:r w:rsidRPr="00031CEF">
        <w:rPr>
          <w:rFonts w:ascii="Arial" w:eastAsia="Arial" w:hAnsi="Arial" w:cs="Arial"/>
          <w:b/>
          <w:bCs/>
        </w:rPr>
        <w:t xml:space="preserve"> (A) </w:t>
      </w:r>
      <w:r w:rsidRPr="00031CEF">
        <w:rPr>
          <w:rFonts w:ascii="Arial" w:eastAsia="Arial" w:hAnsi="Arial" w:cs="Arial"/>
        </w:rPr>
        <w:t>UMAPs showing the expression of genes specifically upregulated in each homeostatic cluster (</w:t>
      </w:r>
      <w:r w:rsidRPr="00031CEF">
        <w:rPr>
          <w:rFonts w:ascii="Arial" w:eastAsia="Arial" w:hAnsi="Arial" w:cs="Arial"/>
          <w:i/>
          <w:iCs/>
        </w:rPr>
        <w:t>NAV2</w:t>
      </w:r>
      <w:r w:rsidRPr="00031CEF">
        <w:rPr>
          <w:rFonts w:ascii="Arial" w:eastAsia="Arial" w:hAnsi="Arial" w:cs="Arial"/>
        </w:rPr>
        <w:t xml:space="preserve">, </w:t>
      </w:r>
      <w:r w:rsidRPr="00031CEF">
        <w:rPr>
          <w:rFonts w:ascii="Arial" w:eastAsia="Arial" w:hAnsi="Arial" w:cs="Arial"/>
          <w:i/>
          <w:iCs/>
        </w:rPr>
        <w:t>Homeos1</w:t>
      </w:r>
      <w:r w:rsidRPr="00031CEF">
        <w:rPr>
          <w:rFonts w:ascii="Arial" w:eastAsia="Arial" w:hAnsi="Arial" w:cs="Arial"/>
        </w:rPr>
        <w:t>;</w:t>
      </w:r>
      <w:r w:rsidRPr="00031CEF">
        <w:rPr>
          <w:rFonts w:ascii="Arial" w:eastAsia="Arial" w:hAnsi="Arial" w:cs="Arial"/>
          <w:i/>
          <w:iCs/>
        </w:rPr>
        <w:t xml:space="preserve"> GRID2</w:t>
      </w:r>
      <w:r w:rsidRPr="00031CEF">
        <w:rPr>
          <w:rFonts w:ascii="Arial" w:eastAsia="Arial" w:hAnsi="Arial" w:cs="Arial"/>
        </w:rPr>
        <w:t xml:space="preserve">, </w:t>
      </w:r>
      <w:r w:rsidRPr="00031CEF">
        <w:rPr>
          <w:rFonts w:ascii="Arial" w:eastAsia="Arial" w:hAnsi="Arial" w:cs="Arial"/>
          <w:i/>
          <w:iCs/>
        </w:rPr>
        <w:t>Homeos2</w:t>
      </w:r>
      <w:r w:rsidRPr="00031CEF">
        <w:rPr>
          <w:rFonts w:ascii="Arial" w:eastAsia="Arial" w:hAnsi="Arial" w:cs="Arial"/>
        </w:rPr>
        <w:t xml:space="preserve">; </w:t>
      </w:r>
      <w:r w:rsidRPr="00031CEF">
        <w:rPr>
          <w:rFonts w:ascii="Arial" w:eastAsia="Arial" w:hAnsi="Arial" w:cs="Arial"/>
          <w:i/>
          <w:iCs/>
        </w:rPr>
        <w:t>SERPINE1</w:t>
      </w:r>
      <w:r w:rsidRPr="00031CEF">
        <w:rPr>
          <w:rFonts w:ascii="Arial" w:eastAsia="Arial" w:hAnsi="Arial" w:cs="Arial"/>
        </w:rPr>
        <w:t xml:space="preserve">, </w:t>
      </w:r>
      <w:r w:rsidRPr="00031CEF">
        <w:rPr>
          <w:rFonts w:ascii="Arial" w:eastAsia="Arial" w:hAnsi="Arial" w:cs="Arial"/>
          <w:i/>
          <w:iCs/>
        </w:rPr>
        <w:t>Homeos3;</w:t>
      </w:r>
      <w:r w:rsidRPr="00031CEF">
        <w:rPr>
          <w:rFonts w:ascii="Arial" w:eastAsia="Arial" w:hAnsi="Arial" w:cs="Arial"/>
        </w:rPr>
        <w:t xml:space="preserve"> </w:t>
      </w:r>
      <w:r w:rsidRPr="00031CEF">
        <w:rPr>
          <w:rFonts w:ascii="Arial" w:eastAsia="Arial" w:hAnsi="Arial" w:cs="Arial"/>
          <w:i/>
          <w:iCs/>
        </w:rPr>
        <w:t>CCDC26</w:t>
      </w:r>
      <w:r w:rsidRPr="00031CEF">
        <w:rPr>
          <w:rFonts w:ascii="Arial" w:eastAsia="Arial" w:hAnsi="Arial" w:cs="Arial"/>
        </w:rPr>
        <w:t xml:space="preserve">, </w:t>
      </w:r>
      <w:r w:rsidRPr="00031CEF">
        <w:rPr>
          <w:rFonts w:ascii="Arial" w:eastAsia="Arial" w:hAnsi="Arial" w:cs="Arial"/>
          <w:i/>
          <w:iCs/>
        </w:rPr>
        <w:t>Homeos4</w:t>
      </w:r>
      <w:r w:rsidRPr="00031CEF">
        <w:rPr>
          <w:rFonts w:ascii="Arial" w:eastAsia="Arial" w:hAnsi="Arial" w:cs="Arial"/>
        </w:rPr>
        <w:t xml:space="preserve">). </w:t>
      </w:r>
      <w:r w:rsidRPr="00031CEF">
        <w:rPr>
          <w:rFonts w:ascii="Arial" w:eastAsia="Arial" w:hAnsi="Arial" w:cs="Arial"/>
          <w:b/>
          <w:bCs/>
        </w:rPr>
        <w:t xml:space="preserve">(B) </w:t>
      </w:r>
      <w:r w:rsidRPr="00031CEF">
        <w:rPr>
          <w:rFonts w:ascii="Arial" w:eastAsia="Arial" w:hAnsi="Arial" w:cs="Arial"/>
        </w:rPr>
        <w:t>Representation of the top ten most significantly enriched GO terms considering the upregulated DEGs in homeostatic clusters vs other microglia and specifically in each of the homeostatic subpopulations.</w:t>
      </w:r>
      <w:r w:rsidRPr="00031CEF">
        <w:rPr>
          <w:rFonts w:ascii="Arial" w:eastAsia="Arial" w:hAnsi="Arial" w:cs="Arial"/>
          <w:b/>
          <w:bCs/>
        </w:rPr>
        <w:t xml:space="preserve"> (C) </w:t>
      </w:r>
      <w:r w:rsidRPr="00031CEF">
        <w:rPr>
          <w:rFonts w:ascii="Arial" w:eastAsia="Arial" w:hAnsi="Arial" w:cs="Arial"/>
        </w:rPr>
        <w:t>TF enrichment of all significant TFs (</w:t>
      </w:r>
      <w:r>
        <w:rPr>
          <w:rFonts w:ascii="Arial" w:eastAsia="Arial" w:hAnsi="Arial" w:cs="Arial"/>
        </w:rPr>
        <w:t xml:space="preserve">p value </w:t>
      </w:r>
      <w:r w:rsidRPr="00031CEF">
        <w:rPr>
          <w:rFonts w:ascii="Arial" w:eastAsia="Arial" w:hAnsi="Arial" w:cs="Arial"/>
        </w:rPr>
        <w:t>&lt; 0.0</w:t>
      </w:r>
      <w:r>
        <w:rPr>
          <w:rFonts w:ascii="Arial" w:eastAsia="Arial" w:hAnsi="Arial" w:cs="Arial"/>
        </w:rPr>
        <w:t>1</w:t>
      </w:r>
      <w:r w:rsidRPr="00031CEF">
        <w:rPr>
          <w:rFonts w:ascii="Arial" w:eastAsia="Arial" w:hAnsi="Arial" w:cs="Arial"/>
        </w:rPr>
        <w:t xml:space="preserve">) to the comparison of differential expression of all homeostatic clusters vs all other microglia, and specifically in each of the homeostatic subpopulations. Significance is represented by the Normalized Enrichment Score (NES) and the negative of log of the adjusted p value (FDR). </w:t>
      </w:r>
      <w:r w:rsidRPr="00031CEF">
        <w:rPr>
          <w:rFonts w:ascii="Arial" w:eastAsia="Arial" w:hAnsi="Arial" w:cs="Arial"/>
          <w:b/>
          <w:bCs/>
        </w:rPr>
        <w:t xml:space="preserve">(D) </w:t>
      </w:r>
      <w:r w:rsidRPr="00031CEF">
        <w:rPr>
          <w:rFonts w:ascii="Arial" w:eastAsia="Arial" w:hAnsi="Arial" w:cs="Arial"/>
        </w:rPr>
        <w:t xml:space="preserve">Overlap plots of the upregulated and downregulated DEGs calculated for the homeostatic microglia in each pathology vs the healthy population. </w:t>
      </w:r>
      <w:r>
        <w:rPr>
          <w:rFonts w:ascii="Arial" w:eastAsia="Arial" w:hAnsi="Arial" w:cs="Arial"/>
        </w:rPr>
        <w:t>The bars h</w:t>
      </w:r>
      <w:r w:rsidRPr="00031CEF">
        <w:rPr>
          <w:rFonts w:ascii="Arial" w:eastAsia="Arial" w:hAnsi="Arial" w:cs="Arial"/>
        </w:rPr>
        <w:t xml:space="preserve">ighlighted in gold (upregulated) and purple (downregulated) </w:t>
      </w:r>
      <w:r>
        <w:rPr>
          <w:rFonts w:ascii="Arial" w:eastAsia="Arial" w:hAnsi="Arial" w:cs="Arial"/>
        </w:rPr>
        <w:t xml:space="preserve">represent the </w:t>
      </w:r>
      <w:r w:rsidRPr="00031CEF">
        <w:rPr>
          <w:rFonts w:ascii="Arial" w:eastAsia="Arial" w:hAnsi="Arial" w:cs="Arial"/>
        </w:rPr>
        <w:t>DEGs exclusive to each pathology.</w:t>
      </w:r>
      <w:r>
        <w:rPr>
          <w:rFonts w:ascii="Arial" w:eastAsia="Arial" w:hAnsi="Arial" w:cs="Arial"/>
        </w:rPr>
        <w:t xml:space="preserve"> </w:t>
      </w:r>
      <w:r w:rsidRPr="00031CEF">
        <w:rPr>
          <w:rFonts w:ascii="Arial" w:eastAsia="Arial" w:hAnsi="Arial" w:cs="Arial"/>
          <w:b/>
          <w:bCs/>
        </w:rPr>
        <w:t xml:space="preserve">(E) </w:t>
      </w:r>
      <w:r w:rsidRPr="00031CEF">
        <w:rPr>
          <w:rFonts w:ascii="Arial" w:eastAsia="Arial" w:hAnsi="Arial" w:cs="Arial"/>
        </w:rPr>
        <w:t>Proportions of all homeostatic microglia across pathological conditions as a whole and individualized by subject. Dashed line represents the proportion in the healthy group (“</w:t>
      </w:r>
      <w:r w:rsidRPr="00031CEF">
        <w:rPr>
          <w:rFonts w:ascii="Arial" w:eastAsia="Arial" w:hAnsi="Arial" w:cs="Arial"/>
          <w:i/>
          <w:iCs/>
        </w:rPr>
        <w:t>No Neuropathology”</w:t>
      </w:r>
      <w:r w:rsidRPr="00031CEF">
        <w:rPr>
          <w:rFonts w:ascii="Arial" w:eastAsia="Arial" w:hAnsi="Arial" w:cs="Arial"/>
        </w:rPr>
        <w:t xml:space="preserve">). </w:t>
      </w:r>
      <w:r w:rsidRPr="00031CEF">
        <w:rPr>
          <w:rFonts w:ascii="Arial" w:eastAsia="Arial" w:hAnsi="Arial" w:cs="Arial"/>
          <w:b/>
          <w:bCs/>
        </w:rPr>
        <w:t>(F)</w:t>
      </w:r>
      <w:r>
        <w:rPr>
          <w:rFonts w:ascii="Arial" w:eastAsia="Arial" w:hAnsi="Arial" w:cs="Arial"/>
          <w:b/>
          <w:bCs/>
        </w:rPr>
        <w:t xml:space="preserve"> </w:t>
      </w:r>
      <w:r w:rsidRPr="00031CEF">
        <w:rPr>
          <w:rFonts w:ascii="Arial" w:eastAsia="Arial" w:hAnsi="Arial" w:cs="Arial"/>
        </w:rPr>
        <w:t>Proportions of each homeostatic cluster across pathological conditions as a whole and individualized by subject. Dashed line represents the proportion in the healthy group (“</w:t>
      </w:r>
      <w:r w:rsidRPr="00031CEF">
        <w:rPr>
          <w:rFonts w:ascii="Arial" w:eastAsia="Arial" w:hAnsi="Arial" w:cs="Arial"/>
          <w:i/>
          <w:iCs/>
        </w:rPr>
        <w:t>No Neuropathology”</w:t>
      </w:r>
      <w:r w:rsidRPr="00031CEF">
        <w:rPr>
          <w:rFonts w:ascii="Arial" w:eastAsia="Arial" w:hAnsi="Arial" w:cs="Arial"/>
        </w:rPr>
        <w:t xml:space="preserve">). </w:t>
      </w:r>
    </w:p>
    <w:p w14:paraId="6871E692" w14:textId="77777777" w:rsidR="008F190E" w:rsidRPr="00031CEF" w:rsidRDefault="008F190E" w:rsidP="008F190E">
      <w:pPr>
        <w:spacing w:after="0" w:line="480" w:lineRule="auto"/>
        <w:jc w:val="both"/>
        <w:rPr>
          <w:rFonts w:ascii="Arial" w:eastAsia="Arial" w:hAnsi="Arial" w:cs="Arial"/>
          <w:b/>
          <w:bCs/>
        </w:rPr>
      </w:pPr>
    </w:p>
    <w:p w14:paraId="74A74F65" w14:textId="77777777" w:rsidR="008F190E" w:rsidRPr="00031CEF" w:rsidRDefault="008F190E" w:rsidP="008F190E">
      <w:pPr>
        <w:spacing w:after="0" w:line="480" w:lineRule="auto"/>
        <w:jc w:val="both"/>
        <w:rPr>
          <w:rFonts w:ascii="Arial" w:eastAsia="Arial" w:hAnsi="Arial" w:cs="Arial"/>
        </w:rPr>
      </w:pPr>
      <w:r w:rsidRPr="006F2E6C">
        <w:rPr>
          <w:rFonts w:ascii="Arial" w:eastAsia="Arial" w:hAnsi="Arial" w:cs="Arial"/>
          <w:b/>
          <w:bCs/>
        </w:rPr>
        <w:t>Supplementary Figure 7</w:t>
      </w:r>
      <w:r w:rsidRPr="421FC3C0">
        <w:rPr>
          <w:rFonts w:ascii="Arial" w:eastAsia="Arial" w:hAnsi="Arial" w:cs="Arial"/>
          <w:b/>
          <w:bCs/>
        </w:rPr>
        <w:t>.</w:t>
      </w:r>
      <w:r w:rsidRPr="006F2E6C">
        <w:rPr>
          <w:rFonts w:ascii="Arial" w:eastAsia="Arial" w:hAnsi="Arial" w:cs="Arial"/>
          <w:b/>
          <w:bCs/>
        </w:rPr>
        <w:t xml:space="preserve"> (A) </w:t>
      </w:r>
      <w:r w:rsidRPr="006F2E6C">
        <w:rPr>
          <w:rFonts w:ascii="Arial" w:eastAsia="Arial" w:hAnsi="Arial" w:cs="Arial"/>
        </w:rPr>
        <w:t>UMAPs showing the gene expression of the module score (MSc) of the conserved DIM human signature (</w:t>
      </w:r>
      <w:r w:rsidRPr="006F2E6C">
        <w:rPr>
          <w:rFonts w:ascii="Arial" w:eastAsia="Arial" w:hAnsi="Arial" w:cs="Arial"/>
          <w:i/>
          <w:iCs/>
        </w:rPr>
        <w:t>CCL4, CD14, CD83, CSF2RA, EIF1, FOS, IER2, JUN, JUNB, EGR1, IL1B, TNF, PLAUR, SAT1, ZFP36, BTG2</w:t>
      </w:r>
      <w:r w:rsidRPr="006F2E6C">
        <w:rPr>
          <w:rFonts w:ascii="Arial" w:eastAsia="Arial" w:hAnsi="Arial" w:cs="Arial"/>
        </w:rPr>
        <w:t xml:space="preserve">) from Silvin </w:t>
      </w:r>
      <w:r w:rsidRPr="006F2E6C">
        <w:rPr>
          <w:rFonts w:ascii="Arial" w:eastAsia="Arial" w:hAnsi="Arial" w:cs="Arial"/>
          <w:i/>
          <w:iCs/>
        </w:rPr>
        <w:t>et al.</w:t>
      </w:r>
      <w:r w:rsidRPr="006F2E6C">
        <w:rPr>
          <w:rFonts w:ascii="Arial" w:eastAsia="Arial" w:hAnsi="Arial" w:cs="Arial"/>
        </w:rPr>
        <w:t xml:space="preserve"> (2022)</w:t>
      </w:r>
      <w:r w:rsidRPr="006F2E6C">
        <w:rPr>
          <w:rFonts w:ascii="Arial" w:eastAsia="Arial" w:hAnsi="Arial" w:cs="Arial"/>
        </w:rPr>
        <w:fldChar w:fldCharType="begin" w:fldLock="1"/>
      </w:r>
      <w:r>
        <w:rPr>
          <w:rFonts w:ascii="Arial" w:eastAsia="Arial" w:hAnsi="Arial" w:cs="Arial"/>
        </w:rPr>
        <w:instrText>ADDIN CSL_CITATION {"citationItems":[{"id":"ITEM-1","itemData":{"DOI":"10.1016/j.immuni.2022.07.004","ISSN":"1097-4180 (Electronic)","PMID":"35931085","abstract":"Brain macrophage populations include parenchymal microglia, border-associated  macrophages, and recruited monocyte-derived cells; together, they control brain development and homeostasis but are also implicated in aging pathogenesis and neurodegeneration. The phenotypes, localization, and functions of each population in different contexts have yet to be resolved. We generated a murine brain myeloid scRNA-seq integration to systematically delineate brain macrophage populations. We show that the previously identified disease-associated microglia (DAM) population detected in murine Alzheimer's disease models actually comprises two ontogenetically and functionally distinct cell lineages: embryonically derived triggering receptor expressed on myeloid cells 2 (TREM2)-dependent DAM expressing a neuroprotective signature and monocyte-derived TREM2-expressing disease inflammatory macrophages (DIMs) accumulating in the brain during aging. These two distinct populations appear to also be conserved in the human brain. Herein, we generate an ontogeny-resolved model of brain myeloid cell heterogeneity in development, homeostasis, and disease and identify cellular targets for the treatment of neurodegeneration.","author":[{"dropping-particle":"","family":"Silvin","given":"Aymeric","non-dropping-particle":"","parse-names":false,"suffix":""},{"dropping-particle":"","family":"Uderhardt","given":"Stefan","non-dropping-particle":"","parse-names":false,"suffix":""},{"dropping-particle":"","family":"Piot","given":"Cecile","non-dropping-particle":"","parse-names":false,"suffix":""},{"dropping-particle":"","family":"Mesquita","given":"Sandro","non-dropping-particle":"Da","parse-names":false,"suffix":""},{"dropping-particle":"","family":"Yang","given":"Katharine","non-dropping-particle":"","parse-names":false,"suffix":""},{"dropping-particle":"","family":"Geirsdottir","given":"Laufey","non-dropping-particle":"","parse-names":false,"suffix":""},{"dropping-particle":"","family":"Mulder","given":"Kevin","non-dropping-particle":"","parse-names":false,"suffix":""},{"dropping-particle":"","family":"Eyal","given":"David","non-dropping-particle":"","parse-names":false,"suffix":""},{"dropping-particle":"","family":"Liu","given":"Zhaoyuan","non-dropping-particle":"","parse-names":false,"suffix":""},{"dropping-particle":"","family":"Bridlance","given":"Cecile","non-dropping-particle":"","parse-names":false,"suffix":""},{"dropping-particle":"","family":"Thion","given":"Morgane Sonia","non-dropping-particle":"","parse-names":false,"suffix":""},{"dropping-particle":"","family":"Zhang","given":"Xiao Meng","non-dropping-particle":"","parse-names":false,"suffix":""},{"dropping-particle":"","family":"Kong","given":"Wan Ting","non-dropping-particle":"","parse-names":false,"suffix":""},{"dropping-particle":"","family":"Deloger","given":"Marc","non-dropping-particle":"","parse-names":false,"suffix":""},{"dropping-particle":"","family":"Fontes","given":"Vasco","non-dropping-particle":"","parse-names":false,"suffix":""},{"dropping-particle":"","family":"Weiner","given":"Assaf","non-dropping-particle":"","parse-names":false,"suffix":""},{"dropping-particle":"","family":"Ee","given":"Rachel","non-dropping-particle":"","parse-names":false,"suffix":""},{"dropping-particle":"","family":"Dress","given":"Regine","non-dropping-particle":"","parse-names":false,"suffix":""},{"dropping-particle":"","family":"Hang","given":"Jing Wen","non-dropping-particle":"","parse-names":false,"suffix":""},{"dropping-particle":"","family":"Balachander","given":"Akhila","non-dropping-particle":"","parse-names":false,"suffix":""},{"dropping-particle":"","family":"Chakarov","given":"Svetoslav","non-dropping-particle":"","parse-names":false,"suffix":""},{"dropping-particle":"","family":"Malleret","given":"Benoit","non-dropping-particle":"","parse-names":false,"suffix":""},{"dropping-particle":"","family":"Dunsmore","given":"Garett","non-dropping-particle":"","parse-names":false,"suffix":""},{"dropping-particle":"","family":"Cexus","given":"Olivier","non-dropping-particle":"","parse-names":false,"suffix":""},{"dropping-particle":"","family":"Chen","given":"Jinmiao","non-dropping-particle":"","parse-names":false,"suffix":""},{"dropping-particle":"","family":"Garel","given":"Sonia","non-dropping-particle":"","parse-names":false,"suffix":""},{"dropping-particle":"","family":"Dutertre","given":"Charles Antoine","non-dropping-particle":"","parse-names":false,"suffix":""},{"dropping-particle":"","family":"Amit","given":"Ido","non-dropping-particle":"","parse-names":false,"suffix":""},{"dropping-particle":"","family":"Kipnis","given":"Jonathan","non-dropping-particle":"","parse-names":false,"suffix":""},{"dropping-particle":"","family":"Ginhoux","given":"Florent","non-dropping-particle":"","parse-names":false,"suffix":""}],"container-title":"Immunity","id":"ITEM-1","issue":"8","issued":{"date-parts":[["2022","8"]]},"language":"eng","page":"1448-1465.e6","publisher-place":"United States","title":"Dual ontogeny of disease-associated microglia and disease inflammatory  macrophages in aging and neurodegeneration.","type":"article-journal","volume":"55"},"uris":["http://www.mendeley.com/documents/?uuid=aac7dd39-fc5d-49bf-8970-0de9cd712cca"]}],"mendeley":{"formattedCitation":"&lt;sup&gt;27&lt;/sup&gt;","plainTextFormattedCitation":"27","previouslyFormattedCitation":"&lt;sup&gt;27&lt;/sup&gt;"},"properties":{"noteIndex":0},"schema":"https://github.com/citation-style-language/schema/raw/master/csl-citation.json"}</w:instrText>
      </w:r>
      <w:r w:rsidRPr="006F2E6C">
        <w:rPr>
          <w:rFonts w:ascii="Arial" w:eastAsia="Arial" w:hAnsi="Arial" w:cs="Arial"/>
        </w:rPr>
        <w:fldChar w:fldCharType="separate"/>
      </w:r>
      <w:r w:rsidRPr="003C352A">
        <w:rPr>
          <w:rFonts w:ascii="Arial" w:eastAsia="Arial" w:hAnsi="Arial" w:cs="Arial"/>
          <w:noProof/>
          <w:vertAlign w:val="superscript"/>
        </w:rPr>
        <w:t>27</w:t>
      </w:r>
      <w:r w:rsidRPr="006F2E6C">
        <w:rPr>
          <w:rFonts w:ascii="Arial" w:eastAsia="Arial" w:hAnsi="Arial" w:cs="Arial"/>
        </w:rPr>
        <w:fldChar w:fldCharType="end"/>
      </w:r>
      <w:r w:rsidRPr="006F2E6C">
        <w:rPr>
          <w:rFonts w:ascii="Arial" w:eastAsia="Arial" w:hAnsi="Arial" w:cs="Arial"/>
        </w:rPr>
        <w:t xml:space="preserve">, and the individual expression of </w:t>
      </w:r>
      <w:r w:rsidRPr="006F2E6C">
        <w:rPr>
          <w:rFonts w:ascii="Arial" w:eastAsia="Arial" w:hAnsi="Arial" w:cs="Arial"/>
          <w:i/>
          <w:iCs/>
        </w:rPr>
        <w:t xml:space="preserve">CD83, CSF2RA </w:t>
      </w:r>
      <w:r w:rsidRPr="006F2E6C">
        <w:rPr>
          <w:rFonts w:ascii="Arial" w:eastAsia="Arial" w:hAnsi="Arial" w:cs="Arial"/>
        </w:rPr>
        <w:t xml:space="preserve">and </w:t>
      </w:r>
      <w:r w:rsidRPr="006F2E6C">
        <w:rPr>
          <w:rFonts w:ascii="Arial" w:eastAsia="Arial" w:hAnsi="Arial" w:cs="Arial"/>
          <w:i/>
          <w:iCs/>
        </w:rPr>
        <w:t xml:space="preserve">SAT1. </w:t>
      </w:r>
      <w:r w:rsidRPr="006F2E6C">
        <w:rPr>
          <w:rFonts w:ascii="Arial" w:eastAsia="Arial" w:hAnsi="Arial" w:cs="Arial"/>
          <w:b/>
          <w:bCs/>
        </w:rPr>
        <w:t xml:space="preserve">(B) </w:t>
      </w:r>
      <w:r w:rsidRPr="006F2E6C">
        <w:rPr>
          <w:rFonts w:ascii="Arial" w:eastAsia="Arial" w:hAnsi="Arial" w:cs="Arial"/>
        </w:rPr>
        <w:t xml:space="preserve">Net plot representation of the fifteen most significant GO terms enriched on the lists DEGs in the </w:t>
      </w:r>
      <w:r w:rsidRPr="006F2E6C">
        <w:rPr>
          <w:rFonts w:ascii="Arial" w:eastAsia="Arial" w:hAnsi="Arial" w:cs="Arial"/>
          <w:i/>
          <w:iCs/>
        </w:rPr>
        <w:t>DIM</w:t>
      </w:r>
      <w:r w:rsidRPr="006F2E6C">
        <w:rPr>
          <w:rFonts w:ascii="Arial" w:eastAsia="Arial" w:hAnsi="Arial" w:cs="Arial"/>
        </w:rPr>
        <w:t xml:space="preserve"> vs </w:t>
      </w:r>
      <w:r w:rsidRPr="006F2E6C">
        <w:rPr>
          <w:rFonts w:ascii="Arial" w:eastAsia="Arial" w:hAnsi="Arial" w:cs="Arial"/>
          <w:i/>
          <w:iCs/>
        </w:rPr>
        <w:t>DAM</w:t>
      </w:r>
      <w:r w:rsidRPr="006F2E6C">
        <w:rPr>
          <w:rFonts w:ascii="Arial" w:eastAsia="Arial" w:hAnsi="Arial" w:cs="Arial"/>
        </w:rPr>
        <w:t xml:space="preserve"> comparison. The range of expression of each gene is represented by the negative of the log of the p value and the average of the log</w:t>
      </w:r>
      <w:r>
        <w:rPr>
          <w:rFonts w:ascii="Arial" w:eastAsia="Arial" w:hAnsi="Arial" w:cs="Arial"/>
        </w:rPr>
        <w:t>2</w:t>
      </w:r>
      <w:r w:rsidRPr="006F2E6C">
        <w:rPr>
          <w:rFonts w:ascii="Arial" w:eastAsia="Arial" w:hAnsi="Arial" w:cs="Arial"/>
        </w:rPr>
        <w:t xml:space="preserve"> of the fold change. High expression (red) corresponds to genes upregulated in </w:t>
      </w:r>
      <w:r w:rsidRPr="006F2E6C">
        <w:rPr>
          <w:rFonts w:ascii="Arial" w:eastAsia="Arial" w:hAnsi="Arial" w:cs="Arial"/>
          <w:i/>
          <w:iCs/>
        </w:rPr>
        <w:t>DIM</w:t>
      </w:r>
      <w:r w:rsidRPr="006F2E6C">
        <w:rPr>
          <w:rFonts w:ascii="Arial" w:eastAsia="Arial" w:hAnsi="Arial" w:cs="Arial"/>
        </w:rPr>
        <w:t xml:space="preserve"> and low expression </w:t>
      </w:r>
      <w:r w:rsidRPr="006F2E6C">
        <w:rPr>
          <w:rFonts w:ascii="Arial" w:eastAsia="Arial" w:hAnsi="Arial" w:cs="Arial"/>
        </w:rPr>
        <w:lastRenderedPageBreak/>
        <w:t xml:space="preserve">(blue) corresponds to genes upregulated in </w:t>
      </w:r>
      <w:r w:rsidRPr="006F2E6C">
        <w:rPr>
          <w:rFonts w:ascii="Arial" w:eastAsia="Arial" w:hAnsi="Arial" w:cs="Arial"/>
          <w:i/>
          <w:iCs/>
        </w:rPr>
        <w:t>DAMs</w:t>
      </w:r>
      <w:r w:rsidRPr="006F2E6C">
        <w:rPr>
          <w:rFonts w:ascii="Arial" w:eastAsia="Arial" w:hAnsi="Arial" w:cs="Arial"/>
        </w:rPr>
        <w:t xml:space="preserve"> </w:t>
      </w:r>
      <w:r w:rsidRPr="006F2E6C">
        <w:rPr>
          <w:rFonts w:ascii="Arial" w:eastAsia="Arial" w:hAnsi="Arial" w:cs="Arial"/>
          <w:b/>
          <w:bCs/>
        </w:rPr>
        <w:t>(C)</w:t>
      </w:r>
      <w:r w:rsidRPr="006F2E6C">
        <w:rPr>
          <w:rFonts w:ascii="Arial" w:eastAsia="Arial" w:hAnsi="Arial" w:cs="Arial"/>
        </w:rPr>
        <w:t xml:space="preserve"> Barplot representing all the significantly enriched GSEA terms from the </w:t>
      </w:r>
      <w:r w:rsidRPr="006F2E6C">
        <w:rPr>
          <w:rFonts w:ascii="Arial" w:eastAsia="Arial" w:hAnsi="Arial" w:cs="Arial"/>
          <w:i/>
          <w:iCs/>
        </w:rPr>
        <w:t xml:space="preserve">REACTOME, WILKIPATHWAYS </w:t>
      </w:r>
      <w:r w:rsidRPr="006F2E6C">
        <w:rPr>
          <w:rFonts w:ascii="Arial" w:eastAsia="Arial" w:hAnsi="Arial" w:cs="Arial"/>
        </w:rPr>
        <w:t xml:space="preserve">and </w:t>
      </w:r>
      <w:r w:rsidRPr="006F2E6C">
        <w:rPr>
          <w:rFonts w:ascii="Arial" w:eastAsia="Arial" w:hAnsi="Arial" w:cs="Arial"/>
          <w:i/>
          <w:iCs/>
        </w:rPr>
        <w:t>KEGG</w:t>
      </w:r>
      <w:r w:rsidRPr="006F2E6C">
        <w:rPr>
          <w:rFonts w:ascii="Arial" w:eastAsia="Arial" w:hAnsi="Arial" w:cs="Arial"/>
        </w:rPr>
        <w:t xml:space="preserve"> repositories for the differential expression of </w:t>
      </w:r>
      <w:r w:rsidRPr="006F2E6C">
        <w:rPr>
          <w:rFonts w:ascii="Arial" w:eastAsia="Arial" w:hAnsi="Arial" w:cs="Arial"/>
          <w:i/>
          <w:iCs/>
        </w:rPr>
        <w:t>DIM</w:t>
      </w:r>
      <w:r w:rsidRPr="006F2E6C">
        <w:rPr>
          <w:rFonts w:ascii="Arial" w:eastAsia="Arial" w:hAnsi="Arial" w:cs="Arial"/>
        </w:rPr>
        <w:t xml:space="preserve"> vs </w:t>
      </w:r>
      <w:r w:rsidRPr="006F2E6C">
        <w:rPr>
          <w:rFonts w:ascii="Arial" w:eastAsia="Arial" w:hAnsi="Arial" w:cs="Arial"/>
          <w:i/>
          <w:iCs/>
        </w:rPr>
        <w:t>DAM</w:t>
      </w:r>
      <w:r w:rsidRPr="006F2E6C">
        <w:rPr>
          <w:rFonts w:ascii="Arial" w:eastAsia="Arial" w:hAnsi="Arial" w:cs="Arial"/>
        </w:rPr>
        <w:t xml:space="preserve"> populations. Enrichment is represented as a function of the negative of log of the adjusted p value and Normalized Enrichment Score (NES).</w:t>
      </w:r>
    </w:p>
    <w:p w14:paraId="519DC628" w14:textId="77777777" w:rsidR="008F190E" w:rsidRPr="00031CEF" w:rsidRDefault="008F190E" w:rsidP="008F190E">
      <w:pPr>
        <w:spacing w:after="0" w:line="480" w:lineRule="auto"/>
        <w:jc w:val="both"/>
        <w:rPr>
          <w:rFonts w:ascii="Arial" w:eastAsia="Arial" w:hAnsi="Arial" w:cs="Arial"/>
        </w:rPr>
      </w:pPr>
    </w:p>
    <w:p w14:paraId="2CC7DF19" w14:textId="77777777" w:rsidR="008F190E" w:rsidRPr="00031CEF" w:rsidRDefault="008F190E" w:rsidP="008F190E">
      <w:pPr>
        <w:spacing w:after="0" w:line="480" w:lineRule="auto"/>
        <w:jc w:val="both"/>
        <w:rPr>
          <w:rFonts w:ascii="Arial" w:eastAsia="Arial" w:hAnsi="Arial" w:cs="Arial"/>
        </w:rPr>
      </w:pPr>
      <w:r w:rsidRPr="00031CEF">
        <w:rPr>
          <w:rFonts w:ascii="Arial" w:eastAsia="Arial" w:hAnsi="Arial" w:cs="Arial"/>
          <w:b/>
          <w:bCs/>
        </w:rPr>
        <w:t>Supplementary Figure 8</w:t>
      </w:r>
      <w:r w:rsidRPr="421FC3C0">
        <w:rPr>
          <w:rFonts w:ascii="Arial" w:eastAsia="Arial" w:hAnsi="Arial" w:cs="Arial"/>
          <w:b/>
          <w:bCs/>
        </w:rPr>
        <w:t>.</w:t>
      </w:r>
      <w:r w:rsidRPr="00031CEF">
        <w:rPr>
          <w:rFonts w:ascii="Arial" w:eastAsia="Arial" w:hAnsi="Arial" w:cs="Arial"/>
          <w:b/>
          <w:bCs/>
        </w:rPr>
        <w:t xml:space="preserve"> (A) </w:t>
      </w:r>
      <w:r w:rsidRPr="00031CEF">
        <w:rPr>
          <w:rFonts w:ascii="Arial" w:eastAsia="Arial" w:hAnsi="Arial" w:cs="Arial"/>
        </w:rPr>
        <w:t>UMAPs showing the module score (MSc) expression of the set of genes characteristic of the stage 1 DAM phenotype (</w:t>
      </w:r>
      <w:r w:rsidRPr="00031CEF">
        <w:rPr>
          <w:rFonts w:ascii="Arial" w:eastAsia="Arial" w:hAnsi="Arial" w:cs="Arial"/>
          <w:i/>
          <w:iCs/>
        </w:rPr>
        <w:t>APOE, B2M, TYROBP, FTH1, LYZ, CTSB, CTSD</w:t>
      </w:r>
      <w:r w:rsidRPr="00031CEF">
        <w:rPr>
          <w:rFonts w:ascii="Arial" w:eastAsia="Arial" w:hAnsi="Arial" w:cs="Arial"/>
        </w:rPr>
        <w:t xml:space="preserve">), and the individual expression of </w:t>
      </w:r>
      <w:r w:rsidRPr="00031CEF">
        <w:rPr>
          <w:rFonts w:ascii="Arial" w:eastAsia="Arial" w:hAnsi="Arial" w:cs="Arial"/>
          <w:i/>
          <w:iCs/>
        </w:rPr>
        <w:t xml:space="preserve">APOE, B2M </w:t>
      </w:r>
      <w:r w:rsidRPr="00031CEF">
        <w:rPr>
          <w:rFonts w:ascii="Arial" w:eastAsia="Arial" w:hAnsi="Arial" w:cs="Arial"/>
        </w:rPr>
        <w:t xml:space="preserve">and </w:t>
      </w:r>
      <w:r w:rsidRPr="00031CEF">
        <w:rPr>
          <w:rFonts w:ascii="Arial" w:eastAsia="Arial" w:hAnsi="Arial" w:cs="Arial"/>
          <w:i/>
          <w:iCs/>
        </w:rPr>
        <w:t>FTH1</w:t>
      </w:r>
      <w:r w:rsidRPr="00031CEF">
        <w:rPr>
          <w:rFonts w:ascii="Arial" w:eastAsia="Arial" w:hAnsi="Arial" w:cs="Arial"/>
        </w:rPr>
        <w:t xml:space="preserve">; and the MSc expression of the set of genes characteristic of stage 2 DAM phenotype </w:t>
      </w:r>
      <w:r>
        <w:rPr>
          <w:rFonts w:ascii="Arial" w:eastAsia="Arial" w:hAnsi="Arial" w:cs="Arial"/>
        </w:rPr>
        <w:t>(</w:t>
      </w:r>
      <w:r w:rsidRPr="00031CEF">
        <w:rPr>
          <w:rFonts w:ascii="Arial" w:eastAsia="Arial" w:hAnsi="Arial" w:cs="Arial"/>
          <w:i/>
          <w:iCs/>
        </w:rPr>
        <w:t>LPL, CTSL, TREM2, AXL, CD9, CSF1, CCL23, ITGAX, CLEC7A, LILRB4, TIMP2</w:t>
      </w:r>
      <w:r w:rsidRPr="00031CEF">
        <w:rPr>
          <w:rFonts w:ascii="Arial" w:eastAsia="Arial" w:hAnsi="Arial" w:cs="Arial"/>
        </w:rPr>
        <w:t xml:space="preserve">), and the individual expression of </w:t>
      </w:r>
      <w:r w:rsidRPr="00031CEF">
        <w:rPr>
          <w:rFonts w:ascii="Arial" w:eastAsia="Arial" w:hAnsi="Arial" w:cs="Arial"/>
          <w:i/>
          <w:iCs/>
        </w:rPr>
        <w:t xml:space="preserve">SPP1, ITGAX </w:t>
      </w:r>
      <w:r w:rsidRPr="00031CEF">
        <w:rPr>
          <w:rFonts w:ascii="Arial" w:eastAsia="Arial" w:hAnsi="Arial" w:cs="Arial"/>
        </w:rPr>
        <w:t xml:space="preserve">and </w:t>
      </w:r>
      <w:r w:rsidRPr="00031CEF">
        <w:rPr>
          <w:rFonts w:ascii="Arial" w:eastAsia="Arial" w:hAnsi="Arial" w:cs="Arial"/>
          <w:i/>
          <w:iCs/>
        </w:rPr>
        <w:t>SLC11A1</w:t>
      </w:r>
      <w:r w:rsidRPr="00031CEF">
        <w:rPr>
          <w:rFonts w:ascii="Arial" w:eastAsia="Arial" w:hAnsi="Arial" w:cs="Arial"/>
        </w:rPr>
        <w:t>.</w:t>
      </w:r>
      <w:r w:rsidRPr="00031CEF">
        <w:rPr>
          <w:rFonts w:ascii="Arial" w:eastAsia="Arial" w:hAnsi="Arial" w:cs="Arial"/>
          <w:i/>
          <w:iCs/>
        </w:rPr>
        <w:t xml:space="preserve"> </w:t>
      </w:r>
      <w:r w:rsidRPr="00031CEF">
        <w:rPr>
          <w:rFonts w:ascii="Arial" w:eastAsia="Arial" w:hAnsi="Arial" w:cs="Arial"/>
          <w:b/>
          <w:bCs/>
        </w:rPr>
        <w:t xml:space="preserve">(B) </w:t>
      </w:r>
      <w:r w:rsidRPr="00031CEF">
        <w:rPr>
          <w:rFonts w:ascii="Arial" w:eastAsia="Arial" w:hAnsi="Arial" w:cs="Arial"/>
        </w:rPr>
        <w:t xml:space="preserve">Net plot representation of the fifteen most significant GO terms enriched on the lists of DEGs in the </w:t>
      </w:r>
      <w:r w:rsidRPr="00031CEF">
        <w:rPr>
          <w:rFonts w:ascii="Arial" w:eastAsia="Arial" w:hAnsi="Arial" w:cs="Arial"/>
          <w:i/>
          <w:iCs/>
        </w:rPr>
        <w:t>Final.DAM</w:t>
      </w:r>
      <w:r w:rsidRPr="00031CEF">
        <w:rPr>
          <w:rFonts w:ascii="Arial" w:eastAsia="Arial" w:hAnsi="Arial" w:cs="Arial"/>
        </w:rPr>
        <w:t xml:space="preserve"> vs </w:t>
      </w:r>
      <w:r w:rsidRPr="00031CEF">
        <w:rPr>
          <w:rFonts w:ascii="Arial" w:eastAsia="Arial" w:hAnsi="Arial" w:cs="Arial"/>
          <w:i/>
          <w:iCs/>
        </w:rPr>
        <w:t>Intermediate.DAM</w:t>
      </w:r>
      <w:r w:rsidRPr="00031CEF">
        <w:rPr>
          <w:rFonts w:ascii="Arial" w:eastAsia="Arial" w:hAnsi="Arial" w:cs="Arial"/>
        </w:rPr>
        <w:t xml:space="preserve"> comparison. The range of expression of each gene is represented by the negative of the log of the p value and the average of the log of the fold change. High expression (red) corresponds to genes upregulated in </w:t>
      </w:r>
      <w:r w:rsidRPr="00031CEF">
        <w:rPr>
          <w:rFonts w:ascii="Arial" w:eastAsia="Arial" w:hAnsi="Arial" w:cs="Arial"/>
          <w:i/>
          <w:iCs/>
        </w:rPr>
        <w:t>Final.DAM</w:t>
      </w:r>
      <w:r w:rsidRPr="00031CEF">
        <w:rPr>
          <w:rFonts w:ascii="Arial" w:eastAsia="Arial" w:hAnsi="Arial" w:cs="Arial"/>
        </w:rPr>
        <w:t xml:space="preserve"> and low expression (blue) corresponds to genes upregulated in </w:t>
      </w:r>
      <w:r w:rsidRPr="00031CEF">
        <w:rPr>
          <w:rFonts w:ascii="Arial" w:eastAsia="Arial" w:hAnsi="Arial" w:cs="Arial"/>
          <w:i/>
          <w:iCs/>
        </w:rPr>
        <w:t>Intermediate.DAM</w:t>
      </w:r>
      <w:r w:rsidRPr="00031CEF">
        <w:rPr>
          <w:rFonts w:ascii="Arial" w:eastAsia="Arial" w:hAnsi="Arial" w:cs="Arial"/>
        </w:rPr>
        <w:t xml:space="preserve">. </w:t>
      </w:r>
      <w:r w:rsidRPr="00031CEF">
        <w:rPr>
          <w:rFonts w:ascii="Arial" w:eastAsia="Arial" w:hAnsi="Arial" w:cs="Arial"/>
          <w:b/>
          <w:bCs/>
        </w:rPr>
        <w:t>(C)</w:t>
      </w:r>
      <w:r w:rsidRPr="00031CEF">
        <w:rPr>
          <w:rFonts w:ascii="Arial" w:eastAsia="Arial" w:hAnsi="Arial" w:cs="Arial"/>
        </w:rPr>
        <w:t xml:space="preserve"> Barplot representing all the significantly enriched GSEA terms from the </w:t>
      </w:r>
      <w:r w:rsidRPr="00031CEF">
        <w:rPr>
          <w:rFonts w:ascii="Arial" w:eastAsia="Arial" w:hAnsi="Arial" w:cs="Arial"/>
          <w:i/>
          <w:iCs/>
        </w:rPr>
        <w:t xml:space="preserve">REACTOME, WILKIPATHWAYS </w:t>
      </w:r>
      <w:r w:rsidRPr="00031CEF">
        <w:rPr>
          <w:rFonts w:ascii="Arial" w:eastAsia="Arial" w:hAnsi="Arial" w:cs="Arial"/>
        </w:rPr>
        <w:t xml:space="preserve">and </w:t>
      </w:r>
      <w:r w:rsidRPr="00031CEF">
        <w:rPr>
          <w:rFonts w:ascii="Arial" w:eastAsia="Arial" w:hAnsi="Arial" w:cs="Arial"/>
          <w:i/>
          <w:iCs/>
        </w:rPr>
        <w:t>KEGG</w:t>
      </w:r>
      <w:r w:rsidRPr="00031CEF">
        <w:rPr>
          <w:rFonts w:ascii="Arial" w:eastAsia="Arial" w:hAnsi="Arial" w:cs="Arial"/>
        </w:rPr>
        <w:t xml:space="preserve"> repositories for the differential expression of </w:t>
      </w:r>
      <w:r w:rsidRPr="00031CEF">
        <w:rPr>
          <w:rFonts w:ascii="Arial" w:eastAsia="Arial" w:hAnsi="Arial" w:cs="Arial"/>
          <w:i/>
          <w:iCs/>
        </w:rPr>
        <w:t>Final.DAM</w:t>
      </w:r>
      <w:r w:rsidRPr="00031CEF">
        <w:rPr>
          <w:rFonts w:ascii="Arial" w:eastAsia="Arial" w:hAnsi="Arial" w:cs="Arial"/>
        </w:rPr>
        <w:t xml:space="preserve"> vs </w:t>
      </w:r>
      <w:r w:rsidRPr="00031CEF">
        <w:rPr>
          <w:rFonts w:ascii="Arial" w:eastAsia="Arial" w:hAnsi="Arial" w:cs="Arial"/>
          <w:i/>
          <w:iCs/>
        </w:rPr>
        <w:t>Intermediate.DAM</w:t>
      </w:r>
      <w:r w:rsidRPr="00031CEF">
        <w:rPr>
          <w:rFonts w:ascii="Arial" w:eastAsia="Arial" w:hAnsi="Arial" w:cs="Arial"/>
        </w:rPr>
        <w:t xml:space="preserve"> populations. Enrichment is represented as a function of the negative of log of the adjusted p value and Normalized Enrichment Score (NES).</w:t>
      </w:r>
    </w:p>
    <w:p w14:paraId="0AC69182" w14:textId="77777777" w:rsidR="008F190E" w:rsidRPr="00031CEF" w:rsidRDefault="008F190E" w:rsidP="008F190E">
      <w:pPr>
        <w:spacing w:after="0" w:line="480" w:lineRule="auto"/>
        <w:jc w:val="both"/>
        <w:rPr>
          <w:rFonts w:ascii="Arial" w:eastAsia="Arial" w:hAnsi="Arial" w:cs="Arial"/>
        </w:rPr>
      </w:pPr>
    </w:p>
    <w:p w14:paraId="7EC8F061" w14:textId="77777777" w:rsidR="008F190E" w:rsidRPr="00031CEF" w:rsidRDefault="008F190E" w:rsidP="008F190E">
      <w:pPr>
        <w:spacing w:after="0" w:line="480" w:lineRule="auto"/>
        <w:jc w:val="both"/>
        <w:rPr>
          <w:rFonts w:ascii="Arial" w:eastAsia="Arial" w:hAnsi="Arial" w:cs="Arial"/>
        </w:rPr>
      </w:pPr>
      <w:r w:rsidRPr="00031CEF">
        <w:rPr>
          <w:rFonts w:ascii="Arial" w:eastAsia="Arial" w:hAnsi="Arial" w:cs="Arial"/>
          <w:b/>
          <w:bCs/>
        </w:rPr>
        <w:t>Supplementary Figure 9</w:t>
      </w:r>
      <w:r w:rsidRPr="421FC3C0">
        <w:rPr>
          <w:rFonts w:ascii="Arial" w:eastAsia="Arial" w:hAnsi="Arial" w:cs="Arial"/>
          <w:b/>
          <w:bCs/>
        </w:rPr>
        <w:t>.</w:t>
      </w:r>
      <w:r w:rsidRPr="00031CEF">
        <w:rPr>
          <w:rFonts w:ascii="Arial" w:eastAsia="Arial" w:hAnsi="Arial" w:cs="Arial"/>
          <w:b/>
          <w:bCs/>
        </w:rPr>
        <w:t xml:space="preserve"> (A) </w:t>
      </w:r>
      <w:r w:rsidRPr="00031CEF">
        <w:rPr>
          <w:rFonts w:ascii="Arial" w:eastAsia="Arial" w:hAnsi="Arial" w:cs="Arial"/>
        </w:rPr>
        <w:t>Representation of the enrichment of all significant TFs</w:t>
      </w:r>
      <w:r>
        <w:rPr>
          <w:rFonts w:ascii="Arial" w:eastAsia="Arial" w:hAnsi="Arial" w:cs="Arial"/>
        </w:rPr>
        <w:t xml:space="preserve"> (p value &lt; 0.01)</w:t>
      </w:r>
      <w:r w:rsidRPr="00031CEF">
        <w:rPr>
          <w:rFonts w:ascii="Arial" w:eastAsia="Arial" w:hAnsi="Arial" w:cs="Arial"/>
        </w:rPr>
        <w:t xml:space="preserve"> relative to the comparison of differential expression of </w:t>
      </w:r>
      <w:r w:rsidRPr="00031CEF">
        <w:rPr>
          <w:rFonts w:ascii="Arial" w:eastAsia="Arial" w:hAnsi="Arial" w:cs="Arial"/>
          <w:i/>
          <w:iCs/>
        </w:rPr>
        <w:t>DAM</w:t>
      </w:r>
      <w:r w:rsidRPr="00031CEF">
        <w:rPr>
          <w:rFonts w:ascii="Arial" w:eastAsia="Arial" w:hAnsi="Arial" w:cs="Arial"/>
        </w:rPr>
        <w:t xml:space="preserve"> vs other microglia, </w:t>
      </w:r>
      <w:r w:rsidRPr="00031CEF">
        <w:rPr>
          <w:rFonts w:ascii="Arial" w:eastAsia="Arial" w:hAnsi="Arial" w:cs="Arial"/>
          <w:i/>
          <w:iCs/>
        </w:rPr>
        <w:t>Final.DAM</w:t>
      </w:r>
      <w:r w:rsidRPr="00031CEF">
        <w:rPr>
          <w:rFonts w:ascii="Arial" w:eastAsia="Arial" w:hAnsi="Arial" w:cs="Arial"/>
        </w:rPr>
        <w:t xml:space="preserve"> vs </w:t>
      </w:r>
      <w:r w:rsidRPr="00031CEF">
        <w:rPr>
          <w:rFonts w:ascii="Arial" w:eastAsia="Arial" w:hAnsi="Arial" w:cs="Arial"/>
          <w:i/>
          <w:iCs/>
        </w:rPr>
        <w:t>Intermediate.DAM</w:t>
      </w:r>
      <w:r w:rsidRPr="00031CEF">
        <w:rPr>
          <w:rFonts w:ascii="Arial" w:eastAsia="Arial" w:hAnsi="Arial" w:cs="Arial"/>
        </w:rPr>
        <w:t xml:space="preserve">, </w:t>
      </w:r>
      <w:r w:rsidRPr="00031CEF">
        <w:rPr>
          <w:rFonts w:ascii="Arial" w:eastAsia="Arial" w:hAnsi="Arial" w:cs="Arial"/>
          <w:i/>
          <w:iCs/>
        </w:rPr>
        <w:t>DIM</w:t>
      </w:r>
      <w:r w:rsidRPr="00031CEF">
        <w:rPr>
          <w:rFonts w:ascii="Arial" w:eastAsia="Arial" w:hAnsi="Arial" w:cs="Arial"/>
        </w:rPr>
        <w:t xml:space="preserve"> vs other microglia and </w:t>
      </w:r>
      <w:r w:rsidRPr="00031CEF">
        <w:rPr>
          <w:rFonts w:ascii="Arial" w:eastAsia="Arial" w:hAnsi="Arial" w:cs="Arial"/>
          <w:i/>
          <w:iCs/>
        </w:rPr>
        <w:t>DIM</w:t>
      </w:r>
      <w:r w:rsidRPr="00031CEF">
        <w:rPr>
          <w:rFonts w:ascii="Arial" w:eastAsia="Arial" w:hAnsi="Arial" w:cs="Arial"/>
        </w:rPr>
        <w:t xml:space="preserve"> vs </w:t>
      </w:r>
      <w:r w:rsidRPr="00031CEF">
        <w:rPr>
          <w:rFonts w:ascii="Arial" w:eastAsia="Arial" w:hAnsi="Arial" w:cs="Arial"/>
          <w:i/>
          <w:iCs/>
        </w:rPr>
        <w:t>DAM</w:t>
      </w:r>
      <w:r w:rsidRPr="00031CEF">
        <w:rPr>
          <w:rFonts w:ascii="Arial" w:eastAsia="Arial" w:hAnsi="Arial" w:cs="Arial"/>
        </w:rPr>
        <w:t>. Significance is represented by the NES (Normalized Enrichment Score) and the negative of log of the adjusted p value (FDR).</w:t>
      </w:r>
      <w:r w:rsidRPr="00031CEF">
        <w:rPr>
          <w:rFonts w:ascii="Arial" w:eastAsia="Arial" w:hAnsi="Arial" w:cs="Arial"/>
          <w:b/>
          <w:bCs/>
        </w:rPr>
        <w:t xml:space="preserve"> (B</w:t>
      </w:r>
      <w:r>
        <w:rPr>
          <w:rFonts w:ascii="Arial" w:eastAsia="Arial" w:hAnsi="Arial" w:cs="Arial"/>
          <w:b/>
          <w:bCs/>
        </w:rPr>
        <w:t xml:space="preserve">) </w:t>
      </w:r>
      <w:r w:rsidRPr="00031CEF">
        <w:rPr>
          <w:rFonts w:ascii="Arial" w:eastAsia="Arial" w:hAnsi="Arial" w:cs="Arial"/>
        </w:rPr>
        <w:t xml:space="preserve">Heatmap representation of the z-score of the average expression (by pathological condition) of the top ten most upregulated genes in all </w:t>
      </w:r>
      <w:r w:rsidRPr="00031CEF">
        <w:rPr>
          <w:rFonts w:ascii="Arial" w:eastAsia="Arial" w:hAnsi="Arial" w:cs="Arial"/>
          <w:i/>
          <w:iCs/>
        </w:rPr>
        <w:t xml:space="preserve">DAM </w:t>
      </w:r>
      <w:r w:rsidRPr="00031CEF">
        <w:rPr>
          <w:rFonts w:ascii="Arial" w:eastAsia="Arial" w:hAnsi="Arial" w:cs="Arial"/>
        </w:rPr>
        <w:t xml:space="preserve">nuclei and in </w:t>
      </w:r>
      <w:r w:rsidRPr="00031CEF">
        <w:rPr>
          <w:rFonts w:ascii="Arial" w:eastAsia="Arial" w:hAnsi="Arial" w:cs="Arial"/>
          <w:i/>
          <w:iCs/>
        </w:rPr>
        <w:t>DIM</w:t>
      </w:r>
      <w:r w:rsidRPr="00031CEF">
        <w:rPr>
          <w:rFonts w:ascii="Arial" w:eastAsia="Arial" w:hAnsi="Arial" w:cs="Arial"/>
        </w:rPr>
        <w:t xml:space="preserve"> that are exclusive to each pathology when compared with the healthy group; coupled with the overlap plots for the upregulated and downregulated DEGs calculated for each pathology vs the healthy population. </w:t>
      </w:r>
      <w:r>
        <w:rPr>
          <w:rFonts w:ascii="Arial" w:eastAsia="Arial" w:hAnsi="Arial" w:cs="Arial"/>
        </w:rPr>
        <w:t>The bars h</w:t>
      </w:r>
      <w:r w:rsidRPr="00031CEF">
        <w:rPr>
          <w:rFonts w:ascii="Arial" w:eastAsia="Arial" w:hAnsi="Arial" w:cs="Arial"/>
        </w:rPr>
        <w:t xml:space="preserve">ighlighted in gold (upregulated) and purple (downregulated) </w:t>
      </w:r>
      <w:r>
        <w:rPr>
          <w:rFonts w:ascii="Arial" w:eastAsia="Arial" w:hAnsi="Arial" w:cs="Arial"/>
        </w:rPr>
        <w:t>represent</w:t>
      </w:r>
      <w:r w:rsidRPr="00031CEF">
        <w:rPr>
          <w:rFonts w:ascii="Arial" w:eastAsia="Arial" w:hAnsi="Arial" w:cs="Arial"/>
        </w:rPr>
        <w:t xml:space="preserve"> the DEGs exclusive to each pathology. </w:t>
      </w:r>
      <w:r w:rsidRPr="00031CEF">
        <w:rPr>
          <w:rFonts w:ascii="Arial" w:eastAsia="Arial" w:hAnsi="Arial" w:cs="Arial"/>
          <w:b/>
          <w:bCs/>
        </w:rPr>
        <w:t>(C)</w:t>
      </w:r>
      <w:r w:rsidRPr="003C7A53">
        <w:rPr>
          <w:rFonts w:ascii="Arial" w:eastAsia="Arial" w:hAnsi="Arial" w:cs="Arial"/>
        </w:rPr>
        <w:t xml:space="preserve"> </w:t>
      </w:r>
      <w:r w:rsidRPr="006F2E6C">
        <w:rPr>
          <w:rFonts w:ascii="Arial" w:eastAsia="Arial" w:hAnsi="Arial" w:cs="Arial"/>
        </w:rPr>
        <w:t>Differential distribution of each DAM and DIM clusters in each pathology in relation to the healthy group. Population expansion or depletion is represented by the credible interval of the slop. Statistical significance is considered for an adjusted p value (FDR) &lt; 0.05 and is highlighted in red.</w:t>
      </w:r>
      <w:r w:rsidRPr="00A725D6">
        <w:rPr>
          <w:rFonts w:ascii="Arial" w:eastAsia="Arial" w:hAnsi="Arial" w:cs="Arial"/>
          <w:b/>
          <w:bCs/>
        </w:rPr>
        <w:t xml:space="preserve">(D) </w:t>
      </w:r>
      <w:r w:rsidRPr="00031CEF">
        <w:rPr>
          <w:rFonts w:ascii="Arial" w:eastAsia="Arial" w:hAnsi="Arial" w:cs="Arial"/>
        </w:rPr>
        <w:t>Proportions</w:t>
      </w:r>
      <w:r>
        <w:rPr>
          <w:rFonts w:ascii="Arial" w:eastAsia="Arial" w:hAnsi="Arial" w:cs="Arial"/>
        </w:rPr>
        <w:t xml:space="preserve"> </w:t>
      </w:r>
      <w:r w:rsidRPr="00031CEF">
        <w:rPr>
          <w:rFonts w:ascii="Arial" w:eastAsia="Arial" w:hAnsi="Arial" w:cs="Arial"/>
        </w:rPr>
        <w:t xml:space="preserve">of all </w:t>
      </w:r>
      <w:r w:rsidRPr="00031CEF">
        <w:rPr>
          <w:rFonts w:ascii="Arial" w:eastAsia="Arial" w:hAnsi="Arial" w:cs="Arial"/>
          <w:i/>
          <w:iCs/>
        </w:rPr>
        <w:t>DAM</w:t>
      </w:r>
      <w:r w:rsidRPr="00031CEF">
        <w:rPr>
          <w:rFonts w:ascii="Arial" w:eastAsia="Arial" w:hAnsi="Arial" w:cs="Arial"/>
        </w:rPr>
        <w:t xml:space="preserve"> nuclei and of the individual </w:t>
      </w:r>
      <w:r w:rsidRPr="00031CEF">
        <w:rPr>
          <w:rFonts w:ascii="Arial" w:eastAsia="Arial" w:hAnsi="Arial" w:cs="Arial"/>
          <w:i/>
          <w:iCs/>
        </w:rPr>
        <w:t>Final.DAM</w:t>
      </w:r>
      <w:r w:rsidRPr="00031CEF">
        <w:rPr>
          <w:rFonts w:ascii="Arial" w:eastAsia="Arial" w:hAnsi="Arial" w:cs="Arial"/>
        </w:rPr>
        <w:t xml:space="preserve">, </w:t>
      </w:r>
      <w:r w:rsidRPr="00031CEF">
        <w:rPr>
          <w:rFonts w:ascii="Arial" w:eastAsia="Arial" w:hAnsi="Arial" w:cs="Arial"/>
          <w:i/>
          <w:iCs/>
        </w:rPr>
        <w:t>Intermediate.DAM</w:t>
      </w:r>
      <w:r w:rsidRPr="00031CEF">
        <w:rPr>
          <w:rFonts w:ascii="Arial" w:eastAsia="Arial" w:hAnsi="Arial" w:cs="Arial"/>
        </w:rPr>
        <w:t xml:space="preserve"> and </w:t>
      </w:r>
      <w:r w:rsidRPr="00031CEF">
        <w:rPr>
          <w:rFonts w:ascii="Arial" w:eastAsia="Arial" w:hAnsi="Arial" w:cs="Arial"/>
          <w:i/>
          <w:iCs/>
        </w:rPr>
        <w:t>DIM</w:t>
      </w:r>
      <w:r w:rsidRPr="00031CEF">
        <w:rPr>
          <w:rFonts w:ascii="Arial" w:eastAsia="Arial" w:hAnsi="Arial" w:cs="Arial"/>
        </w:rPr>
        <w:t xml:space="preserve"> subpopulations across pathological conditions as a whole and individualized by subject. Dashed line represents the proportion in the healthy group (</w:t>
      </w:r>
      <w:r>
        <w:rPr>
          <w:rFonts w:ascii="Arial" w:eastAsia="Arial" w:hAnsi="Arial" w:cs="Arial"/>
        </w:rPr>
        <w:t>“</w:t>
      </w:r>
      <w:r w:rsidRPr="003B2851">
        <w:rPr>
          <w:rFonts w:ascii="Arial" w:eastAsia="Arial" w:hAnsi="Arial" w:cs="Arial"/>
          <w:i/>
          <w:iCs/>
        </w:rPr>
        <w:t>No Neuropathology</w:t>
      </w:r>
      <w:r>
        <w:rPr>
          <w:rFonts w:ascii="Arial" w:eastAsia="Arial" w:hAnsi="Arial" w:cs="Arial"/>
        </w:rPr>
        <w:t>”</w:t>
      </w:r>
      <w:r w:rsidRPr="00031CEF">
        <w:rPr>
          <w:rFonts w:ascii="Arial" w:eastAsia="Arial" w:hAnsi="Arial" w:cs="Arial"/>
        </w:rPr>
        <w:t>).</w:t>
      </w:r>
      <w:r w:rsidRPr="00031CEF">
        <w:rPr>
          <w:rFonts w:ascii="Arial" w:eastAsia="Arial" w:hAnsi="Arial" w:cs="Arial"/>
          <w:b/>
          <w:bCs/>
        </w:rPr>
        <w:t xml:space="preserve"> </w:t>
      </w:r>
    </w:p>
    <w:p w14:paraId="7DBAB65D" w14:textId="77777777" w:rsidR="008F190E" w:rsidRDefault="008F190E" w:rsidP="008F190E">
      <w:pPr>
        <w:spacing w:after="0" w:line="480" w:lineRule="auto"/>
        <w:jc w:val="both"/>
        <w:rPr>
          <w:rFonts w:ascii="Arial" w:eastAsia="Arial" w:hAnsi="Arial" w:cs="Arial"/>
          <w:b/>
          <w:bCs/>
        </w:rPr>
      </w:pPr>
    </w:p>
    <w:p w14:paraId="7EF31B2C" w14:textId="77777777" w:rsidR="008F190E" w:rsidRPr="00031CEF" w:rsidRDefault="008F190E" w:rsidP="008F190E">
      <w:pPr>
        <w:spacing w:after="0" w:line="480" w:lineRule="auto"/>
        <w:jc w:val="both"/>
        <w:rPr>
          <w:rFonts w:ascii="Arial" w:eastAsia="Arial" w:hAnsi="Arial" w:cs="Arial"/>
        </w:rPr>
      </w:pPr>
      <w:r w:rsidRPr="00031CEF">
        <w:rPr>
          <w:rFonts w:ascii="Arial" w:eastAsia="Arial" w:hAnsi="Arial" w:cs="Arial"/>
          <w:b/>
          <w:bCs/>
        </w:rPr>
        <w:t xml:space="preserve">Supplementary Figure </w:t>
      </w:r>
      <w:r>
        <w:rPr>
          <w:rFonts w:ascii="Arial" w:eastAsia="Arial" w:hAnsi="Arial" w:cs="Arial"/>
          <w:b/>
          <w:bCs/>
        </w:rPr>
        <w:t>10</w:t>
      </w:r>
      <w:r w:rsidRPr="421FC3C0">
        <w:rPr>
          <w:rFonts w:ascii="Arial" w:eastAsia="Arial" w:hAnsi="Arial" w:cs="Arial"/>
          <w:b/>
          <w:bCs/>
        </w:rPr>
        <w:t>.</w:t>
      </w:r>
      <w:r w:rsidRPr="00031CEF">
        <w:rPr>
          <w:rFonts w:ascii="Arial" w:eastAsia="Arial" w:hAnsi="Arial" w:cs="Arial"/>
          <w:b/>
          <w:bCs/>
        </w:rPr>
        <w:t xml:space="preserve"> (</w:t>
      </w:r>
      <w:r>
        <w:rPr>
          <w:rFonts w:ascii="Arial" w:eastAsia="Arial" w:hAnsi="Arial" w:cs="Arial"/>
          <w:b/>
          <w:bCs/>
        </w:rPr>
        <w:t>A</w:t>
      </w:r>
      <w:r w:rsidRPr="00031CEF">
        <w:rPr>
          <w:rFonts w:ascii="Arial" w:eastAsia="Arial" w:hAnsi="Arial" w:cs="Arial"/>
          <w:b/>
          <w:bCs/>
        </w:rPr>
        <w:t>)</w:t>
      </w:r>
      <w:r w:rsidRPr="006F2E6C">
        <w:rPr>
          <w:rFonts w:ascii="Arial" w:eastAsia="Arial" w:hAnsi="Arial" w:cs="Arial"/>
          <w:b/>
        </w:rPr>
        <w:t xml:space="preserve"> </w:t>
      </w:r>
      <w:r w:rsidRPr="006F2E6C">
        <w:rPr>
          <w:rFonts w:ascii="Arial" w:eastAsia="Arial" w:hAnsi="Arial" w:cs="Arial"/>
        </w:rPr>
        <w:t xml:space="preserve">Dot plot representation of </w:t>
      </w:r>
      <w:r>
        <w:rPr>
          <w:rFonts w:ascii="Arial" w:eastAsia="Arial" w:hAnsi="Arial" w:cs="Arial"/>
        </w:rPr>
        <w:t xml:space="preserve">the top five most upregulated genes (ordered by </w:t>
      </w:r>
      <w:r w:rsidRPr="00C62575">
        <w:rPr>
          <w:rFonts w:ascii="Arial" w:eastAsia="Arial" w:hAnsi="Arial" w:cs="Arial"/>
        </w:rPr>
        <w:t>avg_log2FC</w:t>
      </w:r>
      <w:r>
        <w:rPr>
          <w:rFonts w:ascii="Arial" w:eastAsia="Arial" w:hAnsi="Arial" w:cs="Arial"/>
        </w:rPr>
        <w:t xml:space="preserve">) for each of the subpopulations within the </w:t>
      </w:r>
      <w:r w:rsidRPr="00031CEF">
        <w:rPr>
          <w:rFonts w:ascii="Arial" w:eastAsia="Arial" w:hAnsi="Arial" w:cs="Arial"/>
          <w:i/>
          <w:iCs/>
        </w:rPr>
        <w:t>Final.DAM</w:t>
      </w:r>
      <w:r w:rsidRPr="00031CEF">
        <w:rPr>
          <w:rFonts w:ascii="Arial" w:eastAsia="Arial" w:hAnsi="Arial" w:cs="Arial"/>
        </w:rPr>
        <w:t xml:space="preserve">, </w:t>
      </w:r>
      <w:r w:rsidRPr="00031CEF">
        <w:rPr>
          <w:rFonts w:ascii="Arial" w:eastAsia="Arial" w:hAnsi="Arial" w:cs="Arial"/>
          <w:i/>
          <w:iCs/>
        </w:rPr>
        <w:t>Intermediate.DAM</w:t>
      </w:r>
      <w:r w:rsidRPr="00031CEF">
        <w:rPr>
          <w:rFonts w:ascii="Arial" w:eastAsia="Arial" w:hAnsi="Arial" w:cs="Arial"/>
        </w:rPr>
        <w:t xml:space="preserve"> and </w:t>
      </w:r>
      <w:r w:rsidRPr="00031CEF">
        <w:rPr>
          <w:rFonts w:ascii="Arial" w:eastAsia="Arial" w:hAnsi="Arial" w:cs="Arial"/>
          <w:i/>
          <w:iCs/>
        </w:rPr>
        <w:t>DIM</w:t>
      </w:r>
      <w:r>
        <w:rPr>
          <w:rFonts w:ascii="Arial" w:eastAsia="Arial" w:hAnsi="Arial" w:cs="Arial"/>
          <w:i/>
          <w:iCs/>
        </w:rPr>
        <w:t xml:space="preserve"> </w:t>
      </w:r>
      <w:r>
        <w:rPr>
          <w:rFonts w:ascii="Arial" w:eastAsia="Arial" w:hAnsi="Arial" w:cs="Arial"/>
        </w:rPr>
        <w:t>clusters.</w:t>
      </w:r>
      <w:r w:rsidRPr="00C62575">
        <w:rPr>
          <w:rFonts w:ascii="Arial" w:eastAsia="Arial" w:hAnsi="Arial" w:cs="Arial"/>
          <w:b/>
          <w:bCs/>
        </w:rPr>
        <w:t xml:space="preserve"> (B)</w:t>
      </w:r>
      <w:r>
        <w:rPr>
          <w:rFonts w:ascii="Arial" w:eastAsia="Arial" w:hAnsi="Arial" w:cs="Arial"/>
          <w:b/>
          <w:bCs/>
        </w:rPr>
        <w:t xml:space="preserve"> </w:t>
      </w:r>
      <w:r w:rsidRPr="00031CEF">
        <w:rPr>
          <w:rFonts w:ascii="Arial" w:eastAsia="Arial" w:hAnsi="Arial" w:cs="Arial"/>
        </w:rPr>
        <w:t>Proportions</w:t>
      </w:r>
      <w:r>
        <w:rPr>
          <w:rFonts w:ascii="Arial" w:eastAsia="Arial" w:hAnsi="Arial" w:cs="Arial"/>
        </w:rPr>
        <w:t xml:space="preserve"> </w:t>
      </w:r>
      <w:r w:rsidRPr="00031CEF">
        <w:rPr>
          <w:rFonts w:ascii="Arial" w:eastAsia="Arial" w:hAnsi="Arial" w:cs="Arial"/>
        </w:rPr>
        <w:t xml:space="preserve">of all </w:t>
      </w:r>
      <w:r>
        <w:rPr>
          <w:rFonts w:ascii="Arial" w:eastAsia="Arial" w:hAnsi="Arial" w:cs="Arial"/>
        </w:rPr>
        <w:t>subpopulations</w:t>
      </w:r>
      <w:r w:rsidRPr="00031CEF">
        <w:rPr>
          <w:rFonts w:ascii="Arial" w:eastAsia="Arial" w:hAnsi="Arial" w:cs="Arial"/>
        </w:rPr>
        <w:t xml:space="preserve"> across pathological conditions as a whole. Dashed line represents the proportion in the healthy group (</w:t>
      </w:r>
      <w:r>
        <w:rPr>
          <w:rFonts w:ascii="Arial" w:eastAsia="Arial" w:hAnsi="Arial" w:cs="Arial"/>
        </w:rPr>
        <w:t>“</w:t>
      </w:r>
      <w:r w:rsidRPr="00F015F5">
        <w:rPr>
          <w:rFonts w:ascii="Arial" w:eastAsia="Arial" w:hAnsi="Arial" w:cs="Arial"/>
          <w:i/>
          <w:iCs/>
        </w:rPr>
        <w:t>No Neuropathology</w:t>
      </w:r>
      <w:r>
        <w:rPr>
          <w:rFonts w:ascii="Arial" w:eastAsia="Arial" w:hAnsi="Arial" w:cs="Arial"/>
        </w:rPr>
        <w:t>”</w:t>
      </w:r>
      <w:r w:rsidRPr="00031CEF">
        <w:rPr>
          <w:rFonts w:ascii="Arial" w:eastAsia="Arial" w:hAnsi="Arial" w:cs="Arial"/>
        </w:rPr>
        <w:t>).</w:t>
      </w:r>
      <w:r w:rsidRPr="00031CEF">
        <w:rPr>
          <w:rFonts w:ascii="Arial" w:eastAsia="Arial" w:hAnsi="Arial" w:cs="Arial"/>
          <w:b/>
          <w:bCs/>
        </w:rPr>
        <w:t xml:space="preserve"> </w:t>
      </w:r>
      <w:r>
        <w:rPr>
          <w:rFonts w:ascii="Arial" w:eastAsia="Arial" w:hAnsi="Arial" w:cs="Arial"/>
          <w:b/>
          <w:bCs/>
        </w:rPr>
        <w:t xml:space="preserve">(C) </w:t>
      </w:r>
      <w:r w:rsidRPr="006F2E6C">
        <w:rPr>
          <w:rFonts w:ascii="Arial" w:eastAsia="Arial" w:hAnsi="Arial" w:cs="Arial"/>
        </w:rPr>
        <w:t>GO enrichment of</w:t>
      </w:r>
      <w:r>
        <w:rPr>
          <w:rFonts w:ascii="Arial" w:eastAsia="Arial" w:hAnsi="Arial" w:cs="Arial"/>
        </w:rPr>
        <w:t xml:space="preserve"> the top three (ordered by the negative of logFDR and logFC)</w:t>
      </w:r>
      <w:r w:rsidRPr="006F2E6C">
        <w:rPr>
          <w:rFonts w:ascii="Arial" w:eastAsia="Arial" w:hAnsi="Arial" w:cs="Arial"/>
        </w:rPr>
        <w:t xml:space="preserve"> obtained from the lists of upregulated DEGs </w:t>
      </w:r>
      <w:r>
        <w:rPr>
          <w:rFonts w:ascii="Arial" w:eastAsia="Arial" w:hAnsi="Arial" w:cs="Arial"/>
        </w:rPr>
        <w:t>in each subpopulation.</w:t>
      </w:r>
      <w:r w:rsidRPr="006F2E6C">
        <w:rPr>
          <w:rFonts w:ascii="Arial" w:eastAsia="Arial" w:hAnsi="Arial" w:cs="Arial"/>
        </w:rPr>
        <w:t xml:space="preserve"> </w:t>
      </w:r>
    </w:p>
    <w:p w14:paraId="4F665DE5" w14:textId="77777777" w:rsidR="008F190E" w:rsidRDefault="008F190E" w:rsidP="008F190E">
      <w:pPr>
        <w:spacing w:after="0" w:line="480" w:lineRule="auto"/>
        <w:jc w:val="both"/>
        <w:rPr>
          <w:rFonts w:ascii="Arial" w:eastAsia="Arial" w:hAnsi="Arial" w:cs="Arial"/>
          <w:b/>
          <w:bCs/>
        </w:rPr>
      </w:pPr>
    </w:p>
    <w:p w14:paraId="252CFE39" w14:textId="77777777" w:rsidR="008F190E" w:rsidRPr="00F95873" w:rsidRDefault="008F190E" w:rsidP="008F190E">
      <w:pPr>
        <w:spacing w:after="0" w:line="480" w:lineRule="auto"/>
        <w:jc w:val="both"/>
        <w:rPr>
          <w:rFonts w:ascii="Arial" w:hAnsi="Arial" w:cs="Arial"/>
          <w:color w:val="FF0000"/>
        </w:rPr>
      </w:pPr>
    </w:p>
    <w:p w14:paraId="5403E574" w14:textId="77777777" w:rsidR="006A797F" w:rsidRDefault="006A797F"/>
    <w:sectPr w:rsidR="006A797F" w:rsidSect="0074313E">
      <w:footerReference w:type="default" r:id="rId6"/>
      <w:pgSz w:w="11906" w:h="16838"/>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6AE46" w14:textId="77777777" w:rsidR="003D2477" w:rsidRDefault="003D2477">
      <w:pPr>
        <w:spacing w:after="0" w:line="240" w:lineRule="auto"/>
      </w:pPr>
      <w:r>
        <w:separator/>
      </w:r>
    </w:p>
  </w:endnote>
  <w:endnote w:type="continuationSeparator" w:id="0">
    <w:p w14:paraId="0420CF78" w14:textId="77777777" w:rsidR="003D2477" w:rsidRDefault="003D2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786122"/>
      <w:docPartObj>
        <w:docPartGallery w:val="Page Numbers (Bottom of Page)"/>
        <w:docPartUnique/>
      </w:docPartObj>
    </w:sdtPr>
    <w:sdtEndPr/>
    <w:sdtContent>
      <w:p w14:paraId="4A2196FD" w14:textId="77777777" w:rsidR="00584888" w:rsidRDefault="000A274F">
        <w:pPr>
          <w:pStyle w:val="Footer"/>
          <w:jc w:val="right"/>
        </w:pPr>
        <w:r>
          <w:fldChar w:fldCharType="begin"/>
        </w:r>
        <w:r>
          <w:instrText>PAGE   \* MERGEFORMAT</w:instrText>
        </w:r>
        <w:r>
          <w:fldChar w:fldCharType="separate"/>
        </w:r>
        <w:r>
          <w:t>2</w:t>
        </w:r>
        <w:r>
          <w:fldChar w:fldCharType="end"/>
        </w:r>
      </w:p>
    </w:sdtContent>
  </w:sdt>
  <w:p w14:paraId="05AA504A" w14:textId="77777777" w:rsidR="00584888" w:rsidRDefault="0058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81C2C" w14:textId="77777777" w:rsidR="003D2477" w:rsidRDefault="003D2477">
      <w:pPr>
        <w:spacing w:after="0" w:line="240" w:lineRule="auto"/>
      </w:pPr>
      <w:r>
        <w:separator/>
      </w:r>
    </w:p>
  </w:footnote>
  <w:footnote w:type="continuationSeparator" w:id="0">
    <w:p w14:paraId="16175D39" w14:textId="77777777" w:rsidR="003D2477" w:rsidRDefault="003D24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0E"/>
    <w:rsid w:val="000A274F"/>
    <w:rsid w:val="001E31A7"/>
    <w:rsid w:val="003D2477"/>
    <w:rsid w:val="004F6618"/>
    <w:rsid w:val="00584888"/>
    <w:rsid w:val="006A797F"/>
    <w:rsid w:val="008F190E"/>
    <w:rsid w:val="00A25238"/>
    <w:rsid w:val="00F401F9"/>
    <w:rsid w:val="158E346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4137"/>
  <w15:chartTrackingRefBased/>
  <w15:docId w15:val="{1373D485-8434-45A1-AEED-7411FD4A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90E"/>
    <w:rPr>
      <w:rFonts w:eastAsiaTheme="minorEastAsia"/>
      <w:kern w:val="0"/>
      <w:lang w:val="en-GB" w:eastAsia="pt-P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190E"/>
    <w:pPr>
      <w:tabs>
        <w:tab w:val="center" w:pos="4252"/>
        <w:tab w:val="right" w:pos="8504"/>
      </w:tabs>
      <w:spacing w:after="0" w:line="240" w:lineRule="auto"/>
    </w:pPr>
  </w:style>
  <w:style w:type="character" w:customStyle="1" w:styleId="FooterChar">
    <w:name w:val="Footer Char"/>
    <w:basedOn w:val="DefaultParagraphFont"/>
    <w:link w:val="Footer"/>
    <w:uiPriority w:val="99"/>
    <w:rsid w:val="008F190E"/>
    <w:rPr>
      <w:rFonts w:eastAsiaTheme="minorEastAsia"/>
      <w:kern w:val="0"/>
      <w:lang w:val="en-GB"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2014</Words>
  <Characters>11480</Characters>
  <Application>Microsoft Office Word</Application>
  <DocSecurity>0</DocSecurity>
  <Lines>95</Lines>
  <Paragraphs>26</Paragraphs>
  <ScaleCrop>false</ScaleCrop>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Ballestar</dc:creator>
  <cp:keywords/>
  <dc:description/>
  <cp:lastModifiedBy>Shayna Weisz</cp:lastModifiedBy>
  <cp:revision>2</cp:revision>
  <dcterms:created xsi:type="dcterms:W3CDTF">2023-08-11T08:59:00Z</dcterms:created>
  <dcterms:modified xsi:type="dcterms:W3CDTF">2023-08-11T08:59:00Z</dcterms:modified>
</cp:coreProperties>
</file>