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E52ED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CF7589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u w:val="single"/>
          <w14:ligatures w14:val="none"/>
        </w:rPr>
        <w:t>Resource 1</w:t>
      </w:r>
    </w:p>
    <w:p w14:paraId="5E10252A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CF7589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  <w:t xml:space="preserve">Information relating to PROs and sample size calculation for secondary </w:t>
      </w:r>
      <w:proofErr w:type="gramStart"/>
      <w:r w:rsidRPr="00CF7589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  <w:t>outcomes</w:t>
      </w:r>
      <w:proofErr w:type="gramEnd"/>
    </w:p>
    <w:p w14:paraId="2C6E98A5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The HADS is a valid measure for anxiety and depression in hospital and community settings [1]. Studies based on a range of cancer tumour types have reported Cronbach alpha coefficients of 0.80 – 0.89 for the Anxiety scale and 0.77 – 0.82 for the Depression scale [2, 3]. Anchor-derived criteria have been used to establish the minimal clinically important difference (MID) of 1.5 points for the HADS (both scales) [4] and 1.7 (both scales) [5].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With a final sample size of 326, the power to detect the minimal clinically important difference was estimated to be 92% for the HADS [6].</w:t>
      </w:r>
    </w:p>
    <w:p w14:paraId="29E2CA5C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The CBI-B is a valid and reliable measure of self-efficacy, </w:t>
      </w:r>
      <w:proofErr w:type="gramStart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confidence</w:t>
      </w:r>
      <w:proofErr w:type="gramEnd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and quality of life for people coping with cancer. A number of versions of the CBI exist: the 14 item CBI-B was derived from the CBI-L with 33 items, with the 14 item also further  modified to a </w:t>
      </w:r>
      <w:proofErr w:type="gramStart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12 item</w:t>
      </w:r>
      <w:proofErr w:type="gramEnd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scale with total scale alpha coefficients ranging from 0.84 – 0.88 [7, 8, 9].  MIDs or effect sizes were not available at the time of development of the trial. A meta-analysis of 3,120 cancer patients across 37 controlled studies that used psychosocial measures to assess a range of cancer interventions reported an average effect size of 0.31 (95%CI: -0.13–0.75) [10], which was used in this study, similar to the effect size of 0.27 reported in a meta-analysis of interventions to enhance self-efficacy in cancer patients [11] and to the effect size of 0.28 proposed for the 14 item CBI-B by </w:t>
      </w:r>
      <w:proofErr w:type="spellStart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Giesler</w:t>
      </w:r>
      <w:proofErr w:type="spellEnd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et al (2017) [12].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The sample size of 326 had 80% power to detect an effect size of 0.31 for the CBI-B [13] (G*Power 3.1.9.7 (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Faul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et al, 2009)).</w:t>
      </w:r>
    </w:p>
    <w:p w14:paraId="7C79EBC8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The EORTC QLQ-C30 is an internationally used cancer specific questionnaire measuring physical, role, emotional, </w:t>
      </w:r>
      <w:proofErr w:type="gramStart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cognitive</w:t>
      </w:r>
      <w:proofErr w:type="gramEnd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and social function as well as cancer symptoms and global quality of life. Reliability coefficients of 0.62- 0.92 have been reported [14]. MID for the EORTC QLQ-C30 has been reported as 10 points or more on the function and symptom scales [15, 16]. Using a minimum of 10 points and median standard deviations provided in [16], power ranged from 63.6 to 99.0, with an average of 92% [6]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(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StudySize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3.0 (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Olofsson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, 2001-2013)).</w:t>
      </w:r>
    </w:p>
    <w:p w14:paraId="6C5758FB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u w:val="single"/>
          <w14:ligatures w14:val="none"/>
        </w:rPr>
      </w:pPr>
      <w:r w:rsidRPr="00CF7589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u w:val="single"/>
          <w14:ligatures w14:val="none"/>
        </w:rPr>
        <w:t>Resource 2</w:t>
      </w:r>
    </w:p>
    <w:p w14:paraId="6DFD82CD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Additional information relating to delays in treatment.</w:t>
      </w:r>
    </w:p>
    <w:p w14:paraId="318FE8C9" w14:textId="77777777" w:rsidR="00CF7589" w:rsidRPr="00CF7589" w:rsidRDefault="00CF7589" w:rsidP="00CF758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In the intervention group 26 patients (15%) had delays &gt;7 days: 12 due to treatment toxicity or disease progression, 1 due to hospital admission from an unplanned presentation, 9 due to planned surgery and 4 due to social reasons. In the control group, 21 patients (12%) had delays &gt;7 days: 12 due to toxicity or disease progression, 5 due to hospital admission from an unplanned presentation, 4 due to planned surgery or other planned procedure, and </w:t>
      </w:r>
      <w:proofErr w:type="gramStart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none due</w:t>
      </w:r>
      <w:proofErr w:type="gramEnd"/>
      <w:r w:rsidRPr="00CF7589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to social reasons. Planned surgery included procedures such as hysterectomy, debulking (removal of as much of a tumour as possible) and laparotomy. Social reasons included attending family functions and caring duties.</w:t>
      </w:r>
    </w:p>
    <w:p w14:paraId="78E239AA" w14:textId="77777777" w:rsidR="00CF7589" w:rsidRPr="00CF7589" w:rsidRDefault="00CF7589" w:rsidP="00CF7589">
      <w:pPr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sectPr w:rsidR="00CF7589" w:rsidRPr="00CF7589" w:rsidSect="00B21A4C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9CB1603" w14:textId="77777777" w:rsidR="00CF7589" w:rsidRPr="00CF7589" w:rsidRDefault="00CF7589" w:rsidP="00CF7589">
      <w:pPr>
        <w:rPr>
          <w:rFonts w:ascii="Times New Roman" w:hAnsi="Times New Roman" w:cs="Times New Roman"/>
          <w:b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b/>
          <w:kern w:val="0"/>
          <w:sz w:val="20"/>
          <w:szCs w:val="20"/>
          <w14:ligatures w14:val="none"/>
        </w:rPr>
        <w:lastRenderedPageBreak/>
        <w:t xml:space="preserve">Resource 3 EORTC analysis </w:t>
      </w:r>
    </w:p>
    <w:p w14:paraId="1F183042" w14:textId="77777777" w:rsidR="00CF7589" w:rsidRPr="00CF7589" w:rsidRDefault="00CF7589" w:rsidP="00CF7589">
      <w:pPr>
        <w:rPr>
          <w:rFonts w:ascii="Times New Roman" w:hAnsi="Times New Roman" w:cs="Times New Roman"/>
          <w:b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Analysis shows no significant difference on any of the 15 scales.</w:t>
      </w:r>
    </w:p>
    <w:p w14:paraId="7E000C2B" w14:textId="77777777" w:rsidR="00CF7589" w:rsidRPr="00CF7589" w:rsidRDefault="00CF7589" w:rsidP="00CF7589">
      <w:pPr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noProof/>
          <w:kern w:val="0"/>
          <w:sz w:val="20"/>
          <w:szCs w:val="20"/>
          <w:lang w:eastAsia="en-AU"/>
          <w14:ligatures w14:val="none"/>
        </w:rPr>
        <w:drawing>
          <wp:inline distT="0" distB="0" distL="0" distR="0" wp14:anchorId="68A520A9" wp14:editId="21E2ECB5">
            <wp:extent cx="4328973" cy="3171825"/>
            <wp:effectExtent l="0" t="0" r="0" b="0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0547" cy="318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7589">
        <w:rPr>
          <w:rFonts w:ascii="Times New Roman" w:hAnsi="Times New Roman" w:cs="Times New Roman"/>
          <w:noProof/>
          <w:kern w:val="0"/>
          <w:sz w:val="20"/>
          <w:szCs w:val="20"/>
          <w:lang w:eastAsia="en-AU"/>
          <w14:ligatures w14:val="none"/>
        </w:rPr>
        <w:drawing>
          <wp:inline distT="0" distB="0" distL="0" distR="0" wp14:anchorId="199F9228" wp14:editId="19B6B710">
            <wp:extent cx="4276725" cy="3138647"/>
            <wp:effectExtent l="0" t="0" r="0" b="5080"/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lin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1848" cy="315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FD6AA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Arm 1 = Intervention; Arm 2 = Control</w:t>
      </w:r>
    </w:p>
    <w:p w14:paraId="403B1A24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36669D83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QL: Global health status (QoL) – 2 items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 xml:space="preserve">DY: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Dyspnea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– 1 item</w:t>
      </w:r>
    </w:p>
    <w:p w14:paraId="19B57A8A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PF: Physical Functioning – 5 items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>SL: Insomnia – 1 item</w:t>
      </w:r>
    </w:p>
    <w:p w14:paraId="622AD2B4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RF: Role Functioning – 2 items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>AP: Appetite loss – 1 item</w:t>
      </w:r>
    </w:p>
    <w:p w14:paraId="1FE223AD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EF: Emotional Functioning – 4 items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>CO: Constipation – 1 item</w:t>
      </w:r>
    </w:p>
    <w:p w14:paraId="417F66FC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C F: Cognitive functioning – 2 items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>DI: Diarrhea – 1 item</w:t>
      </w:r>
    </w:p>
    <w:p w14:paraId="4F9EA1CB" w14:textId="77777777" w:rsidR="00CF7589" w:rsidRPr="00CF7589" w:rsidRDefault="00CF7589" w:rsidP="00CF7589">
      <w:pPr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SF: Social functioning – 2 items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>FI: Financial difficulties – 1 item</w:t>
      </w:r>
    </w:p>
    <w:p w14:paraId="13B1D732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FA: Fatigue – 3 items</w:t>
      </w:r>
    </w:p>
    <w:p w14:paraId="2899429A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NV: Nausea and vomiting – 2 items</w:t>
      </w:r>
    </w:p>
    <w:p w14:paraId="1A9CD295" w14:textId="77777777" w:rsidR="00CF7589" w:rsidRPr="00CF7589" w:rsidRDefault="00CF7589" w:rsidP="00CF7589">
      <w:pPr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PA: Pain – 2 items</w:t>
      </w:r>
    </w:p>
    <w:p w14:paraId="0D47604B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lastRenderedPageBreak/>
        <w:t xml:space="preserve">These are the scales of greatest </w:t>
      </w:r>
      <w:proofErr w:type="gram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interest</w:t>
      </w:r>
      <w:proofErr w:type="gramEnd"/>
    </w:p>
    <w:p w14:paraId="0645DFA3" w14:textId="77777777" w:rsidR="00CF7589" w:rsidRPr="00CF7589" w:rsidRDefault="00CF7589" w:rsidP="00CF758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41A12125" w14:textId="77777777" w:rsidR="00CF7589" w:rsidRPr="00CF7589" w:rsidRDefault="00CF7589" w:rsidP="00CF7589">
      <w:pPr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noProof/>
          <w:kern w:val="0"/>
          <w:sz w:val="20"/>
          <w:szCs w:val="20"/>
          <w:lang w:eastAsia="en-AU"/>
          <w14:ligatures w14:val="none"/>
        </w:rPr>
        <w:drawing>
          <wp:inline distT="0" distB="0" distL="0" distR="0" wp14:anchorId="1199B2F0" wp14:editId="507257A9">
            <wp:extent cx="4324350" cy="3163279"/>
            <wp:effectExtent l="0" t="0" r="0" b="0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line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48026" cy="318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7589">
        <w:rPr>
          <w:rFonts w:ascii="Times New Roman" w:hAnsi="Times New Roman" w:cs="Times New Roman"/>
          <w:noProof/>
          <w:kern w:val="0"/>
          <w:sz w:val="20"/>
          <w:szCs w:val="20"/>
          <w:lang w:eastAsia="en-AU"/>
          <w14:ligatures w14:val="none"/>
        </w:rPr>
        <w:drawing>
          <wp:inline distT="0" distB="0" distL="0" distR="0" wp14:anchorId="4D99CA42" wp14:editId="1FF113FB">
            <wp:extent cx="4353369" cy="3162254"/>
            <wp:effectExtent l="0" t="0" r="0" b="635"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line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8530" cy="318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1535E" w14:textId="77777777" w:rsidR="00CF7589" w:rsidRPr="00CF7589" w:rsidRDefault="00CF7589" w:rsidP="00CF7589">
      <w:pPr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Arm 1 = Intervention; Arm 2 = Control</w:t>
      </w:r>
    </w:p>
    <w:p w14:paraId="45682F90" w14:textId="77777777" w:rsidR="00CF7589" w:rsidRPr="00CF7589" w:rsidRDefault="00CF7589" w:rsidP="00CF7589">
      <w:pPr>
        <w:spacing w:after="0"/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</w:pPr>
      <w:r w:rsidRPr="00CF7589"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t>Australian reference values can be found at:</w:t>
      </w:r>
    </w:p>
    <w:p w14:paraId="48F58F2A" w14:textId="77777777" w:rsidR="00CF7589" w:rsidRPr="00CF7589" w:rsidRDefault="00CF7589" w:rsidP="00CF7589">
      <w:pPr>
        <w:spacing w:after="0"/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</w:pPr>
      <w:r w:rsidRPr="00CF7589"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t xml:space="preserve"> </w:t>
      </w:r>
    </w:p>
    <w:p w14:paraId="0F820EA9" w14:textId="77777777" w:rsidR="00CF7589" w:rsidRPr="00CF7589" w:rsidRDefault="00CF7589" w:rsidP="00CF7589">
      <w:pPr>
        <w:spacing w:after="0"/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</w:pPr>
      <w:r w:rsidRPr="00CF7589"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t>https://www.mja.com.au/journal/2019/210/11/eortc-quality-life-questionnaire-cancer-patients-qlq-c30-australian-general</w:t>
      </w:r>
    </w:p>
    <w:p w14:paraId="0B79190D" w14:textId="77777777" w:rsidR="00CF7589" w:rsidRPr="00CF7589" w:rsidRDefault="00CF7589" w:rsidP="00CF7589">
      <w:pPr>
        <w:spacing w:after="0"/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</w:pPr>
    </w:p>
    <w:p w14:paraId="3FC2CF48" w14:textId="77777777" w:rsidR="00CF7589" w:rsidRPr="00CF7589" w:rsidRDefault="00CF7589" w:rsidP="00CF7589">
      <w:pPr>
        <w:spacing w:after="0"/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</w:pPr>
    </w:p>
    <w:p w14:paraId="2F96C28B" w14:textId="77777777" w:rsidR="00CF7589" w:rsidRPr="00CF7589" w:rsidRDefault="00CF7589" w:rsidP="00CF7589">
      <w:pPr>
        <w:spacing w:after="0"/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sectPr w:rsidR="00CF7589" w:rsidRPr="00CF7589" w:rsidSect="00B21A4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5B2099D" w14:textId="77777777" w:rsidR="00CF7589" w:rsidRPr="00CF7589" w:rsidRDefault="00CF7589" w:rsidP="00CF7589">
      <w:pPr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lastRenderedPageBreak/>
        <w:t>References for online resources</w:t>
      </w:r>
    </w:p>
    <w:p w14:paraId="5A27B1F0" w14:textId="77777777" w:rsidR="00CF7589" w:rsidRPr="00CF7589" w:rsidRDefault="00CF7589" w:rsidP="00CF7589">
      <w:pPr>
        <w:spacing w:after="0"/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</w:pPr>
    </w:p>
    <w:p w14:paraId="3FE21F3A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 xml:space="preserve">Snaith, R.P. (2003)  The Hospital Anxiety </w:t>
      </w:r>
      <w:proofErr w:type="gram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And</w:t>
      </w:r>
      <w:proofErr w:type="gram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Depression Scale. Health Qual  Life Outcomes</w:t>
      </w:r>
      <w:r w:rsidRPr="00CF7589" w:rsidDel="00B20626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1: 29. </w:t>
      </w:r>
      <w:hyperlink r:id="rId10" w:history="1">
        <w:r w:rsidRPr="00CF7589">
          <w:rPr>
            <w:rFonts w:ascii="Times New Roman" w:hAnsi="Times New Roman" w:cs="Times New Roman"/>
            <w:kern w:val="0"/>
            <w:sz w:val="20"/>
            <w:szCs w:val="20"/>
            <w14:ligatures w14:val="none"/>
          </w:rPr>
          <w:t>https://doi.org/10.1186/1477-7525-1-29</w:t>
        </w:r>
      </w:hyperlink>
    </w:p>
    <w:p w14:paraId="60D4C225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2. 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Zittoun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R,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Achard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S,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Ruszniewski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M. (1999)  Assessment of quality of life during intensive chemotherapy or bone marrow transplantation.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Psychooncology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8(1): 64-73. </w:t>
      </w:r>
    </w:p>
    <w:p w14:paraId="5D28E99E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3.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>Lloyd-Williams M, Friedman T,  Rudd, N. (2001) An Analysis of the Validity of the Hospital Anxiety and Depression Scale as a Screening Tool in Patients with Advanced Metastatic Cancer. J Pain Symptom Manage 22(6):990-996. doi:</w:t>
      </w:r>
      <w:hyperlink r:id="rId11" w:tgtFrame="_blank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 xml:space="preserve">10.1016/s0885-3924(01)00358-x </w:t>
        </w:r>
      </w:hyperlink>
    </w:p>
    <w:p w14:paraId="05974CFC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4.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Puhan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, M., et al. (2008)  The minimal important difference of the hospital anxiety and depression scale in patients with chronic obstructive pulmonary disease. Health Qual  Life Outcomes, 6(1): 46. </w:t>
      </w:r>
      <w:hyperlink r:id="rId12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https://doi.org/10.1186/1477-7525-6-46</w:t>
        </w:r>
      </w:hyperlink>
    </w:p>
    <w:p w14:paraId="18711952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5.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 xml:space="preserve">Lemay KR, Tulloch HE, Pipe AL, Reed JL(2019) Establishing the Minimal Clinically Important Difference for the Hospital Anxiety and Depression Scale in Patients </w:t>
      </w:r>
      <w:proofErr w:type="gram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With</w:t>
      </w:r>
      <w:proofErr w:type="gram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Cardiovascular Disease. J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Cardiopulm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Rehabil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Prev. </w:t>
      </w:r>
      <w:hyperlink r:id="rId13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http://doi.org/10.1097/HCR.0000000000000379</w:t>
        </w:r>
      </w:hyperlink>
    </w:p>
    <w:p w14:paraId="45E513FD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6.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StudySize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3.0, CREOSTAT HB, Sweden. </w:t>
      </w:r>
      <w:hyperlink r:id="rId14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https://www.studysize.com/</w:t>
        </w:r>
      </w:hyperlink>
    </w:p>
    <w:p w14:paraId="003CA968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7.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Heitzmann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et al. (2011) Assessing self-efficacy for coping with cancer: development and psychometric analysis of the brief version of the Cancer Behaviour Inventory (CBI-B)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Psychooncology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20(3):302-312. </w:t>
      </w:r>
      <w:hyperlink r:id="rId15" w:history="1">
        <w:r w:rsidRPr="00CF7589">
          <w:rPr>
            <w:rFonts w:ascii="Times New Roman" w:hAnsi="Times New Roman" w:cs="Times New Roman"/>
            <w:color w:val="954F72" w:themeColor="followedHyperlink"/>
            <w:kern w:val="0"/>
            <w:sz w:val="20"/>
            <w:szCs w:val="20"/>
            <w:u w:val="single"/>
            <w14:ligatures w14:val="none"/>
          </w:rPr>
          <w:t>https://doi.org/10.1002/pon.1735</w:t>
        </w:r>
      </w:hyperlink>
    </w:p>
    <w:p w14:paraId="323B9BC0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8.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 xml:space="preserve">Chirico et al (2017) A meta-analytic review of the relationship of cancer coping self-efficacy with distress and quality of life.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Oncotarget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8(22):pp 36800-36811. </w:t>
      </w:r>
      <w:hyperlink r:id="rId16" w:history="1">
        <w:r w:rsidRPr="00CF7589">
          <w:rPr>
            <w:rFonts w:ascii="Times New Roman" w:hAnsi="Times New Roman" w:cs="Times New Roman"/>
            <w:color w:val="954F72" w:themeColor="followedHyperlink"/>
            <w:kern w:val="0"/>
            <w:sz w:val="20"/>
            <w:szCs w:val="20"/>
            <w:u w:val="single"/>
            <w14:ligatures w14:val="none"/>
          </w:rPr>
          <w:t>https://doi.org/10.18632/oncotarget.15758</w:t>
        </w:r>
      </w:hyperlink>
    </w:p>
    <w:p w14:paraId="33D2EB98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9.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 xml:space="preserve">Pereira M,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Izdebski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P, Pereira MG (2021) Validation of the Brief Version of the Cancer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Behavior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Inventory in Breast Cancer Portuguese Patients. J Clin Psychol Med Settings 28:491-502. </w:t>
      </w:r>
      <w:hyperlink r:id="rId17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https://doi.org/10.1007/s10880-021-09773-5</w:t>
        </w:r>
      </w:hyperlink>
    </w:p>
    <w:p w14:paraId="3DA4FC16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10.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Rehse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, B. and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Pukrop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, R. (2003) Effects of psychosocial interventions on quality of life in adult cancer patients: </w:t>
      </w:r>
      <w:proofErr w:type="spellStart"/>
      <w:proofErr w:type="gram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meta analysis</w:t>
      </w:r>
      <w:proofErr w:type="spellEnd"/>
      <w:proofErr w:type="gram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of 37 published controlled outcome studies. Patient Educ Couns 50(2):179-186. https://doi.org/</w:t>
      </w:r>
      <w:r w:rsidRPr="00CF7589">
        <w:rPr>
          <w:rFonts w:ascii="Times New Roman" w:hAnsi="Times New Roman" w:cs="Times New Roman"/>
          <w:b/>
          <w:bCs/>
          <w:iCs/>
          <w:kern w:val="0"/>
          <w:sz w:val="20"/>
          <w:szCs w:val="20"/>
          <w:lang w:eastAsia="x-none"/>
          <w14:ligatures w14:val="none"/>
        </w:rPr>
        <w:t xml:space="preserve"> </w:t>
      </w:r>
      <w:hyperlink r:id="rId18" w:tgtFrame="_blank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 xml:space="preserve">10.1016/s0738-3991(02)00149-0 </w:t>
        </w:r>
      </w:hyperlink>
    </w:p>
    <w:p w14:paraId="7D67B7F9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11.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Merluzzi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TV et al (2019) Interventions to enhance self‐efficacy in cancer patients: A meta‐analysis of randomized controlled trials. Psycho‐Oncology 28(9):1781-1790. </w:t>
      </w:r>
      <w:hyperlink r:id="rId19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https://doi.org/10.1002/pon.5148</w:t>
        </w:r>
      </w:hyperlink>
    </w:p>
    <w:p w14:paraId="0F09BF73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12.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Giesler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JM et al  (2017) Effect  of  a  Website  That  Presents  Patients’ Experiences  on  Self-Efficacy  and  Patient  Competence  of  Colorectal  Cancer 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Patients:Web-Based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Randomized Controlled Trial J Med Internet Res </w:t>
      </w:r>
      <w:r w:rsidRPr="00CF7589">
        <w:rPr>
          <w:rFonts w:ascii="Times New Roman" w:hAnsi="Times New Roman" w:cs="Times New Roman"/>
          <w:color w:val="0000FF"/>
          <w:kern w:val="0"/>
          <w:sz w:val="20"/>
          <w:szCs w:val="20"/>
          <w:u w:val="single"/>
          <w14:ligatures w14:val="none"/>
        </w:rPr>
        <w:t xml:space="preserve">19(10). </w:t>
      </w:r>
      <w:hyperlink r:id="rId20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https://doi.org/10.2196/jmir.7639</w:t>
        </w:r>
      </w:hyperlink>
    </w:p>
    <w:p w14:paraId="04025927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6922CD63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772E2CD9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13.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Faul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F,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Erdfelder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E, Lang AG, Buchner A (2007). G*Power 3: A flexible statistical power analysis for the social,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behavioral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, and biomedical sciences. </w:t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Behavior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Research Methods, 39, 175-191. </w:t>
      </w:r>
      <w:hyperlink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https://www.psychologie.hh u.de/arbeitsgruppen/allgemeine-psychologie-und-arbeitspsychologie/gpower</w:t>
        </w:r>
      </w:hyperlink>
    </w:p>
    <w:p w14:paraId="417B7186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14.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 xml:space="preserve">King et al. (2007). Validity, reliability and responsiveness of the EORTC QLQ-C30 and the EORTC QLQ-LC13 in Australians with </w:t>
      </w:r>
      <w:proofErr w:type="gram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early stage</w:t>
      </w:r>
      <w:proofErr w:type="gram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non-small cell lung cancer, CHERE Working Paper 2007/13. CHERE, University of Technology, Sydney, Working Papers. </w:t>
      </w:r>
    </w:p>
    <w:p w14:paraId="37BF02B6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15.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proofErr w:type="spellStart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>Osoba</w:t>
      </w:r>
      <w:proofErr w:type="spellEnd"/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D et al (1998)  Interpreting the significance of changes in health-related quality-of- life scores. J Clinical Oncol 16(1): 139-144. https://doi.org/</w:t>
      </w:r>
      <w:r w:rsidRPr="00CF7589">
        <w:rPr>
          <w:rFonts w:ascii="Times New Roman" w:hAnsi="Times New Roman" w:cs="Times New Roman"/>
          <w:b/>
          <w:bCs/>
          <w:iCs/>
          <w:kern w:val="0"/>
          <w:sz w:val="20"/>
          <w:szCs w:val="20"/>
          <w:lang w:eastAsia="x-none"/>
          <w14:ligatures w14:val="none"/>
        </w:rPr>
        <w:t xml:space="preserve"> </w:t>
      </w:r>
      <w:hyperlink r:id="rId21" w:tgtFrame="_blank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10.1200/JCO.1998.16.1.139</w:t>
        </w:r>
      </w:hyperlink>
    </w:p>
    <w:p w14:paraId="35D7E293" w14:textId="77777777" w:rsidR="00CF7589" w:rsidRPr="00CF7589" w:rsidRDefault="00CF7589" w:rsidP="00CF7589">
      <w:pPr>
        <w:ind w:left="720" w:hanging="720"/>
        <w:rPr>
          <w:rFonts w:ascii="Times New Roman" w:hAnsi="Times New Roman" w:cs="Times New Roman"/>
          <w:color w:val="0000FF"/>
          <w:kern w:val="0"/>
          <w:sz w:val="20"/>
          <w:szCs w:val="20"/>
          <w:u w:val="single"/>
          <w14:ligatures w14:val="none"/>
        </w:rPr>
      </w:pP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lastRenderedPageBreak/>
        <w:t xml:space="preserve">16. </w:t>
      </w:r>
      <w:r w:rsidRPr="00CF7589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  <w:t xml:space="preserve">King M (1996) The interpretation of scores from the EORTC quality of life questionnaire QLQ-C30. Qual Life Res 5:555-567. </w:t>
      </w:r>
      <w:hyperlink r:id="rId22" w:history="1">
        <w:r w:rsidRPr="00CF7589">
          <w:rPr>
            <w:rFonts w:ascii="Times New Roman" w:hAnsi="Times New Roman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https://doi.org/10.1007/BF00439229</w:t>
        </w:r>
      </w:hyperlink>
    </w:p>
    <w:p w14:paraId="361BEECE" w14:textId="77777777" w:rsidR="00CF7589" w:rsidRPr="00CF7589" w:rsidRDefault="00CF7589" w:rsidP="00CF7589">
      <w:pPr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</w:p>
    <w:p w14:paraId="2B832ACB" w14:textId="77777777" w:rsidR="00D855D8" w:rsidRPr="00A42A3E" w:rsidRDefault="00D855D8">
      <w:pPr>
        <w:rPr>
          <w:rFonts w:ascii="Times New Roman" w:hAnsi="Times New Roman" w:cs="Times New Roman"/>
          <w:sz w:val="20"/>
          <w:szCs w:val="20"/>
        </w:rPr>
      </w:pPr>
    </w:p>
    <w:sectPr w:rsidR="00D855D8" w:rsidRPr="00A42A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C065A" w14:textId="77777777" w:rsidR="007141E5" w:rsidRDefault="007141E5" w:rsidP="007141E5">
      <w:pPr>
        <w:spacing w:after="0" w:line="240" w:lineRule="auto"/>
      </w:pPr>
      <w:r>
        <w:separator/>
      </w:r>
    </w:p>
  </w:endnote>
  <w:endnote w:type="continuationSeparator" w:id="0">
    <w:p w14:paraId="25581743" w14:textId="77777777" w:rsidR="007141E5" w:rsidRDefault="007141E5" w:rsidP="00714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1A6C8" w14:textId="77777777" w:rsidR="007141E5" w:rsidRDefault="007141E5" w:rsidP="007141E5">
      <w:pPr>
        <w:spacing w:after="0" w:line="240" w:lineRule="auto"/>
      </w:pPr>
      <w:r>
        <w:separator/>
      </w:r>
    </w:p>
  </w:footnote>
  <w:footnote w:type="continuationSeparator" w:id="0">
    <w:p w14:paraId="337EA7DA" w14:textId="77777777" w:rsidR="007141E5" w:rsidRDefault="007141E5" w:rsidP="007141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589"/>
    <w:rsid w:val="007141E5"/>
    <w:rsid w:val="00961B60"/>
    <w:rsid w:val="00A42A3E"/>
    <w:rsid w:val="00AF3A45"/>
    <w:rsid w:val="00CF7589"/>
    <w:rsid w:val="00D8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2DCC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4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41E5"/>
  </w:style>
  <w:style w:type="paragraph" w:styleId="Footer">
    <w:name w:val="footer"/>
    <w:basedOn w:val="Normal"/>
    <w:link w:val="FooterChar"/>
    <w:uiPriority w:val="99"/>
    <w:unhideWhenUsed/>
    <w:rsid w:val="00714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4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doi.org/10.1097/HCR.0000000000000379" TargetMode="External"/><Relationship Id="rId18" Type="http://schemas.openxmlformats.org/officeDocument/2006/relationships/hyperlink" Target="https://doi.org/10.1016/s0738-3991(02)00149-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i.org/10.1200/jco.1998.16.1.139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doi.org/10.1186/1477-7525-6-46" TargetMode="External"/><Relationship Id="rId17" Type="http://schemas.openxmlformats.org/officeDocument/2006/relationships/hyperlink" Target="https://doi.org/10.1007/s10880-021-09773-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i.org/10.18632/oncotarget.15758" TargetMode="External"/><Relationship Id="rId20" Type="http://schemas.openxmlformats.org/officeDocument/2006/relationships/hyperlink" Target="https://doi.org/10.2196/jmir.7639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doi.org/10.1016/s0885-3924(01)00358-x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doi.org/10.1002/pon.1735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doi.org/10.1186/1477-7525-1-29" TargetMode="External"/><Relationship Id="rId19" Type="http://schemas.openxmlformats.org/officeDocument/2006/relationships/hyperlink" Target="https://doi.org/10.1002/pon.5148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https://www.studysize.com/" TargetMode="External"/><Relationship Id="rId22" Type="http://schemas.openxmlformats.org/officeDocument/2006/relationships/hyperlink" Target="https://doi.org/10.1007/BF004392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1206</Words>
  <Characters>6877</Characters>
  <Application>Microsoft Office Word</Application>
  <DocSecurity>0</DocSecurity>
  <Lines>57</Lines>
  <Paragraphs>16</Paragraphs>
  <ScaleCrop>false</ScaleCrop>
  <Company/>
  <LinksUpToDate>false</LinksUpToDate>
  <CharactersWithSpaces>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2023-07-11T07:35:00Z</dcterms:created>
  <dcterms:modified xsi:type="dcterms:W3CDTF">2023-07-11T07:35:00Z</dcterms:modified>
</cp:coreProperties>
</file>