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7E7C2A" w14:textId="18E80B18" w:rsidR="00EC061F" w:rsidRDefault="00EC061F" w:rsidP="009B621A">
      <w:pPr>
        <w:spacing w:before="120" w:line="480" w:lineRule="auto"/>
        <w:jc w:val="center"/>
        <w:rPr>
          <w:rFonts w:ascii="Helvetica" w:hAnsi="Helvetica"/>
          <w:b/>
          <w:bCs/>
          <w:sz w:val="22"/>
          <w:szCs w:val="22"/>
        </w:rPr>
      </w:pPr>
      <w:r w:rsidRPr="009B621A">
        <w:rPr>
          <w:rFonts w:ascii="Helvetica" w:hAnsi="Helvetica"/>
          <w:b/>
          <w:bCs/>
          <w:sz w:val="22"/>
          <w:szCs w:val="22"/>
        </w:rPr>
        <w:t>Supplementary Information</w:t>
      </w:r>
    </w:p>
    <w:p w14:paraId="734A2912" w14:textId="7915D189" w:rsidR="009B621A" w:rsidRPr="0025479E" w:rsidRDefault="0025479E" w:rsidP="0025479E">
      <w:pPr>
        <w:spacing w:before="120" w:line="480" w:lineRule="auto"/>
        <w:jc w:val="center"/>
        <w:rPr>
          <w:rFonts w:ascii="Helvetica" w:hAnsi="Helvetica"/>
          <w:b/>
          <w:bCs/>
          <w:sz w:val="22"/>
          <w:szCs w:val="22"/>
        </w:rPr>
      </w:pPr>
      <w:r>
        <w:rPr>
          <w:rFonts w:ascii="Helvetica" w:hAnsi="Helvetica"/>
          <w:b/>
          <w:bCs/>
          <w:sz w:val="22"/>
          <w:szCs w:val="22"/>
        </w:rPr>
        <w:t xml:space="preserve">Genetic Resources and Crop Evolution Journal </w:t>
      </w:r>
    </w:p>
    <w:p w14:paraId="57593619" w14:textId="77B8455E" w:rsidR="004D47B8" w:rsidRPr="009B621A" w:rsidRDefault="004D47B8" w:rsidP="009B621A">
      <w:pPr>
        <w:spacing w:before="120" w:line="480" w:lineRule="auto"/>
        <w:jc w:val="center"/>
        <w:outlineLvl w:val="0"/>
        <w:rPr>
          <w:rFonts w:ascii="Helvetica" w:hAnsi="Helvetica"/>
          <w:b/>
          <w:iCs/>
          <w:sz w:val="20"/>
          <w:szCs w:val="20"/>
        </w:rPr>
      </w:pPr>
      <w:r w:rsidRPr="009B621A">
        <w:rPr>
          <w:rFonts w:ascii="Helvetica" w:hAnsi="Helvetica"/>
          <w:b/>
          <w:iCs/>
          <w:sz w:val="20"/>
          <w:szCs w:val="20"/>
        </w:rPr>
        <w:t>The genetic diversity of wild grapes in Mexico</w:t>
      </w:r>
    </w:p>
    <w:p w14:paraId="147D44F0" w14:textId="77777777" w:rsidR="004D47B8" w:rsidRPr="009B621A" w:rsidRDefault="004D47B8" w:rsidP="009B621A">
      <w:pPr>
        <w:spacing w:before="120" w:line="480" w:lineRule="auto"/>
        <w:jc w:val="center"/>
        <w:rPr>
          <w:rFonts w:ascii="Helvetica" w:hAnsi="Helvetica"/>
          <w:sz w:val="20"/>
          <w:szCs w:val="20"/>
          <w:lang w:val="es-ES"/>
        </w:rPr>
      </w:pPr>
      <w:r w:rsidRPr="009B621A">
        <w:rPr>
          <w:rFonts w:ascii="Helvetica" w:hAnsi="Helvetica"/>
          <w:sz w:val="20"/>
          <w:szCs w:val="20"/>
          <w:lang w:val="es-ES"/>
        </w:rPr>
        <w:t>Karla G. Huerta-Acosta</w:t>
      </w:r>
      <w:r w:rsidRPr="009B621A">
        <w:rPr>
          <w:rFonts w:ascii="Helvetica" w:hAnsi="Helvetica"/>
          <w:sz w:val="20"/>
          <w:szCs w:val="20"/>
          <w:vertAlign w:val="superscript"/>
          <w:lang w:val="es-ES"/>
        </w:rPr>
        <w:t>1</w:t>
      </w:r>
      <w:r w:rsidRPr="009B621A">
        <w:rPr>
          <w:rFonts w:ascii="Helvetica" w:hAnsi="Helvetica"/>
          <w:sz w:val="20"/>
          <w:szCs w:val="20"/>
          <w:lang w:val="es-ES"/>
        </w:rPr>
        <w:t xml:space="preserve">, </w:t>
      </w:r>
      <w:proofErr w:type="spellStart"/>
      <w:r w:rsidRPr="009B621A">
        <w:rPr>
          <w:rFonts w:ascii="Helvetica" w:hAnsi="Helvetica"/>
          <w:sz w:val="20"/>
          <w:szCs w:val="20"/>
          <w:lang w:val="es-ES"/>
        </w:rPr>
        <w:t>Summaira</w:t>
      </w:r>
      <w:proofErr w:type="spellEnd"/>
      <w:r w:rsidRPr="009B621A">
        <w:rPr>
          <w:rFonts w:ascii="Helvetica" w:hAnsi="Helvetica"/>
          <w:sz w:val="20"/>
          <w:szCs w:val="20"/>
          <w:lang w:val="es-ES"/>
        </w:rPr>
        <w:t xml:space="preserve"> Riaz</w:t>
      </w:r>
      <w:r w:rsidRPr="009B621A">
        <w:rPr>
          <w:rFonts w:ascii="Helvetica" w:hAnsi="Helvetica"/>
          <w:sz w:val="20"/>
          <w:szCs w:val="20"/>
          <w:vertAlign w:val="superscript"/>
          <w:lang w:val="es-ES"/>
        </w:rPr>
        <w:t>1</w:t>
      </w:r>
      <w:r w:rsidRPr="009B621A">
        <w:rPr>
          <w:rFonts w:ascii="Helvetica" w:hAnsi="Helvetica"/>
          <w:sz w:val="20"/>
          <w:szCs w:val="20"/>
          <w:lang w:val="es-ES"/>
        </w:rPr>
        <w:t>, Omar Franco-Mora</w:t>
      </w:r>
      <w:r w:rsidRPr="009B621A">
        <w:rPr>
          <w:rFonts w:ascii="Helvetica" w:hAnsi="Helvetica"/>
          <w:sz w:val="20"/>
          <w:szCs w:val="20"/>
          <w:vertAlign w:val="superscript"/>
          <w:lang w:val="es-ES"/>
        </w:rPr>
        <w:t>2</w:t>
      </w:r>
      <w:r w:rsidRPr="009B621A">
        <w:rPr>
          <w:rFonts w:ascii="Helvetica" w:hAnsi="Helvetica"/>
          <w:sz w:val="20"/>
          <w:szCs w:val="20"/>
          <w:lang w:val="es-ES"/>
        </w:rPr>
        <w:t>, Juan G. Cruz-Castillo</w:t>
      </w:r>
      <w:r w:rsidRPr="009B621A">
        <w:rPr>
          <w:rFonts w:ascii="Helvetica" w:hAnsi="Helvetica"/>
          <w:sz w:val="20"/>
          <w:szCs w:val="20"/>
          <w:vertAlign w:val="superscript"/>
          <w:lang w:val="es-ES"/>
        </w:rPr>
        <w:t>3</w:t>
      </w:r>
      <w:r w:rsidRPr="009B621A">
        <w:rPr>
          <w:rFonts w:ascii="Helvetica" w:hAnsi="Helvetica"/>
          <w:sz w:val="20"/>
          <w:szCs w:val="20"/>
          <w:lang w:val="es-ES"/>
        </w:rPr>
        <w:t>, M. Andrew Walker</w:t>
      </w:r>
      <w:r w:rsidRPr="009B621A">
        <w:rPr>
          <w:rFonts w:ascii="Helvetica" w:hAnsi="Helvetica"/>
          <w:sz w:val="20"/>
          <w:szCs w:val="20"/>
          <w:vertAlign w:val="superscript"/>
          <w:lang w:val="es-ES"/>
        </w:rPr>
        <w:t>1</w:t>
      </w:r>
      <w:r w:rsidRPr="009B621A">
        <w:rPr>
          <w:rFonts w:ascii="Helvetica" w:hAnsi="Helvetica"/>
          <w:sz w:val="20"/>
          <w:szCs w:val="20"/>
          <w:lang w:val="es-ES"/>
        </w:rPr>
        <w:t>*</w:t>
      </w:r>
    </w:p>
    <w:p w14:paraId="24CA5539" w14:textId="77777777" w:rsidR="004D47B8" w:rsidRPr="009B621A" w:rsidRDefault="004D47B8" w:rsidP="009B621A">
      <w:pPr>
        <w:spacing w:before="120" w:line="480" w:lineRule="auto"/>
        <w:jc w:val="center"/>
        <w:rPr>
          <w:rFonts w:ascii="Helvetica" w:hAnsi="Helvetica"/>
          <w:b/>
          <w:bCs/>
          <w:sz w:val="20"/>
          <w:szCs w:val="20"/>
        </w:rPr>
      </w:pPr>
      <w:r w:rsidRPr="009B621A">
        <w:rPr>
          <w:rFonts w:ascii="Helvetica" w:hAnsi="Helvetica"/>
          <w:b/>
          <w:bCs/>
          <w:sz w:val="20"/>
          <w:szCs w:val="20"/>
        </w:rPr>
        <w:t>Author affiliation</w:t>
      </w:r>
    </w:p>
    <w:p w14:paraId="013441BB" w14:textId="680A8C61" w:rsidR="004D47B8" w:rsidRPr="009B621A" w:rsidRDefault="004D47B8" w:rsidP="009B621A">
      <w:pPr>
        <w:spacing w:before="120" w:line="480" w:lineRule="auto"/>
        <w:jc w:val="center"/>
        <w:rPr>
          <w:rFonts w:ascii="Helvetica" w:hAnsi="Helvetica"/>
          <w:sz w:val="20"/>
          <w:szCs w:val="20"/>
        </w:rPr>
      </w:pPr>
      <w:r w:rsidRPr="009B621A">
        <w:rPr>
          <w:rFonts w:ascii="Helvetica" w:hAnsi="Helvetica"/>
          <w:sz w:val="20"/>
          <w:szCs w:val="20"/>
        </w:rPr>
        <w:t>1: Department of Viticulture and Enology, University of California, Davis.</w:t>
      </w:r>
    </w:p>
    <w:p w14:paraId="4CCA4420" w14:textId="77777777" w:rsidR="004D47B8" w:rsidRPr="009B621A" w:rsidRDefault="004D47B8" w:rsidP="009B621A">
      <w:pPr>
        <w:pStyle w:val="p1"/>
        <w:spacing w:before="120" w:line="480" w:lineRule="auto"/>
        <w:jc w:val="center"/>
        <w:rPr>
          <w:rFonts w:ascii="Helvetica" w:hAnsi="Helvetica"/>
          <w:sz w:val="20"/>
          <w:szCs w:val="20"/>
          <w:lang w:val="es-ES"/>
        </w:rPr>
      </w:pPr>
      <w:r w:rsidRPr="009B621A">
        <w:rPr>
          <w:rFonts w:ascii="Helvetica" w:hAnsi="Helvetica"/>
          <w:sz w:val="20"/>
          <w:szCs w:val="20"/>
          <w:lang w:val="es-ES"/>
        </w:rPr>
        <w:t>2:</w:t>
      </w:r>
      <w:r w:rsidRPr="009B621A">
        <w:rPr>
          <w:rFonts w:ascii="Helvetica" w:hAnsi="Helvetica"/>
          <w:b/>
          <w:sz w:val="20"/>
          <w:szCs w:val="20"/>
          <w:lang w:val="es-ES"/>
        </w:rPr>
        <w:t xml:space="preserve"> </w:t>
      </w:r>
      <w:r w:rsidRPr="009B621A">
        <w:rPr>
          <w:rFonts w:ascii="Helvetica" w:hAnsi="Helvetica"/>
          <w:sz w:val="20"/>
          <w:szCs w:val="20"/>
          <w:lang w:val="es-ES"/>
        </w:rPr>
        <w:t>Laboratorio de Horticultura, Facultad de Ciencias Agrícolas, Universidad Autónoma del Estado de México. Campus Universitario El Cerrillo. Toluca, México. C. P. 50200.</w:t>
      </w:r>
    </w:p>
    <w:p w14:paraId="06A46B60" w14:textId="77777777" w:rsidR="004D47B8" w:rsidRPr="009B621A" w:rsidRDefault="004D47B8" w:rsidP="009B621A">
      <w:pPr>
        <w:pStyle w:val="p1"/>
        <w:spacing w:before="120" w:line="480" w:lineRule="auto"/>
        <w:jc w:val="center"/>
        <w:rPr>
          <w:rFonts w:ascii="Helvetica" w:hAnsi="Helvetica"/>
          <w:sz w:val="20"/>
          <w:szCs w:val="20"/>
        </w:rPr>
      </w:pPr>
      <w:r w:rsidRPr="009B621A">
        <w:rPr>
          <w:rFonts w:ascii="Helvetica" w:hAnsi="Helvetica"/>
          <w:sz w:val="20"/>
          <w:szCs w:val="20"/>
          <w:lang w:val="es-ES"/>
        </w:rPr>
        <w:t xml:space="preserve">3: Centro Regional Universitario Oriente, Universidad Autónoma Chapingo. </w:t>
      </w:r>
      <w:proofErr w:type="spellStart"/>
      <w:r w:rsidRPr="009B621A">
        <w:rPr>
          <w:rFonts w:ascii="Helvetica" w:hAnsi="Helvetica"/>
          <w:sz w:val="20"/>
          <w:szCs w:val="20"/>
        </w:rPr>
        <w:t>Huatusco</w:t>
      </w:r>
      <w:proofErr w:type="spellEnd"/>
      <w:r w:rsidRPr="009B621A">
        <w:rPr>
          <w:rFonts w:ascii="Helvetica" w:hAnsi="Helvetica"/>
          <w:sz w:val="20"/>
          <w:szCs w:val="20"/>
        </w:rPr>
        <w:t>, Veracruz, México.</w:t>
      </w:r>
    </w:p>
    <w:p w14:paraId="6CB80874" w14:textId="77777777" w:rsidR="004D47B8" w:rsidRPr="009B621A" w:rsidRDefault="004D47B8" w:rsidP="009B621A">
      <w:pPr>
        <w:spacing w:before="120" w:line="480" w:lineRule="auto"/>
        <w:jc w:val="center"/>
        <w:rPr>
          <w:rFonts w:ascii="Helvetica" w:hAnsi="Helvetica"/>
          <w:bCs/>
          <w:sz w:val="20"/>
          <w:szCs w:val="20"/>
        </w:rPr>
      </w:pPr>
      <w:r w:rsidRPr="009B621A">
        <w:rPr>
          <w:rFonts w:ascii="Helvetica" w:hAnsi="Helvetica"/>
          <w:bCs/>
          <w:sz w:val="20"/>
          <w:szCs w:val="20"/>
        </w:rPr>
        <w:t>*</w:t>
      </w:r>
      <w:r w:rsidRPr="009B621A">
        <w:rPr>
          <w:rFonts w:ascii="Helvetica" w:hAnsi="Helvetica"/>
          <w:b/>
          <w:sz w:val="20"/>
          <w:szCs w:val="20"/>
        </w:rPr>
        <w:t>Corresponding author</w:t>
      </w:r>
      <w:r w:rsidRPr="009B621A">
        <w:rPr>
          <w:rFonts w:ascii="Helvetica" w:hAnsi="Helvetica"/>
          <w:bCs/>
          <w:sz w:val="20"/>
          <w:szCs w:val="20"/>
        </w:rPr>
        <w:t xml:space="preserve"> (Telephone: 530-752-0902; Fax: 530-752-0382; email: awalker@ucdavis.edu)</w:t>
      </w:r>
    </w:p>
    <w:p w14:paraId="1D1A95C6" w14:textId="3D0FE149" w:rsidR="004D47B8" w:rsidRPr="009B621A" w:rsidRDefault="004D47B8" w:rsidP="009B621A">
      <w:pPr>
        <w:spacing w:before="120" w:line="480" w:lineRule="auto"/>
        <w:jc w:val="center"/>
        <w:rPr>
          <w:rFonts w:ascii="Helvetica" w:hAnsi="Helvetica"/>
        </w:rPr>
      </w:pPr>
    </w:p>
    <w:p w14:paraId="254275FA" w14:textId="6F2C7D19" w:rsidR="004D64A7" w:rsidRDefault="004D64A7" w:rsidP="00EC061F">
      <w:pPr>
        <w:spacing w:before="120" w:line="480" w:lineRule="auto"/>
        <w:rPr>
          <w:rFonts w:ascii="Helvetica" w:hAnsi="Helvetica"/>
        </w:rPr>
      </w:pPr>
    </w:p>
    <w:p w14:paraId="18C80FC9" w14:textId="77777777" w:rsidR="004D64A7" w:rsidRPr="000B1910" w:rsidRDefault="004D64A7" w:rsidP="00EC061F">
      <w:pPr>
        <w:spacing w:before="120" w:line="480" w:lineRule="auto"/>
        <w:rPr>
          <w:rFonts w:ascii="Helvetica" w:hAnsi="Helvetica"/>
        </w:rPr>
      </w:pPr>
    </w:p>
    <w:p w14:paraId="7E6E2BEC" w14:textId="77777777" w:rsidR="00EC061F" w:rsidRDefault="00EC061F" w:rsidP="00EC061F">
      <w:pPr>
        <w:spacing w:before="120" w:line="480" w:lineRule="auto"/>
        <w:rPr>
          <w:sz w:val="22"/>
          <w:szCs w:val="22"/>
        </w:rPr>
      </w:pPr>
      <w:r w:rsidRPr="000B1910">
        <w:rPr>
          <w:rFonts w:ascii="Helvetica" w:hAnsi="Helvetica"/>
          <w:noProof/>
        </w:rPr>
        <w:lastRenderedPageBreak/>
        <w:drawing>
          <wp:inline distT="0" distB="0" distL="0" distR="0" wp14:anchorId="4DF5F8BE" wp14:editId="70548216">
            <wp:extent cx="5495453" cy="3754639"/>
            <wp:effectExtent l="0" t="0" r="3810" b="508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500307" cy="3757955"/>
                    </a:xfrm>
                    <a:prstGeom prst="rect">
                      <a:avLst/>
                    </a:prstGeom>
                  </pic:spPr>
                </pic:pic>
              </a:graphicData>
            </a:graphic>
          </wp:inline>
        </w:drawing>
      </w:r>
    </w:p>
    <w:p w14:paraId="639806AD" w14:textId="65C6F471" w:rsidR="00EC061F" w:rsidRDefault="006121BA" w:rsidP="00EC061F">
      <w:pPr>
        <w:spacing w:before="120" w:line="480" w:lineRule="auto"/>
        <w:rPr>
          <w:sz w:val="22"/>
          <w:szCs w:val="22"/>
        </w:rPr>
      </w:pPr>
      <w:r w:rsidRPr="00C04C10">
        <w:rPr>
          <w:b/>
          <w:bCs/>
          <w:sz w:val="22"/>
          <w:szCs w:val="22"/>
        </w:rPr>
        <w:t>Supplementary Fig.</w:t>
      </w:r>
      <w:r w:rsidR="00EC061F" w:rsidRPr="00C04C10">
        <w:rPr>
          <w:b/>
          <w:bCs/>
          <w:sz w:val="22"/>
          <w:szCs w:val="22"/>
        </w:rPr>
        <w:t xml:space="preserve"> </w:t>
      </w:r>
      <w:r w:rsidR="004D64A7" w:rsidRPr="00C04C10">
        <w:rPr>
          <w:b/>
          <w:bCs/>
          <w:sz w:val="22"/>
          <w:szCs w:val="22"/>
        </w:rPr>
        <w:t>1</w:t>
      </w:r>
      <w:r w:rsidR="00EC061F" w:rsidRPr="000138B3">
        <w:rPr>
          <w:sz w:val="22"/>
          <w:szCs w:val="22"/>
        </w:rPr>
        <w:t xml:space="preserve"> Genotype accumulation curve using 15 SSR markers. </w:t>
      </w:r>
      <w:r w:rsidR="00EC061F">
        <w:rPr>
          <w:sz w:val="22"/>
          <w:szCs w:val="22"/>
        </w:rPr>
        <w:t xml:space="preserve">The x-axis reflects number of loci and y-axis reflects </w:t>
      </w:r>
      <w:proofErr w:type="spellStart"/>
      <w:r w:rsidR="00EC061F">
        <w:rPr>
          <w:sz w:val="22"/>
          <w:szCs w:val="22"/>
        </w:rPr>
        <w:t>m</w:t>
      </w:r>
      <w:r w:rsidR="00EC061F" w:rsidRPr="000138B3">
        <w:rPr>
          <w:sz w:val="22"/>
          <w:szCs w:val="22"/>
        </w:rPr>
        <w:t>ultilocus</w:t>
      </w:r>
      <w:proofErr w:type="spellEnd"/>
      <w:r w:rsidR="00EC061F" w:rsidRPr="000138B3">
        <w:rPr>
          <w:sz w:val="22"/>
          <w:szCs w:val="22"/>
        </w:rPr>
        <w:t xml:space="preserve"> genotypes</w:t>
      </w:r>
      <w:r w:rsidR="00EC061F">
        <w:rPr>
          <w:sz w:val="22"/>
          <w:szCs w:val="22"/>
        </w:rPr>
        <w:t xml:space="preserve"> (MLGs) that can be distinguished</w:t>
      </w:r>
    </w:p>
    <w:p w14:paraId="5A45041F" w14:textId="59331A95" w:rsidR="00EC061F" w:rsidRDefault="00EC061F" w:rsidP="00EC061F">
      <w:pPr>
        <w:spacing w:before="120" w:line="480" w:lineRule="auto"/>
        <w:rPr>
          <w:sz w:val="22"/>
          <w:szCs w:val="22"/>
        </w:rPr>
      </w:pPr>
    </w:p>
    <w:p w14:paraId="24BBFAF8" w14:textId="77777777" w:rsidR="00EC061F" w:rsidRPr="000138B3" w:rsidRDefault="00EC061F" w:rsidP="00EC061F">
      <w:pPr>
        <w:spacing w:before="120" w:line="480" w:lineRule="auto"/>
        <w:rPr>
          <w:sz w:val="22"/>
          <w:szCs w:val="22"/>
        </w:rPr>
      </w:pPr>
    </w:p>
    <w:p w14:paraId="5A97D089" w14:textId="77777777" w:rsidR="00EC061F" w:rsidRDefault="00EC061F" w:rsidP="00EC061F">
      <w:pPr>
        <w:spacing w:before="120" w:line="480" w:lineRule="auto"/>
        <w:jc w:val="center"/>
        <w:rPr>
          <w:rFonts w:ascii="Helvetica" w:hAnsi="Helvetica"/>
        </w:rPr>
      </w:pPr>
      <w:r w:rsidRPr="000B1910">
        <w:rPr>
          <w:rFonts w:ascii="Helvetica" w:hAnsi="Helvetica"/>
          <w:noProof/>
        </w:rPr>
        <w:lastRenderedPageBreak/>
        <w:drawing>
          <wp:inline distT="0" distB="0" distL="0" distR="0" wp14:anchorId="750F89DD" wp14:editId="7028D77F">
            <wp:extent cx="5943600" cy="4457700"/>
            <wp:effectExtent l="0" t="0" r="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eltaK_struc_harv.pdf"/>
                    <pic:cNvPicPr/>
                  </pic:nvPicPr>
                  <pic:blipFill>
                    <a:blip r:embed="rId7">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0D280CD0" w14:textId="000250E0" w:rsidR="00EC061F" w:rsidRPr="00A346D8" w:rsidRDefault="00F774F8" w:rsidP="00EC061F">
      <w:pPr>
        <w:spacing w:before="120" w:line="480" w:lineRule="auto"/>
        <w:rPr>
          <w:sz w:val="22"/>
          <w:szCs w:val="22"/>
        </w:rPr>
      </w:pPr>
      <w:r w:rsidRPr="00C04C10">
        <w:rPr>
          <w:b/>
          <w:bCs/>
          <w:sz w:val="22"/>
          <w:szCs w:val="22"/>
        </w:rPr>
        <w:t>Supplementary Fig. 2</w:t>
      </w:r>
      <w:r w:rsidR="00C04C10">
        <w:rPr>
          <w:sz w:val="22"/>
          <w:szCs w:val="22"/>
        </w:rPr>
        <w:t xml:space="preserve"> </w:t>
      </w:r>
      <w:r w:rsidR="00EC061F" w:rsidRPr="00A346D8">
        <w:rPr>
          <w:sz w:val="22"/>
          <w:szCs w:val="22"/>
        </w:rPr>
        <w:t xml:space="preserve"> STRUCTURE HARVESTER graph results using the Delta K method. Peaks at </w:t>
      </w:r>
      <w:r w:rsidR="00EC061F">
        <w:rPr>
          <w:sz w:val="22"/>
          <w:szCs w:val="22"/>
        </w:rPr>
        <w:t>K</w:t>
      </w:r>
      <w:r w:rsidR="00EC061F" w:rsidRPr="00A346D8">
        <w:rPr>
          <w:sz w:val="22"/>
          <w:szCs w:val="22"/>
        </w:rPr>
        <w:t xml:space="preserve">=2 and </w:t>
      </w:r>
      <w:r w:rsidR="00EC061F">
        <w:rPr>
          <w:sz w:val="22"/>
          <w:szCs w:val="22"/>
        </w:rPr>
        <w:t>K</w:t>
      </w:r>
      <w:r w:rsidR="00EC061F" w:rsidRPr="00A346D8">
        <w:rPr>
          <w:sz w:val="22"/>
          <w:szCs w:val="22"/>
        </w:rPr>
        <w:t xml:space="preserve">=6 </w:t>
      </w:r>
      <w:r w:rsidR="00EC061F">
        <w:rPr>
          <w:sz w:val="22"/>
          <w:szCs w:val="22"/>
        </w:rPr>
        <w:t xml:space="preserve">indicates most </w:t>
      </w:r>
      <w:r w:rsidR="00EC061F" w:rsidRPr="00A346D8">
        <w:rPr>
          <w:sz w:val="22"/>
          <w:szCs w:val="22"/>
        </w:rPr>
        <w:t xml:space="preserve">clusters using 15 SSR markers. These results </w:t>
      </w:r>
      <w:r w:rsidR="00EC061F">
        <w:rPr>
          <w:sz w:val="22"/>
          <w:szCs w:val="22"/>
        </w:rPr>
        <w:t>are comparable</w:t>
      </w:r>
      <w:r w:rsidR="00EC061F" w:rsidRPr="00A346D8">
        <w:rPr>
          <w:sz w:val="22"/>
          <w:szCs w:val="22"/>
        </w:rPr>
        <w:t xml:space="preserve"> with the </w:t>
      </w:r>
      <w:proofErr w:type="spellStart"/>
      <w:r w:rsidR="00EC061F" w:rsidRPr="00A346D8">
        <w:rPr>
          <w:sz w:val="22"/>
          <w:szCs w:val="22"/>
        </w:rPr>
        <w:t>Evanno</w:t>
      </w:r>
      <w:r w:rsidR="00EC061F">
        <w:rPr>
          <w:sz w:val="22"/>
          <w:szCs w:val="22"/>
        </w:rPr>
        <w:t>’s</w:t>
      </w:r>
      <w:proofErr w:type="spellEnd"/>
      <w:r w:rsidR="00EC061F" w:rsidRPr="00A346D8">
        <w:rPr>
          <w:sz w:val="22"/>
          <w:szCs w:val="22"/>
        </w:rPr>
        <w:t xml:space="preserve"> method </w:t>
      </w:r>
      <w:r w:rsidR="00EC061F">
        <w:rPr>
          <w:sz w:val="22"/>
          <w:szCs w:val="22"/>
        </w:rPr>
        <w:t>shown</w:t>
      </w:r>
      <w:r w:rsidR="00EC061F" w:rsidRPr="00A346D8">
        <w:rPr>
          <w:sz w:val="22"/>
          <w:szCs w:val="22"/>
        </w:rPr>
        <w:t xml:space="preserve"> in </w:t>
      </w:r>
      <w:r w:rsidR="00EC061F">
        <w:rPr>
          <w:sz w:val="22"/>
          <w:szCs w:val="22"/>
        </w:rPr>
        <w:t xml:space="preserve">Appendix </w:t>
      </w:r>
      <w:r w:rsidR="00EC061F" w:rsidRPr="00A346D8">
        <w:rPr>
          <w:sz w:val="22"/>
          <w:szCs w:val="22"/>
        </w:rPr>
        <w:t>S</w:t>
      </w:r>
      <w:r w:rsidR="00EC061F">
        <w:rPr>
          <w:sz w:val="22"/>
          <w:szCs w:val="22"/>
        </w:rPr>
        <w:t>5</w:t>
      </w:r>
      <w:r w:rsidR="00EC061F" w:rsidRPr="00A346D8">
        <w:rPr>
          <w:sz w:val="22"/>
          <w:szCs w:val="22"/>
        </w:rPr>
        <w:t xml:space="preserve">, showing K=2 and </w:t>
      </w:r>
      <w:r w:rsidR="00EC061F">
        <w:rPr>
          <w:sz w:val="22"/>
          <w:szCs w:val="22"/>
        </w:rPr>
        <w:t>K</w:t>
      </w:r>
      <w:r w:rsidR="00EC061F" w:rsidRPr="00A346D8">
        <w:rPr>
          <w:sz w:val="22"/>
          <w:szCs w:val="22"/>
        </w:rPr>
        <w:t>=6 as the most probable numbers of ge</w:t>
      </w:r>
      <w:r w:rsidR="00EC061F">
        <w:rPr>
          <w:sz w:val="22"/>
          <w:szCs w:val="22"/>
        </w:rPr>
        <w:t>netic group</w:t>
      </w:r>
      <w:r w:rsidR="00EC061F" w:rsidRPr="00A346D8">
        <w:rPr>
          <w:sz w:val="22"/>
          <w:szCs w:val="22"/>
        </w:rPr>
        <w:t>s</w:t>
      </w:r>
    </w:p>
    <w:p w14:paraId="54803066" w14:textId="77777777" w:rsidR="00EC061F" w:rsidRDefault="00EC061F" w:rsidP="00EC061F">
      <w:pPr>
        <w:spacing w:before="120" w:line="480" w:lineRule="auto"/>
        <w:rPr>
          <w:rFonts w:ascii="Helvetica" w:hAnsi="Helvetica"/>
        </w:rPr>
      </w:pPr>
    </w:p>
    <w:p w14:paraId="54CD92AB" w14:textId="77777777" w:rsidR="00EC061F" w:rsidRDefault="00EC061F" w:rsidP="00EC061F">
      <w:pPr>
        <w:spacing w:before="120" w:line="480" w:lineRule="auto"/>
        <w:rPr>
          <w:rFonts w:ascii="Helvetica" w:hAnsi="Helvetica"/>
        </w:rPr>
      </w:pPr>
      <w:r>
        <w:rPr>
          <w:rFonts w:ascii="Helvetica" w:hAnsi="Helvetica"/>
        </w:rPr>
        <w:br w:type="page"/>
      </w:r>
    </w:p>
    <w:p w14:paraId="6D808D40" w14:textId="77777777" w:rsidR="00EC061F" w:rsidRDefault="00EC061F" w:rsidP="00EC061F">
      <w:pPr>
        <w:spacing w:before="120" w:line="480" w:lineRule="auto"/>
        <w:jc w:val="center"/>
        <w:rPr>
          <w:rFonts w:ascii="Helvetica" w:hAnsi="Helvetica"/>
        </w:rPr>
      </w:pPr>
      <w:r>
        <w:rPr>
          <w:rFonts w:ascii="Helvetica" w:hAnsi="Helvetica"/>
          <w:noProof/>
        </w:rPr>
        <w:lastRenderedPageBreak/>
        <w:drawing>
          <wp:inline distT="0" distB="0" distL="0" distR="0" wp14:anchorId="69E018D9" wp14:editId="55262475">
            <wp:extent cx="4268240" cy="4595197"/>
            <wp:effectExtent l="0" t="0" r="0" b="2540"/>
            <wp:docPr id="3" name="Picture 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applicatio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295617" cy="4624671"/>
                    </a:xfrm>
                    <a:prstGeom prst="rect">
                      <a:avLst/>
                    </a:prstGeom>
                  </pic:spPr>
                </pic:pic>
              </a:graphicData>
            </a:graphic>
          </wp:inline>
        </w:drawing>
      </w:r>
    </w:p>
    <w:p w14:paraId="77B7B600" w14:textId="02C5A889" w:rsidR="00EC061F" w:rsidRPr="007101BE" w:rsidRDefault="00F774F8" w:rsidP="00EC061F">
      <w:pPr>
        <w:spacing w:before="120" w:line="480" w:lineRule="auto"/>
        <w:rPr>
          <w:sz w:val="22"/>
          <w:szCs w:val="22"/>
        </w:rPr>
      </w:pPr>
      <w:r w:rsidRPr="00C04C10">
        <w:rPr>
          <w:b/>
          <w:bCs/>
          <w:sz w:val="22"/>
          <w:szCs w:val="22"/>
        </w:rPr>
        <w:t>Supplementary Fig. 3</w:t>
      </w:r>
      <w:r w:rsidR="00EC061F" w:rsidRPr="007101BE">
        <w:rPr>
          <w:sz w:val="22"/>
          <w:szCs w:val="22"/>
        </w:rPr>
        <w:t xml:space="preserve"> First cross-validation for discriminant analysis of principal component (DAPC) using 247 accessions in the study. The analysis showed 40 Principal Component (PCs) to have the highest proportion of successful outcome prediction (0.991667) and the lowest Mean Squared Error (0.026352). Dots represent the replicates in the analysis</w:t>
      </w:r>
    </w:p>
    <w:p w14:paraId="5DCE119D" w14:textId="77777777" w:rsidR="00EC061F" w:rsidRDefault="00EC061F" w:rsidP="00EC061F">
      <w:pPr>
        <w:spacing w:before="120" w:line="480" w:lineRule="auto"/>
        <w:jc w:val="center"/>
        <w:rPr>
          <w:rFonts w:ascii="Helvetica" w:hAnsi="Helvetica"/>
        </w:rPr>
      </w:pPr>
    </w:p>
    <w:p w14:paraId="4586985D" w14:textId="77777777" w:rsidR="00EC061F" w:rsidRDefault="00EC061F" w:rsidP="00EC061F">
      <w:pPr>
        <w:spacing w:before="120" w:line="480" w:lineRule="auto"/>
        <w:rPr>
          <w:rFonts w:ascii="Helvetica" w:hAnsi="Helvetica"/>
        </w:rPr>
      </w:pPr>
      <w:r>
        <w:rPr>
          <w:rFonts w:ascii="Helvetica" w:hAnsi="Helvetica"/>
        </w:rPr>
        <w:br w:type="page"/>
      </w:r>
    </w:p>
    <w:p w14:paraId="579009F1" w14:textId="77777777" w:rsidR="00EC061F" w:rsidRDefault="00EC061F" w:rsidP="00EC061F">
      <w:pPr>
        <w:spacing w:before="120" w:line="480" w:lineRule="auto"/>
        <w:jc w:val="center"/>
        <w:rPr>
          <w:rFonts w:ascii="Helvetica" w:hAnsi="Helvetica"/>
        </w:rPr>
      </w:pPr>
      <w:r>
        <w:rPr>
          <w:rFonts w:ascii="Helvetica" w:hAnsi="Helvetica"/>
          <w:noProof/>
        </w:rPr>
        <w:lastRenderedPageBreak/>
        <w:drawing>
          <wp:inline distT="0" distB="0" distL="0" distR="0" wp14:anchorId="33517E5D" wp14:editId="586971CD">
            <wp:extent cx="4803864" cy="5031740"/>
            <wp:effectExtent l="0" t="0" r="0" b="0"/>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813588" cy="5041925"/>
                    </a:xfrm>
                    <a:prstGeom prst="rect">
                      <a:avLst/>
                    </a:prstGeom>
                  </pic:spPr>
                </pic:pic>
              </a:graphicData>
            </a:graphic>
          </wp:inline>
        </w:drawing>
      </w:r>
    </w:p>
    <w:p w14:paraId="4BDA3A71" w14:textId="5DE7F88B" w:rsidR="00EC061F" w:rsidRPr="007101BE" w:rsidRDefault="00F774F8" w:rsidP="00EC061F">
      <w:pPr>
        <w:spacing w:before="120" w:line="480" w:lineRule="auto"/>
        <w:rPr>
          <w:sz w:val="22"/>
          <w:szCs w:val="22"/>
        </w:rPr>
      </w:pPr>
      <w:r w:rsidRPr="00C04C10">
        <w:rPr>
          <w:b/>
          <w:bCs/>
          <w:sz w:val="22"/>
          <w:szCs w:val="22"/>
        </w:rPr>
        <w:t>Supplementary Fig. 4</w:t>
      </w:r>
      <w:r w:rsidR="00EC061F" w:rsidRPr="007101BE">
        <w:rPr>
          <w:sz w:val="22"/>
          <w:szCs w:val="22"/>
        </w:rPr>
        <w:t xml:space="preserve"> Second cross-validation DAPC analysis reran with narrowed PCA number going from 35 to 45 PCs retained. The graph shows a straight line where the highest outcome prediction and the Lowest Mean Squared Error was 36 PCs retained</w:t>
      </w:r>
    </w:p>
    <w:p w14:paraId="0E00DD5E" w14:textId="77777777" w:rsidR="00EC061F" w:rsidRPr="000B1910" w:rsidRDefault="00EC061F" w:rsidP="00EC061F">
      <w:pPr>
        <w:spacing w:before="120" w:line="480" w:lineRule="auto"/>
        <w:jc w:val="center"/>
        <w:rPr>
          <w:rFonts w:ascii="Helvetica" w:hAnsi="Helvetica"/>
        </w:rPr>
      </w:pPr>
    </w:p>
    <w:p w14:paraId="52390A3B" w14:textId="77777777" w:rsidR="00EC061F" w:rsidRPr="001324F7" w:rsidRDefault="00EC061F" w:rsidP="00EC061F">
      <w:pPr>
        <w:spacing w:before="120" w:line="480" w:lineRule="auto"/>
        <w:rPr>
          <w:sz w:val="22"/>
          <w:szCs w:val="22"/>
        </w:rPr>
      </w:pPr>
    </w:p>
    <w:p w14:paraId="714A6447" w14:textId="77777777" w:rsidR="00EC061F" w:rsidRDefault="00EC061F" w:rsidP="00EC061F"/>
    <w:p w14:paraId="7341008B" w14:textId="77777777" w:rsidR="008C0491" w:rsidRDefault="008C0491"/>
    <w:sectPr w:rsidR="008C0491" w:rsidSect="00C04C10">
      <w:footerReference w:type="even"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BC1F261" w14:textId="77777777" w:rsidR="00BB1413" w:rsidRDefault="00BB1413">
      <w:r>
        <w:separator/>
      </w:r>
    </w:p>
  </w:endnote>
  <w:endnote w:type="continuationSeparator" w:id="0">
    <w:p w14:paraId="2E694125" w14:textId="77777777" w:rsidR="00BB1413" w:rsidRDefault="00BB14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200050000000000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85975392"/>
      <w:docPartObj>
        <w:docPartGallery w:val="Page Numbers (Bottom of Page)"/>
        <w:docPartUnique/>
      </w:docPartObj>
    </w:sdtPr>
    <w:sdtEndPr>
      <w:rPr>
        <w:rStyle w:val="PageNumber"/>
      </w:rPr>
    </w:sdtEndPr>
    <w:sdtContent>
      <w:p w14:paraId="603FB244" w14:textId="77777777" w:rsidR="00E442E5" w:rsidRDefault="00FE3157" w:rsidP="00F5466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A6D105" w14:textId="77777777" w:rsidR="00E442E5" w:rsidRDefault="00BB1413" w:rsidP="00F5466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62194710"/>
      <w:docPartObj>
        <w:docPartGallery w:val="Page Numbers (Bottom of Page)"/>
        <w:docPartUnique/>
      </w:docPartObj>
    </w:sdtPr>
    <w:sdtEndPr>
      <w:rPr>
        <w:rStyle w:val="PageNumber"/>
      </w:rPr>
    </w:sdtEndPr>
    <w:sdtContent>
      <w:p w14:paraId="3D3D1B77" w14:textId="77777777" w:rsidR="00E442E5" w:rsidRDefault="00FE3157" w:rsidP="00F5466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15</w:t>
        </w:r>
        <w:r>
          <w:rPr>
            <w:rStyle w:val="PageNumber"/>
          </w:rPr>
          <w:fldChar w:fldCharType="end"/>
        </w:r>
      </w:p>
    </w:sdtContent>
  </w:sdt>
  <w:p w14:paraId="6C53675D" w14:textId="77777777" w:rsidR="00E442E5" w:rsidRDefault="00BB1413" w:rsidP="00F5466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D085ED" w14:textId="77777777" w:rsidR="00BB1413" w:rsidRDefault="00BB1413">
      <w:r>
        <w:separator/>
      </w:r>
    </w:p>
  </w:footnote>
  <w:footnote w:type="continuationSeparator" w:id="0">
    <w:p w14:paraId="5B9A1FF7" w14:textId="77777777" w:rsidR="00BB1413" w:rsidRDefault="00BB14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61F"/>
    <w:rsid w:val="00124AE8"/>
    <w:rsid w:val="0019241A"/>
    <w:rsid w:val="0025479E"/>
    <w:rsid w:val="0030395D"/>
    <w:rsid w:val="004D47B8"/>
    <w:rsid w:val="004D64A7"/>
    <w:rsid w:val="006121BA"/>
    <w:rsid w:val="00813334"/>
    <w:rsid w:val="008C0491"/>
    <w:rsid w:val="008F203A"/>
    <w:rsid w:val="009B621A"/>
    <w:rsid w:val="009D7611"/>
    <w:rsid w:val="00A34E27"/>
    <w:rsid w:val="00B82A53"/>
    <w:rsid w:val="00BB1413"/>
    <w:rsid w:val="00C04C10"/>
    <w:rsid w:val="00CC44D9"/>
    <w:rsid w:val="00D15F17"/>
    <w:rsid w:val="00D32F90"/>
    <w:rsid w:val="00DC0DE7"/>
    <w:rsid w:val="00E05D88"/>
    <w:rsid w:val="00EC061F"/>
    <w:rsid w:val="00F774F8"/>
    <w:rsid w:val="00FE31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E4F788"/>
  <w15:chartTrackingRefBased/>
  <w15:docId w15:val="{8C9ECD7D-F8D7-524A-A001-CCBDC6BA6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061F"/>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C061F"/>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EC061F"/>
  </w:style>
  <w:style w:type="character" w:styleId="PageNumber">
    <w:name w:val="page number"/>
    <w:basedOn w:val="DefaultParagraphFont"/>
    <w:uiPriority w:val="99"/>
    <w:semiHidden/>
    <w:unhideWhenUsed/>
    <w:rsid w:val="00EC061F"/>
  </w:style>
  <w:style w:type="character" w:styleId="LineNumber">
    <w:name w:val="line number"/>
    <w:basedOn w:val="DefaultParagraphFont"/>
    <w:uiPriority w:val="99"/>
    <w:semiHidden/>
    <w:unhideWhenUsed/>
    <w:rsid w:val="00EC061F"/>
  </w:style>
  <w:style w:type="paragraph" w:customStyle="1" w:styleId="p1">
    <w:name w:val="p1"/>
    <w:basedOn w:val="Normal"/>
    <w:rsid w:val="004D47B8"/>
    <w:rPr>
      <w:rFonts w:ascii="Times" w:eastAsiaTheme="minorHAnsi" w:hAnsi="Times"/>
      <w:color w:val="000000"/>
      <w:sz w:val="15"/>
      <w:szCs w:val="15"/>
    </w:rPr>
  </w:style>
  <w:style w:type="paragraph" w:styleId="BalloonText">
    <w:name w:val="Balloon Text"/>
    <w:basedOn w:val="Normal"/>
    <w:link w:val="BalloonTextChar"/>
    <w:uiPriority w:val="99"/>
    <w:semiHidden/>
    <w:unhideWhenUsed/>
    <w:rsid w:val="009B621A"/>
    <w:rPr>
      <w:sz w:val="18"/>
      <w:szCs w:val="18"/>
    </w:rPr>
  </w:style>
  <w:style w:type="character" w:customStyle="1" w:styleId="BalloonTextChar">
    <w:name w:val="Balloon Text Char"/>
    <w:basedOn w:val="DefaultParagraphFont"/>
    <w:link w:val="BalloonText"/>
    <w:uiPriority w:val="99"/>
    <w:semiHidden/>
    <w:rsid w:val="009B621A"/>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267</Words>
  <Characters>1508</Characters>
  <Application>Microsoft Office Word</Application>
  <DocSecurity>0</DocSecurity>
  <Lines>48</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Huerta, Karla@CDFA</dc:creator>
  <cp:keywords/>
  <dc:description/>
  <cp:lastModifiedBy>Huerta, Karla@CDFA</cp:lastModifiedBy>
  <cp:revision>2</cp:revision>
  <dcterms:created xsi:type="dcterms:W3CDTF">2021-02-24T04:00:00Z</dcterms:created>
  <dcterms:modified xsi:type="dcterms:W3CDTF">2021-02-24T04:00:00Z</dcterms:modified>
</cp:coreProperties>
</file>