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C74" w:rsidRPr="00076575" w:rsidRDefault="00DE1C74" w:rsidP="008B1AC3">
      <w:pPr>
        <w:tabs>
          <w:tab w:val="left" w:pos="6120"/>
        </w:tabs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16"/>
          <w:szCs w:val="16"/>
        </w:rPr>
      </w:pPr>
      <w:r w:rsidRPr="00076575">
        <w:rPr>
          <w:rStyle w:val="fontstyle01"/>
          <w:b/>
          <w:bCs/>
          <w:sz w:val="28"/>
          <w:szCs w:val="22"/>
        </w:rPr>
        <w:t>Supplementary information</w:t>
      </w:r>
    </w:p>
    <w:p w:rsidR="008B1AC3" w:rsidRPr="00076575" w:rsidRDefault="00E37879" w:rsidP="002368AD">
      <w:pPr>
        <w:tabs>
          <w:tab w:val="left" w:pos="6120"/>
        </w:tabs>
        <w:spacing w:line="48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  <w:highlight w:val="yellow"/>
        </w:rPr>
      </w:pPr>
      <w:r w:rsidRPr="00076575">
        <w:rPr>
          <w:rFonts w:asciiTheme="majorBidi" w:hAnsiTheme="majorBidi" w:cstheme="majorBidi"/>
          <w:b/>
          <w:bCs/>
          <w:color w:val="000000"/>
          <w:sz w:val="24"/>
          <w:szCs w:val="24"/>
        </w:rPr>
        <w:t>Increasing the thermal stability of α-diimine nickel (II) catalyst by camphorquinone as a great backbone and investigating the steric effects of this backbone in ethylene polymerization</w:t>
      </w:r>
    </w:p>
    <w:p w:rsidR="008B1AC3" w:rsidRPr="007333C1" w:rsidRDefault="008B1AC3" w:rsidP="002368AD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Theme="majorBidi" w:eastAsia="Calibri" w:hAnsiTheme="majorBidi" w:cstheme="majorBidi"/>
          <w:sz w:val="20"/>
          <w:szCs w:val="20"/>
        </w:rPr>
      </w:pPr>
      <w:r w:rsidRPr="007333C1">
        <w:rPr>
          <w:rFonts w:asciiTheme="majorBidi" w:eastAsia="Calibri" w:hAnsiTheme="majorBidi" w:cstheme="majorBidi"/>
          <w:sz w:val="20"/>
          <w:szCs w:val="20"/>
        </w:rPr>
        <w:t>Zahra Issaabadi</w:t>
      </w:r>
      <w:r w:rsidRPr="007333C1">
        <w:rPr>
          <w:rFonts w:asciiTheme="majorBidi" w:eastAsia="Calibri" w:hAnsiTheme="majorBidi" w:cstheme="majorBidi"/>
          <w:sz w:val="20"/>
          <w:szCs w:val="20"/>
          <w:vertAlign w:val="superscript"/>
        </w:rPr>
        <w:t>a</w:t>
      </w:r>
      <w:r w:rsidRPr="007333C1">
        <w:rPr>
          <w:rFonts w:asciiTheme="majorBidi" w:eastAsia="Calibri" w:hAnsiTheme="majorBidi" w:cstheme="majorBidi"/>
          <w:sz w:val="20"/>
          <w:szCs w:val="20"/>
        </w:rPr>
        <w:t>, Hassan Arabi</w:t>
      </w:r>
      <w:r w:rsidRPr="007333C1">
        <w:rPr>
          <w:rFonts w:asciiTheme="majorBidi" w:eastAsia="Calibri" w:hAnsiTheme="majorBidi" w:cstheme="majorBidi"/>
          <w:sz w:val="20"/>
          <w:szCs w:val="20"/>
          <w:vertAlign w:val="superscript"/>
        </w:rPr>
        <w:t>a,*</w:t>
      </w:r>
      <w:r w:rsidRPr="007333C1">
        <w:rPr>
          <w:rFonts w:asciiTheme="majorBidi" w:eastAsia="Calibri" w:hAnsiTheme="majorBidi" w:cstheme="majorBidi"/>
          <w:sz w:val="20"/>
          <w:szCs w:val="20"/>
        </w:rPr>
        <w:t xml:space="preserve">, Majid </w:t>
      </w:r>
      <w:proofErr w:type="spellStart"/>
      <w:r w:rsidRPr="007333C1">
        <w:rPr>
          <w:rFonts w:asciiTheme="majorBidi" w:eastAsia="Calibri" w:hAnsiTheme="majorBidi" w:cstheme="majorBidi"/>
          <w:sz w:val="20"/>
          <w:szCs w:val="20"/>
        </w:rPr>
        <w:t>Karimi</w:t>
      </w:r>
      <w:r w:rsidRPr="007333C1">
        <w:rPr>
          <w:rFonts w:asciiTheme="majorBidi" w:eastAsia="Calibri" w:hAnsiTheme="majorBidi" w:cstheme="majorBidi"/>
          <w:sz w:val="20"/>
          <w:szCs w:val="20"/>
          <w:vertAlign w:val="superscript"/>
        </w:rPr>
        <w:t>a</w:t>
      </w:r>
      <w:proofErr w:type="spellEnd"/>
    </w:p>
    <w:p w:rsidR="008B1AC3" w:rsidRPr="007333C1" w:rsidRDefault="008B1AC3" w:rsidP="002368AD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Theme="majorBidi" w:eastAsia="Calibri" w:hAnsiTheme="majorBidi" w:cstheme="majorBidi"/>
          <w:i/>
          <w:iCs/>
          <w:sz w:val="20"/>
          <w:szCs w:val="20"/>
        </w:rPr>
      </w:pPr>
      <w:proofErr w:type="gramStart"/>
      <w:r w:rsidRPr="007333C1">
        <w:rPr>
          <w:rFonts w:asciiTheme="majorBidi" w:eastAsia="Calibri" w:hAnsiTheme="majorBidi" w:cstheme="majorBidi"/>
          <w:i/>
          <w:iCs/>
          <w:sz w:val="20"/>
          <w:szCs w:val="20"/>
          <w:vertAlign w:val="superscript"/>
        </w:rPr>
        <w:t>a</w:t>
      </w:r>
      <w:r w:rsidRPr="007333C1">
        <w:rPr>
          <w:rFonts w:asciiTheme="majorBidi" w:eastAsia="Calibri" w:hAnsiTheme="majorBidi" w:cstheme="majorBidi"/>
          <w:i/>
          <w:iCs/>
          <w:sz w:val="20"/>
          <w:szCs w:val="20"/>
        </w:rPr>
        <w:t>Department</w:t>
      </w:r>
      <w:proofErr w:type="gramEnd"/>
      <w:r w:rsidRPr="007333C1">
        <w:rPr>
          <w:rFonts w:asciiTheme="majorBidi" w:eastAsia="Calibri" w:hAnsiTheme="majorBidi" w:cstheme="majorBidi"/>
          <w:i/>
          <w:iCs/>
          <w:sz w:val="20"/>
          <w:szCs w:val="20"/>
        </w:rPr>
        <w:t xml:space="preserve"> of Polymerization Engineering, Iran Polymer and Petrochemical Institute (IPPI), Tehran, Iran.</w:t>
      </w:r>
    </w:p>
    <w:p w:rsidR="003A2008" w:rsidRPr="007333C1" w:rsidRDefault="00DE1C74" w:rsidP="002368AD">
      <w:pPr>
        <w:jc w:val="center"/>
        <w:rPr>
          <w:rFonts w:asciiTheme="majorBidi" w:hAnsiTheme="majorBidi" w:cstheme="majorBidi"/>
        </w:rPr>
      </w:pPr>
      <w:r w:rsidRPr="007333C1">
        <w:rPr>
          <w:rFonts w:asciiTheme="majorBidi" w:hAnsiTheme="majorBidi" w:cstheme="majorBidi"/>
          <w:color w:val="000000"/>
          <w:sz w:val="20"/>
          <w:szCs w:val="20"/>
        </w:rPr>
        <w:t>Email:</w:t>
      </w:r>
      <w:r w:rsidRPr="007333C1">
        <w:rPr>
          <w:rFonts w:asciiTheme="majorBidi" w:hAnsiTheme="majorBidi" w:cstheme="majorBidi"/>
          <w:sz w:val="18"/>
          <w:szCs w:val="18"/>
        </w:rPr>
        <w:t xml:space="preserve"> </w:t>
      </w:r>
      <w:r w:rsidRPr="007333C1">
        <w:rPr>
          <w:rFonts w:asciiTheme="majorBidi" w:hAnsiTheme="majorBidi" w:cstheme="majorBidi"/>
          <w:color w:val="000000"/>
          <w:sz w:val="20"/>
          <w:szCs w:val="20"/>
        </w:rPr>
        <w:t>H.arabi@ippi.ac.ir</w:t>
      </w:r>
    </w:p>
    <w:p w:rsidR="00DE1C74" w:rsidRPr="007333C1" w:rsidRDefault="00DE1C74" w:rsidP="00DE1C74">
      <w:pPr>
        <w:spacing w:before="100" w:beforeAutospacing="1" w:line="36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E536CF" w:rsidRPr="00076575" w:rsidRDefault="00DE1C74" w:rsidP="00DE1C74">
      <w:pPr>
        <w:spacing w:before="100" w:beforeAutospacing="1" w:line="360" w:lineRule="auto"/>
        <w:rPr>
          <w:rFonts w:asciiTheme="majorBidi" w:hAnsiTheme="majorBidi" w:cstheme="majorBidi"/>
        </w:rPr>
      </w:pPr>
      <w:r w:rsidRPr="00076575">
        <w:rPr>
          <w:rFonts w:asciiTheme="majorBidi" w:hAnsiTheme="majorBidi" w:cstheme="majorBidi"/>
          <w:b/>
          <w:bCs/>
          <w:color w:val="000000"/>
        </w:rPr>
        <w:t>Table of Contents:</w:t>
      </w:r>
    </w:p>
    <w:p w:rsidR="00DE1C74" w:rsidRPr="00076575" w:rsidRDefault="00DE1C74" w:rsidP="007333C1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0"/>
          <w:szCs w:val="20"/>
        </w:rPr>
      </w:pPr>
      <w:r w:rsidRPr="00076575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1</w:t>
      </w:r>
      <w:r w:rsidRPr="00076575">
        <w:rPr>
          <w:rFonts w:asciiTheme="majorBidi" w:hAnsiTheme="majorBidi" w:cstheme="majorBidi"/>
          <w:color w:val="000000"/>
          <w:sz w:val="20"/>
          <w:szCs w:val="20"/>
        </w:rPr>
        <w:t xml:space="preserve">HNMR, </w:t>
      </w:r>
      <w:r w:rsidRPr="00076575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13</w:t>
      </w:r>
      <w:r w:rsidRPr="00076575">
        <w:rPr>
          <w:rFonts w:asciiTheme="majorBidi" w:hAnsiTheme="majorBidi" w:cstheme="majorBidi"/>
          <w:color w:val="000000"/>
          <w:sz w:val="20"/>
          <w:szCs w:val="20"/>
        </w:rPr>
        <w:t>CNMR, 2D HNMR</w:t>
      </w:r>
      <w:r w:rsidRPr="00076575">
        <w:rPr>
          <w:rFonts w:asciiTheme="majorBidi" w:hAnsiTheme="majorBidi" w:cstheme="majorBidi"/>
          <w:sz w:val="20"/>
          <w:szCs w:val="20"/>
        </w:rPr>
        <w:t xml:space="preserve"> of </w:t>
      </w:r>
      <w:r w:rsidRPr="00076575">
        <w:rPr>
          <w:rFonts w:asciiTheme="majorBidi" w:hAnsiTheme="majorBidi" w:cstheme="majorBidi"/>
          <w:color w:val="000000"/>
          <w:sz w:val="20"/>
          <w:szCs w:val="20"/>
        </w:rPr>
        <w:t xml:space="preserve">α-diimine </w:t>
      </w:r>
      <w:r w:rsidRPr="00076575">
        <w:rPr>
          <w:rFonts w:asciiTheme="majorBidi" w:hAnsiTheme="majorBidi" w:cstheme="majorBidi"/>
          <w:sz w:val="20"/>
          <w:szCs w:val="20"/>
        </w:rPr>
        <w:t>ligands (H</w:t>
      </w:r>
      <w:r w:rsidR="007333C1" w:rsidRPr="00076575">
        <w:rPr>
          <w:rFonts w:asciiTheme="majorBidi" w:hAnsiTheme="majorBidi" w:cstheme="majorBidi"/>
          <w:sz w:val="20"/>
          <w:szCs w:val="20"/>
          <w:vertAlign w:val="subscript"/>
        </w:rPr>
        <w:t>1</w:t>
      </w:r>
      <w:r w:rsidR="007333C1" w:rsidRPr="00076575">
        <w:rPr>
          <w:rFonts w:asciiTheme="majorBidi" w:hAnsiTheme="majorBidi" w:cstheme="majorBidi"/>
          <w:sz w:val="20"/>
          <w:szCs w:val="20"/>
        </w:rPr>
        <w:t xml:space="preserve">, </w:t>
      </w:r>
      <w:r w:rsidRPr="00076575">
        <w:rPr>
          <w:rFonts w:asciiTheme="majorBidi" w:hAnsiTheme="majorBidi" w:cstheme="majorBidi"/>
          <w:sz w:val="20"/>
          <w:szCs w:val="20"/>
        </w:rPr>
        <w:t>H</w:t>
      </w:r>
      <w:r w:rsidR="007333C1" w:rsidRPr="00076575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Pr="00076575">
        <w:rPr>
          <w:rFonts w:asciiTheme="majorBidi" w:hAnsiTheme="majorBidi" w:cstheme="majorBidi"/>
          <w:sz w:val="20"/>
          <w:szCs w:val="20"/>
        </w:rPr>
        <w:t>)</w:t>
      </w:r>
    </w:p>
    <w:p w:rsidR="00D21568" w:rsidRPr="00076575" w:rsidRDefault="00D21568" w:rsidP="007333C1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0"/>
          <w:szCs w:val="20"/>
        </w:rPr>
      </w:pPr>
      <w:r w:rsidRPr="00076575">
        <w:rPr>
          <w:rFonts w:asciiTheme="majorBidi" w:hAnsiTheme="majorBidi" w:cstheme="majorBidi"/>
          <w:sz w:val="20"/>
          <w:szCs w:val="20"/>
        </w:rPr>
        <w:t xml:space="preserve">FT-IR of ligands </w:t>
      </w:r>
      <w:r w:rsidR="007333C1" w:rsidRPr="00076575">
        <w:rPr>
          <w:rFonts w:asciiTheme="majorBidi" w:hAnsiTheme="majorBidi" w:cstheme="majorBidi"/>
          <w:sz w:val="20"/>
          <w:szCs w:val="20"/>
        </w:rPr>
        <w:t>(H</w:t>
      </w:r>
      <w:r w:rsidR="007333C1" w:rsidRPr="00076575">
        <w:rPr>
          <w:rFonts w:asciiTheme="majorBidi" w:hAnsiTheme="majorBidi" w:cstheme="majorBidi"/>
          <w:sz w:val="20"/>
          <w:szCs w:val="20"/>
          <w:vertAlign w:val="subscript"/>
        </w:rPr>
        <w:t>1</w:t>
      </w:r>
      <w:r w:rsidR="007333C1" w:rsidRPr="00076575">
        <w:rPr>
          <w:rFonts w:asciiTheme="majorBidi" w:hAnsiTheme="majorBidi" w:cstheme="majorBidi"/>
          <w:sz w:val="20"/>
          <w:szCs w:val="20"/>
        </w:rPr>
        <w:t>, H</w:t>
      </w:r>
      <w:r w:rsidR="007333C1" w:rsidRPr="00076575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="007333C1" w:rsidRPr="00076575">
        <w:rPr>
          <w:rFonts w:asciiTheme="majorBidi" w:hAnsiTheme="majorBidi" w:cstheme="majorBidi"/>
          <w:sz w:val="20"/>
          <w:szCs w:val="20"/>
        </w:rPr>
        <w:t>)</w:t>
      </w:r>
    </w:p>
    <w:p w:rsidR="00D21568" w:rsidRPr="00076575" w:rsidRDefault="00D21568" w:rsidP="007333C1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0"/>
          <w:szCs w:val="20"/>
        </w:rPr>
      </w:pPr>
      <w:r w:rsidRPr="00076575">
        <w:rPr>
          <w:rFonts w:asciiTheme="majorBidi" w:hAnsiTheme="majorBidi" w:cstheme="majorBidi"/>
          <w:sz w:val="20"/>
          <w:szCs w:val="20"/>
        </w:rPr>
        <w:t xml:space="preserve">FT-IR of </w:t>
      </w:r>
      <w:r w:rsidRPr="00076575">
        <w:rPr>
          <w:rFonts w:asciiTheme="majorBidi" w:hAnsiTheme="majorBidi" w:cstheme="majorBidi"/>
          <w:color w:val="000000"/>
          <w:sz w:val="20"/>
          <w:szCs w:val="20"/>
        </w:rPr>
        <w:t>α-diimine Ni(II) complexes (C</w:t>
      </w:r>
      <w:r w:rsidRPr="00076575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1</w:t>
      </w:r>
      <w:r w:rsidR="007333C1" w:rsidRPr="00076575">
        <w:rPr>
          <w:rFonts w:asciiTheme="majorBidi" w:hAnsiTheme="majorBidi" w:cstheme="majorBidi"/>
          <w:color w:val="000000"/>
          <w:sz w:val="20"/>
          <w:szCs w:val="20"/>
        </w:rPr>
        <w:t xml:space="preserve">, </w:t>
      </w:r>
      <w:r w:rsidRPr="00076575">
        <w:rPr>
          <w:rFonts w:asciiTheme="majorBidi" w:hAnsiTheme="majorBidi" w:cstheme="majorBidi"/>
          <w:color w:val="000000"/>
          <w:sz w:val="20"/>
          <w:szCs w:val="20"/>
        </w:rPr>
        <w:t>C</w:t>
      </w:r>
      <w:r w:rsidR="007333C1" w:rsidRPr="00076575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2</w:t>
      </w:r>
      <w:r w:rsidRPr="00076575">
        <w:rPr>
          <w:rFonts w:asciiTheme="majorBidi" w:hAnsiTheme="majorBidi" w:cstheme="majorBidi"/>
          <w:color w:val="000000"/>
          <w:sz w:val="20"/>
          <w:szCs w:val="20"/>
        </w:rPr>
        <w:t>)</w:t>
      </w:r>
    </w:p>
    <w:p w:rsidR="00DE1C74" w:rsidRPr="00076575" w:rsidRDefault="00DE1C74" w:rsidP="007333C1">
      <w:pPr>
        <w:spacing w:before="100" w:beforeAutospacing="1" w:after="0" w:line="360" w:lineRule="auto"/>
        <w:rPr>
          <w:rFonts w:asciiTheme="majorBidi" w:hAnsiTheme="majorBidi" w:cstheme="majorBidi"/>
          <w:b/>
          <w:bCs/>
        </w:rPr>
      </w:pPr>
      <w:r w:rsidRPr="00076575">
        <w:rPr>
          <w:rFonts w:asciiTheme="majorBidi" w:hAnsiTheme="majorBidi" w:cstheme="majorBidi"/>
          <w:b/>
          <w:bCs/>
          <w:color w:val="000000"/>
          <w:vertAlign w:val="superscript"/>
        </w:rPr>
        <w:t>1</w:t>
      </w:r>
      <w:r w:rsidRPr="00076575">
        <w:rPr>
          <w:rFonts w:asciiTheme="majorBidi" w:hAnsiTheme="majorBidi" w:cstheme="majorBidi"/>
          <w:b/>
          <w:bCs/>
          <w:color w:val="000000"/>
        </w:rPr>
        <w:t xml:space="preserve">HNMR, </w:t>
      </w:r>
      <w:r w:rsidRPr="00076575">
        <w:rPr>
          <w:rFonts w:asciiTheme="majorBidi" w:hAnsiTheme="majorBidi" w:cstheme="majorBidi"/>
          <w:b/>
          <w:bCs/>
          <w:color w:val="000000"/>
          <w:vertAlign w:val="superscript"/>
        </w:rPr>
        <w:t>13</w:t>
      </w:r>
      <w:r w:rsidRPr="00076575">
        <w:rPr>
          <w:rFonts w:asciiTheme="majorBidi" w:hAnsiTheme="majorBidi" w:cstheme="majorBidi"/>
          <w:b/>
          <w:bCs/>
          <w:color w:val="000000"/>
        </w:rPr>
        <w:t>CNMR, 2D HNMR</w:t>
      </w:r>
      <w:r w:rsidRPr="00076575">
        <w:rPr>
          <w:rFonts w:asciiTheme="majorBidi" w:hAnsiTheme="majorBidi" w:cstheme="majorBidi"/>
          <w:b/>
          <w:bCs/>
        </w:rPr>
        <w:t xml:space="preserve"> of </w:t>
      </w:r>
      <w:r w:rsidRPr="00076575">
        <w:rPr>
          <w:rFonts w:asciiTheme="majorBidi" w:hAnsiTheme="majorBidi" w:cstheme="majorBidi"/>
          <w:b/>
          <w:bCs/>
          <w:color w:val="000000"/>
        </w:rPr>
        <w:t xml:space="preserve">α-diimine </w:t>
      </w:r>
      <w:r w:rsidRPr="00076575">
        <w:rPr>
          <w:rFonts w:asciiTheme="majorBidi" w:hAnsiTheme="majorBidi" w:cstheme="majorBidi"/>
          <w:b/>
          <w:bCs/>
        </w:rPr>
        <w:t xml:space="preserve">ligands </w:t>
      </w:r>
      <w:r w:rsidR="007333C1" w:rsidRPr="00076575">
        <w:rPr>
          <w:rFonts w:asciiTheme="majorBidi" w:hAnsiTheme="majorBidi" w:cstheme="majorBidi"/>
          <w:b/>
          <w:bCs/>
        </w:rPr>
        <w:t>(H</w:t>
      </w:r>
      <w:r w:rsidR="007333C1" w:rsidRPr="00076575">
        <w:rPr>
          <w:rFonts w:asciiTheme="majorBidi" w:hAnsiTheme="majorBidi" w:cstheme="majorBidi"/>
          <w:b/>
          <w:bCs/>
          <w:vertAlign w:val="subscript"/>
        </w:rPr>
        <w:t>1</w:t>
      </w:r>
      <w:r w:rsidR="007333C1" w:rsidRPr="00076575">
        <w:rPr>
          <w:rFonts w:asciiTheme="majorBidi" w:hAnsiTheme="majorBidi" w:cstheme="majorBidi"/>
          <w:b/>
          <w:bCs/>
        </w:rPr>
        <w:t>, H</w:t>
      </w:r>
      <w:r w:rsidR="007333C1" w:rsidRPr="00076575">
        <w:rPr>
          <w:rFonts w:asciiTheme="majorBidi" w:hAnsiTheme="majorBidi" w:cstheme="majorBidi"/>
          <w:b/>
          <w:bCs/>
          <w:vertAlign w:val="subscript"/>
        </w:rPr>
        <w:t>2</w:t>
      </w:r>
      <w:r w:rsidR="007333C1" w:rsidRPr="00076575">
        <w:rPr>
          <w:rFonts w:asciiTheme="majorBidi" w:hAnsiTheme="majorBidi" w:cstheme="majorBidi"/>
          <w:b/>
          <w:bCs/>
        </w:rPr>
        <w:t>)</w:t>
      </w:r>
    </w:p>
    <w:p w:rsidR="0094298A" w:rsidRDefault="001A17C7" w:rsidP="004B3D15">
      <w:pPr>
        <w:spacing w:after="0"/>
        <w:jc w:val="center"/>
      </w:pPr>
      <w:r>
        <w:rPr>
          <w:noProof/>
        </w:rPr>
        <w:drawing>
          <wp:inline distT="0" distB="0" distL="0" distR="0">
            <wp:extent cx="4120875" cy="3810489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749" cy="3823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8EA" w:rsidRPr="00076575" w:rsidRDefault="000358EA" w:rsidP="001A17C7">
      <w:pPr>
        <w:spacing w:after="100" w:afterAutospacing="1" w:line="360" w:lineRule="auto"/>
        <w:jc w:val="center"/>
        <w:rPr>
          <w:rFonts w:asciiTheme="majorBidi" w:hAnsiTheme="majorBidi" w:cstheme="majorBidi"/>
          <w:sz w:val="20"/>
          <w:szCs w:val="20"/>
          <w:vertAlign w:val="subscript"/>
          <w:lang w:bidi="fa-IR"/>
        </w:rPr>
      </w:pPr>
      <w:r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Figure S</w:t>
      </w:r>
      <w:r w:rsidR="00D21568"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1</w:t>
      </w:r>
      <w:r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.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 xml:space="preserve"> The </w:t>
      </w:r>
      <w:r w:rsidRPr="00076575">
        <w:rPr>
          <w:rFonts w:asciiTheme="majorBidi" w:hAnsiTheme="majorBidi" w:cstheme="majorBidi"/>
          <w:sz w:val="20"/>
          <w:szCs w:val="20"/>
          <w:vertAlign w:val="superscript"/>
          <w:lang w:bidi="fa-IR"/>
        </w:rPr>
        <w:t>1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>HNMR of H</w:t>
      </w:r>
      <w:r w:rsidR="001A17C7" w:rsidRPr="00076575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1</w:t>
      </w:r>
    </w:p>
    <w:p w:rsidR="00B97601" w:rsidRDefault="0023789D" w:rsidP="00DE1C74">
      <w:pPr>
        <w:spacing w:after="0"/>
        <w:jc w:val="center"/>
      </w:pPr>
      <w:r>
        <w:rPr>
          <w:noProof/>
        </w:rPr>
        <w:lastRenderedPageBreak/>
        <w:drawing>
          <wp:inline distT="0" distB="0" distL="0" distR="0">
            <wp:extent cx="5066886" cy="3585796"/>
            <wp:effectExtent l="0" t="0" r="63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208" cy="3589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8EA" w:rsidRPr="00076575" w:rsidRDefault="000358EA" w:rsidP="001A17C7">
      <w:pPr>
        <w:spacing w:after="100" w:afterAutospacing="1" w:line="360" w:lineRule="auto"/>
        <w:jc w:val="center"/>
        <w:rPr>
          <w:rFonts w:asciiTheme="majorBidi" w:hAnsiTheme="majorBidi" w:cstheme="majorBidi"/>
          <w:sz w:val="20"/>
          <w:szCs w:val="20"/>
          <w:vertAlign w:val="subscript"/>
          <w:lang w:bidi="fa-IR"/>
        </w:rPr>
      </w:pPr>
      <w:r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Figure S</w:t>
      </w:r>
      <w:r w:rsidR="00D21568"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2</w:t>
      </w:r>
      <w:r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.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 xml:space="preserve"> The </w:t>
      </w:r>
      <w:r w:rsidRPr="00076575">
        <w:rPr>
          <w:rFonts w:asciiTheme="majorBidi" w:hAnsiTheme="majorBidi" w:cstheme="majorBidi"/>
          <w:sz w:val="20"/>
          <w:szCs w:val="20"/>
          <w:vertAlign w:val="superscript"/>
          <w:lang w:bidi="fa-IR"/>
        </w:rPr>
        <w:t>13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>CNMR of H</w:t>
      </w:r>
      <w:r w:rsidR="001A17C7" w:rsidRPr="00076575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1</w:t>
      </w:r>
    </w:p>
    <w:p w:rsidR="00B97601" w:rsidRDefault="007F3D5F" w:rsidP="004B3D15">
      <w:pPr>
        <w:spacing w:after="0"/>
        <w:jc w:val="center"/>
      </w:pPr>
      <w:r>
        <w:rPr>
          <w:noProof/>
        </w:rPr>
        <w:drawing>
          <wp:inline distT="0" distB="0" distL="0" distR="0">
            <wp:extent cx="5572125" cy="3902273"/>
            <wp:effectExtent l="0" t="0" r="0" b="317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3803" cy="3903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8EA" w:rsidRPr="00076575" w:rsidRDefault="000358EA" w:rsidP="001A17C7">
      <w:pPr>
        <w:spacing w:after="100" w:afterAutospacing="1" w:line="360" w:lineRule="auto"/>
        <w:jc w:val="center"/>
        <w:rPr>
          <w:rFonts w:asciiTheme="majorBidi" w:hAnsiTheme="majorBidi" w:cstheme="majorBidi"/>
          <w:sz w:val="20"/>
          <w:szCs w:val="20"/>
          <w:vertAlign w:val="subscript"/>
          <w:lang w:bidi="fa-IR"/>
        </w:rPr>
      </w:pPr>
      <w:r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Figure S</w:t>
      </w:r>
      <w:r w:rsidR="00D21568"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3</w:t>
      </w:r>
      <w:r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.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 xml:space="preserve"> The H-H COSY of H</w:t>
      </w:r>
      <w:r w:rsidR="001A17C7" w:rsidRPr="00076575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1</w:t>
      </w:r>
    </w:p>
    <w:p w:rsidR="004B3D15" w:rsidRDefault="004B3D15" w:rsidP="004B3D15">
      <w:pPr>
        <w:spacing w:after="0" w:line="360" w:lineRule="auto"/>
        <w:jc w:val="center"/>
        <w:rPr>
          <w:rFonts w:asciiTheme="majorBidi" w:hAnsiTheme="majorBidi" w:cstheme="majorBidi"/>
          <w:vertAlign w:val="subscript"/>
          <w:lang w:bidi="fa-IR"/>
        </w:rPr>
      </w:pPr>
      <w:r>
        <w:rPr>
          <w:rFonts w:asciiTheme="majorBidi" w:hAnsiTheme="majorBidi" w:cstheme="majorBidi"/>
          <w:noProof/>
          <w:vertAlign w:val="subscript"/>
        </w:rPr>
        <w:lastRenderedPageBreak/>
        <w:drawing>
          <wp:inline distT="0" distB="0" distL="0" distR="0">
            <wp:extent cx="5219700" cy="345753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436" cy="347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D15" w:rsidRPr="00076575" w:rsidRDefault="004B3D15" w:rsidP="004B3D15">
      <w:pPr>
        <w:spacing w:after="100" w:afterAutospacing="1" w:line="360" w:lineRule="auto"/>
        <w:jc w:val="center"/>
        <w:rPr>
          <w:rFonts w:asciiTheme="majorBidi" w:hAnsiTheme="majorBidi" w:cstheme="majorBidi"/>
          <w:sz w:val="20"/>
          <w:szCs w:val="20"/>
          <w:vertAlign w:val="subscript"/>
          <w:lang w:bidi="fa-IR"/>
        </w:rPr>
      </w:pPr>
      <w:r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Figure S4.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 xml:space="preserve"> The </w:t>
      </w:r>
      <w:r w:rsidRPr="00076575">
        <w:rPr>
          <w:rFonts w:asciiTheme="majorBidi" w:hAnsiTheme="majorBidi" w:cstheme="majorBidi"/>
          <w:sz w:val="20"/>
          <w:szCs w:val="20"/>
          <w:vertAlign w:val="superscript"/>
          <w:lang w:bidi="fa-IR"/>
        </w:rPr>
        <w:t>1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>HNMR of H</w:t>
      </w:r>
      <w:r w:rsidRPr="00076575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2</w:t>
      </w:r>
    </w:p>
    <w:p w:rsidR="004B3D15" w:rsidRDefault="004B3D15" w:rsidP="004B3D15">
      <w:pPr>
        <w:spacing w:after="0" w:line="360" w:lineRule="auto"/>
        <w:jc w:val="center"/>
        <w:rPr>
          <w:rFonts w:asciiTheme="majorBidi" w:hAnsiTheme="majorBidi" w:cstheme="majorBidi"/>
          <w:vertAlign w:val="subscript"/>
          <w:lang w:bidi="fa-IR"/>
        </w:rPr>
      </w:pPr>
      <w:r>
        <w:rPr>
          <w:rFonts w:asciiTheme="majorBidi" w:hAnsiTheme="majorBidi" w:cstheme="majorBidi"/>
          <w:noProof/>
          <w:vertAlign w:val="subscript"/>
        </w:rPr>
        <w:drawing>
          <wp:inline distT="0" distB="0" distL="0" distR="0">
            <wp:extent cx="5033010" cy="3424097"/>
            <wp:effectExtent l="0" t="0" r="0" b="508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629" cy="3433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D15" w:rsidRPr="00076575" w:rsidRDefault="004B3D15" w:rsidP="004B3D15">
      <w:pPr>
        <w:spacing w:after="100" w:afterAutospacing="1" w:line="360" w:lineRule="auto"/>
        <w:jc w:val="center"/>
        <w:rPr>
          <w:rFonts w:asciiTheme="majorBidi" w:hAnsiTheme="majorBidi" w:cstheme="majorBidi"/>
          <w:sz w:val="20"/>
          <w:szCs w:val="20"/>
          <w:vertAlign w:val="subscript"/>
          <w:lang w:bidi="fa-IR"/>
        </w:rPr>
      </w:pPr>
      <w:r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Figure S5.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 xml:space="preserve"> The </w:t>
      </w:r>
      <w:r w:rsidRPr="00076575">
        <w:rPr>
          <w:rFonts w:asciiTheme="majorBidi" w:hAnsiTheme="majorBidi" w:cstheme="majorBidi"/>
          <w:sz w:val="20"/>
          <w:szCs w:val="20"/>
          <w:vertAlign w:val="superscript"/>
          <w:lang w:bidi="fa-IR"/>
        </w:rPr>
        <w:t>13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>CNMR of H</w:t>
      </w:r>
      <w:r w:rsidRPr="00076575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2</w:t>
      </w:r>
    </w:p>
    <w:p w:rsidR="004B3D15" w:rsidRDefault="004B3D15" w:rsidP="004B3D15">
      <w:pPr>
        <w:spacing w:after="0" w:line="360" w:lineRule="auto"/>
        <w:jc w:val="center"/>
        <w:rPr>
          <w:rFonts w:asciiTheme="majorBidi" w:hAnsiTheme="majorBidi" w:cstheme="majorBidi"/>
          <w:vertAlign w:val="subscript"/>
          <w:lang w:bidi="fa-IR"/>
        </w:rPr>
      </w:pPr>
      <w:r>
        <w:rPr>
          <w:rFonts w:asciiTheme="majorBidi" w:hAnsiTheme="majorBidi" w:cstheme="majorBidi"/>
          <w:noProof/>
          <w:vertAlign w:val="subscript"/>
        </w:rPr>
        <w:lastRenderedPageBreak/>
        <w:drawing>
          <wp:inline distT="0" distB="0" distL="0" distR="0">
            <wp:extent cx="5038725" cy="3638550"/>
            <wp:effectExtent l="0" t="0" r="952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F2E" w:rsidRPr="00076575" w:rsidRDefault="004B3D15" w:rsidP="00B45F2E">
      <w:pPr>
        <w:spacing w:after="100" w:afterAutospacing="1" w:line="360" w:lineRule="auto"/>
        <w:jc w:val="center"/>
        <w:rPr>
          <w:rFonts w:asciiTheme="majorBidi" w:hAnsiTheme="majorBidi" w:cstheme="majorBidi"/>
          <w:sz w:val="20"/>
          <w:szCs w:val="20"/>
          <w:vertAlign w:val="subscript"/>
          <w:lang w:bidi="fa-IR"/>
        </w:rPr>
      </w:pPr>
      <w:r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Figure S6.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 xml:space="preserve"> The H-H COSY of H</w:t>
      </w:r>
      <w:r w:rsidRPr="00076575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2</w:t>
      </w:r>
    </w:p>
    <w:p w:rsidR="00B45F2E" w:rsidRPr="00076575" w:rsidRDefault="00B45F2E" w:rsidP="00B45F2E">
      <w:pPr>
        <w:spacing w:after="100" w:afterAutospacing="1" w:line="360" w:lineRule="auto"/>
        <w:rPr>
          <w:rFonts w:asciiTheme="majorBidi" w:hAnsiTheme="majorBidi" w:cstheme="majorBidi"/>
          <w:b/>
          <w:bCs/>
          <w:sz w:val="20"/>
          <w:szCs w:val="20"/>
          <w:vertAlign w:val="subscript"/>
          <w:lang w:bidi="fa-IR"/>
        </w:rPr>
      </w:pPr>
      <w:r w:rsidRPr="00076575">
        <w:rPr>
          <w:rFonts w:asciiTheme="majorBidi" w:hAnsiTheme="majorBidi" w:cstheme="majorBidi"/>
          <w:b/>
          <w:bCs/>
        </w:rPr>
        <w:t>FT-IR of ligands (H</w:t>
      </w:r>
      <w:r w:rsidRPr="00076575">
        <w:rPr>
          <w:rFonts w:asciiTheme="majorBidi" w:hAnsiTheme="majorBidi" w:cstheme="majorBidi"/>
          <w:b/>
          <w:bCs/>
          <w:vertAlign w:val="subscript"/>
        </w:rPr>
        <w:t>1</w:t>
      </w:r>
      <w:r w:rsidRPr="00076575">
        <w:rPr>
          <w:rFonts w:asciiTheme="majorBidi" w:hAnsiTheme="majorBidi" w:cstheme="majorBidi"/>
          <w:b/>
          <w:bCs/>
        </w:rPr>
        <w:t>, H</w:t>
      </w:r>
      <w:r w:rsidRPr="00076575">
        <w:rPr>
          <w:rFonts w:asciiTheme="majorBidi" w:hAnsiTheme="majorBidi" w:cstheme="majorBidi"/>
          <w:b/>
          <w:bCs/>
          <w:vertAlign w:val="subscript"/>
        </w:rPr>
        <w:t>2</w:t>
      </w:r>
      <w:r w:rsidRPr="00076575">
        <w:rPr>
          <w:rFonts w:asciiTheme="majorBidi" w:hAnsiTheme="majorBidi" w:cstheme="majorBidi"/>
          <w:b/>
          <w:bCs/>
        </w:rPr>
        <w:t>)</w:t>
      </w:r>
    </w:p>
    <w:p w:rsidR="004B3D15" w:rsidRDefault="001E1CA1" w:rsidP="001A17C7">
      <w:pPr>
        <w:spacing w:after="100" w:afterAutospacing="1" w:line="360" w:lineRule="auto"/>
        <w:jc w:val="center"/>
        <w:rPr>
          <w:rFonts w:asciiTheme="majorBidi" w:hAnsiTheme="majorBidi" w:cstheme="majorBidi"/>
          <w:vertAlign w:val="subscript"/>
          <w:lang w:bidi="fa-IR"/>
        </w:rPr>
      </w:pPr>
      <w:r>
        <w:rPr>
          <w:rFonts w:asciiTheme="majorBidi" w:hAnsiTheme="majorBidi" w:cstheme="majorBidi"/>
          <w:noProof/>
          <w:vertAlign w:val="subscript"/>
        </w:rPr>
        <w:drawing>
          <wp:inline distT="0" distB="0" distL="0" distR="0">
            <wp:extent cx="5025609" cy="3076575"/>
            <wp:effectExtent l="0" t="0" r="381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376" cy="3081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CA1" w:rsidRPr="00076575" w:rsidRDefault="001E1CA1" w:rsidP="00667304">
      <w:pPr>
        <w:spacing w:after="100" w:afterAutospacing="1" w:line="360" w:lineRule="auto"/>
        <w:jc w:val="center"/>
        <w:rPr>
          <w:rFonts w:asciiTheme="majorBidi" w:hAnsiTheme="majorBidi" w:cstheme="majorBidi"/>
          <w:b/>
          <w:bCs/>
          <w:color w:val="000000"/>
          <w:sz w:val="20"/>
          <w:szCs w:val="20"/>
        </w:rPr>
      </w:pPr>
      <w:r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Figure S7.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 xml:space="preserve"> The FT-IR spectrum of H</w:t>
      </w:r>
      <w:r w:rsidR="00667304" w:rsidRPr="00076575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1</w:t>
      </w:r>
    </w:p>
    <w:p w:rsidR="001E1CA1" w:rsidRDefault="00667304" w:rsidP="001A17C7">
      <w:pPr>
        <w:spacing w:after="100" w:afterAutospacing="1" w:line="360" w:lineRule="auto"/>
        <w:jc w:val="center"/>
        <w:rPr>
          <w:rFonts w:asciiTheme="majorBidi" w:hAnsiTheme="majorBidi" w:cstheme="majorBidi"/>
          <w:vertAlign w:val="subscript"/>
          <w:lang w:bidi="fa-IR"/>
        </w:rPr>
      </w:pPr>
      <w:r>
        <w:rPr>
          <w:rFonts w:asciiTheme="majorBidi" w:hAnsiTheme="majorBidi" w:cstheme="majorBidi"/>
          <w:noProof/>
          <w:vertAlign w:val="subscript"/>
        </w:rPr>
        <w:lastRenderedPageBreak/>
        <w:drawing>
          <wp:inline distT="0" distB="0" distL="0" distR="0">
            <wp:extent cx="5469022" cy="280035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249" cy="280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304" w:rsidRPr="00076575" w:rsidRDefault="00667304" w:rsidP="00667304">
      <w:pPr>
        <w:spacing w:after="100" w:afterAutospacing="1" w:line="360" w:lineRule="auto"/>
        <w:jc w:val="center"/>
        <w:rPr>
          <w:rFonts w:asciiTheme="majorBidi" w:hAnsiTheme="majorBidi" w:cstheme="majorBidi"/>
          <w:sz w:val="20"/>
          <w:szCs w:val="20"/>
          <w:vertAlign w:val="subscript"/>
          <w:lang w:bidi="fa-IR"/>
        </w:rPr>
      </w:pPr>
      <w:r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Figure S8.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 xml:space="preserve"> The FT-IR spectrum of H</w:t>
      </w:r>
      <w:r w:rsidRPr="00076575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2</w:t>
      </w:r>
    </w:p>
    <w:p w:rsidR="00B534F5" w:rsidRPr="00076575" w:rsidRDefault="00B534F5" w:rsidP="00B534F5">
      <w:pPr>
        <w:spacing w:line="360" w:lineRule="auto"/>
        <w:rPr>
          <w:rFonts w:asciiTheme="majorBidi" w:hAnsiTheme="majorBidi" w:cstheme="majorBidi"/>
          <w:b/>
          <w:bCs/>
        </w:rPr>
      </w:pPr>
      <w:r w:rsidRPr="00076575">
        <w:rPr>
          <w:rFonts w:asciiTheme="majorBidi" w:hAnsiTheme="majorBidi" w:cstheme="majorBidi"/>
          <w:b/>
          <w:bCs/>
        </w:rPr>
        <w:t xml:space="preserve">FT-IR of </w:t>
      </w:r>
      <w:r w:rsidRPr="00076575">
        <w:rPr>
          <w:rFonts w:asciiTheme="majorBidi" w:hAnsiTheme="majorBidi" w:cstheme="majorBidi"/>
          <w:b/>
          <w:bCs/>
          <w:color w:val="000000"/>
        </w:rPr>
        <w:t xml:space="preserve">α-diimine </w:t>
      </w:r>
      <w:proofErr w:type="gramStart"/>
      <w:r w:rsidRPr="00076575">
        <w:rPr>
          <w:rFonts w:asciiTheme="majorBidi" w:hAnsiTheme="majorBidi" w:cstheme="majorBidi"/>
          <w:b/>
          <w:bCs/>
          <w:color w:val="000000"/>
        </w:rPr>
        <w:t>Ni(</w:t>
      </w:r>
      <w:proofErr w:type="gramEnd"/>
      <w:r w:rsidRPr="00076575">
        <w:rPr>
          <w:rFonts w:asciiTheme="majorBidi" w:hAnsiTheme="majorBidi" w:cstheme="majorBidi"/>
          <w:b/>
          <w:bCs/>
          <w:color w:val="000000"/>
        </w:rPr>
        <w:t>II) complexes (C</w:t>
      </w:r>
      <w:r w:rsidRPr="00076575">
        <w:rPr>
          <w:rFonts w:asciiTheme="majorBidi" w:hAnsiTheme="majorBidi" w:cstheme="majorBidi"/>
          <w:b/>
          <w:bCs/>
          <w:color w:val="000000"/>
          <w:vertAlign w:val="subscript"/>
        </w:rPr>
        <w:t>1</w:t>
      </w:r>
      <w:r w:rsidRPr="00076575">
        <w:rPr>
          <w:rFonts w:asciiTheme="majorBidi" w:hAnsiTheme="majorBidi" w:cstheme="majorBidi"/>
          <w:b/>
          <w:bCs/>
          <w:color w:val="000000"/>
        </w:rPr>
        <w:t>, C</w:t>
      </w:r>
      <w:r w:rsidRPr="00076575">
        <w:rPr>
          <w:rFonts w:asciiTheme="majorBidi" w:hAnsiTheme="majorBidi" w:cstheme="majorBidi"/>
          <w:b/>
          <w:bCs/>
          <w:color w:val="000000"/>
          <w:vertAlign w:val="subscript"/>
        </w:rPr>
        <w:t>2</w:t>
      </w:r>
      <w:r w:rsidRPr="00076575">
        <w:rPr>
          <w:rFonts w:asciiTheme="majorBidi" w:hAnsiTheme="majorBidi" w:cstheme="majorBidi"/>
          <w:b/>
          <w:bCs/>
          <w:color w:val="000000"/>
        </w:rPr>
        <w:t>)</w:t>
      </w:r>
    </w:p>
    <w:p w:rsidR="00667304" w:rsidRDefault="00756D44" w:rsidP="00915CB1">
      <w:pPr>
        <w:spacing w:after="0" w:line="360" w:lineRule="auto"/>
        <w:jc w:val="center"/>
        <w:rPr>
          <w:rFonts w:asciiTheme="majorBidi" w:hAnsiTheme="majorBidi" w:cstheme="majorBidi"/>
          <w:vertAlign w:val="subscript"/>
          <w:lang w:bidi="fa-IR"/>
        </w:rPr>
      </w:pPr>
      <w:r>
        <w:rPr>
          <w:rFonts w:asciiTheme="majorBidi" w:hAnsiTheme="majorBidi" w:cstheme="majorBidi"/>
          <w:noProof/>
          <w:vertAlign w:val="subscript"/>
        </w:rPr>
        <w:drawing>
          <wp:inline distT="0" distB="0" distL="0" distR="0">
            <wp:extent cx="4924425" cy="2954655"/>
            <wp:effectExtent l="0" t="0" r="952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95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CB1" w:rsidRPr="00076575" w:rsidRDefault="00915CB1" w:rsidP="00915CB1">
      <w:pPr>
        <w:spacing w:after="100" w:afterAutospacing="1" w:line="360" w:lineRule="auto"/>
        <w:jc w:val="center"/>
        <w:rPr>
          <w:rFonts w:asciiTheme="majorBidi" w:hAnsiTheme="majorBidi" w:cstheme="majorBidi"/>
          <w:sz w:val="20"/>
          <w:szCs w:val="20"/>
          <w:vertAlign w:val="subscript"/>
          <w:lang w:bidi="fa-IR"/>
        </w:rPr>
      </w:pPr>
      <w:r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Figure S9.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 xml:space="preserve"> The FT-IR spectrum of C</w:t>
      </w:r>
      <w:r w:rsidRPr="00076575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1</w:t>
      </w:r>
    </w:p>
    <w:p w:rsidR="00915CB1" w:rsidRDefault="00915CB1" w:rsidP="00915CB1">
      <w:pPr>
        <w:spacing w:after="0" w:line="360" w:lineRule="auto"/>
        <w:jc w:val="center"/>
        <w:rPr>
          <w:rFonts w:asciiTheme="majorBidi" w:hAnsiTheme="majorBidi" w:cstheme="majorBidi"/>
          <w:vertAlign w:val="subscript"/>
          <w:lang w:bidi="fa-IR"/>
        </w:rPr>
      </w:pPr>
      <w:r>
        <w:rPr>
          <w:rFonts w:asciiTheme="majorBidi" w:hAnsiTheme="majorBidi" w:cstheme="majorBidi"/>
          <w:noProof/>
          <w:vertAlign w:val="subscript"/>
        </w:rPr>
        <w:lastRenderedPageBreak/>
        <w:drawing>
          <wp:inline distT="0" distB="0" distL="0" distR="0">
            <wp:extent cx="5057775" cy="2634258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5659" cy="2638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CB1" w:rsidRPr="00076575" w:rsidRDefault="00915CB1" w:rsidP="00915CB1">
      <w:pPr>
        <w:spacing w:after="100" w:afterAutospacing="1" w:line="360" w:lineRule="auto"/>
        <w:jc w:val="center"/>
        <w:rPr>
          <w:rFonts w:asciiTheme="majorBidi" w:hAnsiTheme="majorBidi" w:cstheme="majorBidi"/>
          <w:sz w:val="20"/>
          <w:szCs w:val="20"/>
          <w:vertAlign w:val="subscript"/>
          <w:lang w:bidi="fa-IR"/>
        </w:rPr>
      </w:pPr>
      <w:bookmarkStart w:id="0" w:name="_GoBack"/>
      <w:r w:rsidRPr="00076575">
        <w:rPr>
          <w:rFonts w:asciiTheme="majorBidi" w:hAnsiTheme="majorBidi" w:cstheme="majorBidi"/>
          <w:b/>
          <w:bCs/>
          <w:sz w:val="20"/>
          <w:szCs w:val="20"/>
          <w:lang w:bidi="fa-IR"/>
        </w:rPr>
        <w:t>Figure S10.</w:t>
      </w:r>
      <w:r w:rsidRPr="00076575">
        <w:rPr>
          <w:rFonts w:asciiTheme="majorBidi" w:hAnsiTheme="majorBidi" w:cstheme="majorBidi"/>
          <w:sz w:val="20"/>
          <w:szCs w:val="20"/>
          <w:lang w:bidi="fa-IR"/>
        </w:rPr>
        <w:t xml:space="preserve"> The FT-IR spectrum of C</w:t>
      </w:r>
      <w:r w:rsidRPr="00076575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2</w:t>
      </w:r>
    </w:p>
    <w:bookmarkEnd w:id="0"/>
    <w:p w:rsidR="00915CB1" w:rsidRPr="000358EA" w:rsidRDefault="00915CB1" w:rsidP="001A17C7">
      <w:pPr>
        <w:spacing w:after="100" w:afterAutospacing="1" w:line="360" w:lineRule="auto"/>
        <w:jc w:val="center"/>
        <w:rPr>
          <w:rFonts w:asciiTheme="majorBidi" w:hAnsiTheme="majorBidi" w:cstheme="majorBidi"/>
          <w:vertAlign w:val="subscript"/>
          <w:lang w:bidi="fa-IR"/>
        </w:rPr>
      </w:pPr>
    </w:p>
    <w:sectPr w:rsidR="00915CB1" w:rsidRPr="000358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866FC"/>
    <w:multiLevelType w:val="hybridMultilevel"/>
    <w:tmpl w:val="031CB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CB7A26"/>
    <w:multiLevelType w:val="hybridMultilevel"/>
    <w:tmpl w:val="031CB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4841A2"/>
    <w:multiLevelType w:val="hybridMultilevel"/>
    <w:tmpl w:val="031CB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2A199B"/>
    <w:multiLevelType w:val="hybridMultilevel"/>
    <w:tmpl w:val="031CB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A1NTQ1MTIwMDM2MDFR0lEKTi0uzszPAykwqQUANG9S1CwAAAA="/>
  </w:docVars>
  <w:rsids>
    <w:rsidRoot w:val="008B1AC3"/>
    <w:rsid w:val="000335F2"/>
    <w:rsid w:val="000358EA"/>
    <w:rsid w:val="00076575"/>
    <w:rsid w:val="0010033C"/>
    <w:rsid w:val="00161E60"/>
    <w:rsid w:val="001A17C7"/>
    <w:rsid w:val="001E1CA1"/>
    <w:rsid w:val="002368AD"/>
    <w:rsid w:val="0023789D"/>
    <w:rsid w:val="002C1A03"/>
    <w:rsid w:val="002F3787"/>
    <w:rsid w:val="0036474F"/>
    <w:rsid w:val="003A2008"/>
    <w:rsid w:val="0046420D"/>
    <w:rsid w:val="004B3D15"/>
    <w:rsid w:val="00604B9E"/>
    <w:rsid w:val="00620897"/>
    <w:rsid w:val="00667304"/>
    <w:rsid w:val="006C7F39"/>
    <w:rsid w:val="00710630"/>
    <w:rsid w:val="007333C1"/>
    <w:rsid w:val="00756D44"/>
    <w:rsid w:val="007914AF"/>
    <w:rsid w:val="007F3D5F"/>
    <w:rsid w:val="008519A7"/>
    <w:rsid w:val="008B1AC3"/>
    <w:rsid w:val="00915CB1"/>
    <w:rsid w:val="0094298A"/>
    <w:rsid w:val="009E3387"/>
    <w:rsid w:val="00A247DA"/>
    <w:rsid w:val="00B45F2E"/>
    <w:rsid w:val="00B4754A"/>
    <w:rsid w:val="00B52DC8"/>
    <w:rsid w:val="00B534F5"/>
    <w:rsid w:val="00B97601"/>
    <w:rsid w:val="00BB36A9"/>
    <w:rsid w:val="00CB04D6"/>
    <w:rsid w:val="00D21568"/>
    <w:rsid w:val="00DE1C74"/>
    <w:rsid w:val="00E37879"/>
    <w:rsid w:val="00E536CF"/>
    <w:rsid w:val="00EB4955"/>
    <w:rsid w:val="00F8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46ECEE-2AA4-4F43-88DA-E7B2C25FF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A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DE1C74"/>
    <w:rPr>
      <w:rFonts w:ascii="TimesNewRoman" w:hAnsi="TimesNewRoman" w:hint="default"/>
      <w:b w:val="0"/>
      <w:bCs w:val="0"/>
      <w:i w:val="0"/>
      <w:iCs w:val="0"/>
      <w:color w:val="000000"/>
      <w:sz w:val="36"/>
      <w:szCs w:val="36"/>
    </w:rPr>
  </w:style>
  <w:style w:type="paragraph" w:styleId="ListParagraph">
    <w:name w:val="List Paragraph"/>
    <w:basedOn w:val="Normal"/>
    <w:uiPriority w:val="34"/>
    <w:qFormat/>
    <w:rsid w:val="00DE1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95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6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BFF4C8-77D0-4972-822E-2CA0F1397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6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OliveSoft</Company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 Issaabadi</dc:creator>
  <cp:keywords/>
  <dc:description/>
  <cp:lastModifiedBy>Z. Issaabadi</cp:lastModifiedBy>
  <cp:revision>45</cp:revision>
  <dcterms:created xsi:type="dcterms:W3CDTF">2022-06-24T13:38:00Z</dcterms:created>
  <dcterms:modified xsi:type="dcterms:W3CDTF">2023-08-02T05:34:00Z</dcterms:modified>
</cp:coreProperties>
</file>